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7A" w:rsidRDefault="0026117A" w:rsidP="0041441D">
      <w:pPr>
        <w:jc w:val="center"/>
        <w:rPr>
          <w:rFonts w:ascii="Arial" w:hAnsi="Arial" w:cs="Arial"/>
          <w:sz w:val="22"/>
          <w:szCs w:val="22"/>
          <w:highlight w:val="lightGray"/>
        </w:rPr>
      </w:pPr>
      <w:r w:rsidRPr="004E22F5">
        <w:rPr>
          <w:rFonts w:ascii="Arial" w:hAnsi="Arial" w:cs="Arial"/>
          <w:bCs/>
          <w:noProof/>
          <w:sz w:val="22"/>
          <w:szCs w:val="22"/>
          <w:lang w:eastAsia="cs-CZ"/>
        </w:rPr>
        <w:drawing>
          <wp:anchor distT="0" distB="0" distL="114300" distR="114300" simplePos="0" relativeHeight="251661312" behindDoc="0" locked="0" layoutInCell="1" allowOverlap="1" wp14:anchorId="40561226" wp14:editId="41031D49">
            <wp:simplePos x="0" y="0"/>
            <wp:positionH relativeFrom="column">
              <wp:posOffset>2538095</wp:posOffset>
            </wp:positionH>
            <wp:positionV relativeFrom="paragraph">
              <wp:posOffset>-6350</wp:posOffset>
            </wp:positionV>
            <wp:extent cx="791210" cy="561975"/>
            <wp:effectExtent l="0" t="0" r="8890" b="9525"/>
            <wp:wrapTopAndBottom/>
            <wp:docPr id="6" name="obrázek 18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NKU_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D74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75F6C" wp14:editId="77648D45">
                <wp:simplePos x="0" y="0"/>
                <wp:positionH relativeFrom="column">
                  <wp:posOffset>-3200400</wp:posOffset>
                </wp:positionH>
                <wp:positionV relativeFrom="paragraph">
                  <wp:posOffset>6286500</wp:posOffset>
                </wp:positionV>
                <wp:extent cx="3086100" cy="800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1AC" w:rsidRDefault="003B41AC" w:rsidP="0026117A">
                            <w:pPr>
                              <w:rPr>
                                <w:rFonts w:ascii="Arial" w:hAnsi="Arial" w:cs="Arial"/>
                                <w:color w:val="00459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595"/>
                              </w:rPr>
                              <w:t>Název sekce</w:t>
                            </w:r>
                          </w:p>
                          <w:p w:rsidR="003B41AC" w:rsidRDefault="003B41AC" w:rsidP="0026117A">
                            <w:pPr>
                              <w:rPr>
                                <w:rFonts w:ascii="Arial" w:hAnsi="Arial" w:cs="Arial"/>
                                <w:color w:val="00459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595"/>
                              </w:rPr>
                              <w:t>Název odboru</w:t>
                            </w:r>
                          </w:p>
                          <w:p w:rsidR="003B41AC" w:rsidRDefault="003B41AC" w:rsidP="0026117A">
                            <w:pPr>
                              <w:rPr>
                                <w:rFonts w:ascii="Arial" w:hAnsi="Arial" w:cs="Arial"/>
                                <w:color w:val="00459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595"/>
                              </w:rPr>
                              <w:t>Název oddělení</w:t>
                            </w:r>
                          </w:p>
                          <w:p w:rsidR="003B41AC" w:rsidRDefault="003B41AC" w:rsidP="0026117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595"/>
                              </w:rPr>
                              <w:t>Jankovcova 2, 170 04 Praha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52pt;margin-top:495pt;width:243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W5gQIAAA8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" stroked="f">
                <v:textbox>
                  <w:txbxContent>
                    <w:p w:rsidR="00355F91" w:rsidRDefault="00355F91" w:rsidP="0026117A">
                      <w:pPr>
                        <w:rPr>
                          <w:rFonts w:ascii="Arial" w:hAnsi="Arial" w:cs="Arial"/>
                          <w:color w:val="004595"/>
                        </w:rPr>
                      </w:pPr>
                      <w:r>
                        <w:rPr>
                          <w:rFonts w:ascii="Arial" w:hAnsi="Arial" w:cs="Arial"/>
                          <w:color w:val="004595"/>
                        </w:rPr>
                        <w:t>Název sekce</w:t>
                      </w:r>
                    </w:p>
                    <w:p w:rsidR="00355F91" w:rsidRDefault="00355F91" w:rsidP="0026117A">
                      <w:pPr>
                        <w:rPr>
                          <w:rFonts w:ascii="Arial" w:hAnsi="Arial" w:cs="Arial"/>
                          <w:color w:val="004595"/>
                        </w:rPr>
                      </w:pPr>
                      <w:r>
                        <w:rPr>
                          <w:rFonts w:ascii="Arial" w:hAnsi="Arial" w:cs="Arial"/>
                          <w:color w:val="004595"/>
                        </w:rPr>
                        <w:t>Název odboru</w:t>
                      </w:r>
                    </w:p>
                    <w:p w:rsidR="00355F91" w:rsidRDefault="00355F91" w:rsidP="0026117A">
                      <w:pPr>
                        <w:rPr>
                          <w:rFonts w:ascii="Arial" w:hAnsi="Arial" w:cs="Arial"/>
                          <w:color w:val="004595"/>
                        </w:rPr>
                      </w:pPr>
                      <w:r>
                        <w:rPr>
                          <w:rFonts w:ascii="Arial" w:hAnsi="Arial" w:cs="Arial"/>
                          <w:color w:val="004595"/>
                        </w:rPr>
                        <w:t>Název oddělení</w:t>
                      </w:r>
                    </w:p>
                    <w:p w:rsidR="00355F91" w:rsidRDefault="00355F91" w:rsidP="0026117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4595"/>
                        </w:rPr>
                        <w:t>Jankovcova 2, 170 04 Praha 7</w:t>
                      </w:r>
                    </w:p>
                  </w:txbxContent>
                </v:textbox>
              </v:shape>
            </w:pict>
          </mc:Fallback>
        </mc:AlternateContent>
      </w:r>
      <w:r w:rsidR="001D7D74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C8481" wp14:editId="14C42D0C">
                <wp:simplePos x="0" y="0"/>
                <wp:positionH relativeFrom="column">
                  <wp:posOffset>-3314700</wp:posOffset>
                </wp:positionH>
                <wp:positionV relativeFrom="paragraph">
                  <wp:posOffset>4914900</wp:posOffset>
                </wp:positionV>
                <wp:extent cx="3086100" cy="800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1AC" w:rsidRDefault="003B41AC" w:rsidP="0026117A">
                            <w:pPr>
                              <w:rPr>
                                <w:rFonts w:ascii="Arial" w:hAnsi="Arial" w:cs="Arial"/>
                                <w:color w:val="00459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595"/>
                              </w:rPr>
                              <w:t>Název sekce</w:t>
                            </w:r>
                          </w:p>
                          <w:p w:rsidR="003B41AC" w:rsidRDefault="003B41AC" w:rsidP="0026117A">
                            <w:pPr>
                              <w:rPr>
                                <w:rFonts w:ascii="Arial" w:hAnsi="Arial" w:cs="Arial"/>
                                <w:color w:val="00459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595"/>
                              </w:rPr>
                              <w:t>Název odboru</w:t>
                            </w:r>
                          </w:p>
                          <w:p w:rsidR="003B41AC" w:rsidRDefault="003B41AC" w:rsidP="0026117A">
                            <w:pPr>
                              <w:rPr>
                                <w:rFonts w:ascii="Arial" w:hAnsi="Arial" w:cs="Arial"/>
                                <w:color w:val="00459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595"/>
                              </w:rPr>
                              <w:t>Název oddělení</w:t>
                            </w:r>
                          </w:p>
                          <w:p w:rsidR="003B41AC" w:rsidRDefault="003B41AC" w:rsidP="0026117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595"/>
                              </w:rPr>
                              <w:t>Jankovcova 2, 170 04 Praha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61pt;margin-top:387pt;width:24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" stroked="f">
                <v:textbox>
                  <w:txbxContent>
                    <w:p w:rsidR="00355F91" w:rsidRDefault="00355F91" w:rsidP="0026117A">
                      <w:pPr>
                        <w:rPr>
                          <w:rFonts w:ascii="Arial" w:hAnsi="Arial" w:cs="Arial"/>
                          <w:color w:val="004595"/>
                        </w:rPr>
                      </w:pPr>
                      <w:r>
                        <w:rPr>
                          <w:rFonts w:ascii="Arial" w:hAnsi="Arial" w:cs="Arial"/>
                          <w:color w:val="004595"/>
                        </w:rPr>
                        <w:t>Název sekce</w:t>
                      </w:r>
                    </w:p>
                    <w:p w:rsidR="00355F91" w:rsidRDefault="00355F91" w:rsidP="0026117A">
                      <w:pPr>
                        <w:rPr>
                          <w:rFonts w:ascii="Arial" w:hAnsi="Arial" w:cs="Arial"/>
                          <w:color w:val="004595"/>
                        </w:rPr>
                      </w:pPr>
                      <w:r>
                        <w:rPr>
                          <w:rFonts w:ascii="Arial" w:hAnsi="Arial" w:cs="Arial"/>
                          <w:color w:val="004595"/>
                        </w:rPr>
                        <w:t>Název odboru</w:t>
                      </w:r>
                    </w:p>
                    <w:p w:rsidR="00355F91" w:rsidRDefault="00355F91" w:rsidP="0026117A">
                      <w:pPr>
                        <w:rPr>
                          <w:rFonts w:ascii="Arial" w:hAnsi="Arial" w:cs="Arial"/>
                          <w:color w:val="004595"/>
                        </w:rPr>
                      </w:pPr>
                      <w:r>
                        <w:rPr>
                          <w:rFonts w:ascii="Arial" w:hAnsi="Arial" w:cs="Arial"/>
                          <w:color w:val="004595"/>
                        </w:rPr>
                        <w:t>Název oddělení</w:t>
                      </w:r>
                    </w:p>
                    <w:p w:rsidR="00355F91" w:rsidRDefault="00355F91" w:rsidP="0026117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4595"/>
                        </w:rPr>
                        <w:t>Jankovcova 2, 170 04 Praha 7</w:t>
                      </w:r>
                    </w:p>
                  </w:txbxContent>
                </v:textbox>
              </v:shape>
            </w:pict>
          </mc:Fallback>
        </mc:AlternateContent>
      </w:r>
    </w:p>
    <w:p w:rsidR="0026117A" w:rsidRDefault="0026117A" w:rsidP="0026117A">
      <w:pPr>
        <w:jc w:val="center"/>
        <w:rPr>
          <w:rFonts w:ascii="Arial" w:hAnsi="Arial" w:cs="Arial"/>
          <w:sz w:val="22"/>
          <w:szCs w:val="22"/>
          <w:highlight w:val="lightGray"/>
        </w:rPr>
      </w:pPr>
    </w:p>
    <w:p w:rsidR="00C964C7" w:rsidRPr="004E22F5" w:rsidRDefault="00C964C7" w:rsidP="0026117A">
      <w:pPr>
        <w:jc w:val="center"/>
        <w:rPr>
          <w:rFonts w:ascii="Arial" w:hAnsi="Arial" w:cs="Arial"/>
          <w:sz w:val="22"/>
          <w:szCs w:val="22"/>
          <w:highlight w:val="lightGray"/>
        </w:rPr>
      </w:pPr>
    </w:p>
    <w:p w:rsidR="0026117A" w:rsidRPr="00E91032" w:rsidRDefault="0026117A" w:rsidP="0026117A">
      <w:pPr>
        <w:jc w:val="center"/>
        <w:rPr>
          <w:rFonts w:ascii="Arial" w:hAnsi="Arial" w:cs="Arial"/>
          <w:b/>
          <w:sz w:val="28"/>
          <w:szCs w:val="28"/>
        </w:rPr>
      </w:pPr>
      <w:r w:rsidRPr="00E91032">
        <w:rPr>
          <w:rFonts w:ascii="Arial" w:hAnsi="Arial" w:cs="Arial"/>
          <w:b/>
          <w:sz w:val="28"/>
          <w:szCs w:val="28"/>
        </w:rPr>
        <w:t>Kontrolní závěr z kontrolní akce</w:t>
      </w:r>
    </w:p>
    <w:p w:rsidR="0026117A" w:rsidRPr="004E22F5" w:rsidRDefault="0026117A" w:rsidP="0026117A">
      <w:pPr>
        <w:jc w:val="center"/>
        <w:rPr>
          <w:rFonts w:ascii="Arial" w:hAnsi="Arial" w:cs="Arial"/>
          <w:sz w:val="22"/>
          <w:szCs w:val="22"/>
          <w:highlight w:val="lightGray"/>
        </w:rPr>
      </w:pPr>
    </w:p>
    <w:p w:rsidR="0026117A" w:rsidRPr="00E91032" w:rsidRDefault="0026117A" w:rsidP="0026117A">
      <w:pPr>
        <w:jc w:val="center"/>
        <w:rPr>
          <w:rFonts w:ascii="Arial" w:hAnsi="Arial" w:cs="Arial"/>
          <w:b/>
          <w:sz w:val="28"/>
          <w:szCs w:val="28"/>
        </w:rPr>
      </w:pPr>
      <w:r w:rsidRPr="00E91032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3/38</w:t>
      </w:r>
    </w:p>
    <w:p w:rsidR="0026117A" w:rsidRPr="004E22F5" w:rsidRDefault="0026117A" w:rsidP="0026117A">
      <w:pPr>
        <w:jc w:val="center"/>
        <w:rPr>
          <w:rFonts w:ascii="Arial" w:hAnsi="Arial" w:cs="Arial"/>
          <w:sz w:val="22"/>
          <w:szCs w:val="22"/>
          <w:highlight w:val="lightGray"/>
        </w:rPr>
      </w:pPr>
    </w:p>
    <w:p w:rsidR="0026117A" w:rsidRPr="00E91032" w:rsidRDefault="0026117A" w:rsidP="0026117A">
      <w:pPr>
        <w:jc w:val="center"/>
        <w:rPr>
          <w:rFonts w:ascii="Arial" w:hAnsi="Arial" w:cs="Arial"/>
          <w:b/>
          <w:sz w:val="28"/>
          <w:szCs w:val="28"/>
        </w:rPr>
      </w:pPr>
      <w:r w:rsidRPr="00E91032">
        <w:rPr>
          <w:rFonts w:ascii="Arial" w:hAnsi="Arial" w:cs="Arial"/>
          <w:b/>
          <w:sz w:val="28"/>
          <w:szCs w:val="28"/>
        </w:rPr>
        <w:t>Závěrečný účet kapitoly státního rozpočtu</w:t>
      </w:r>
      <w:r>
        <w:rPr>
          <w:rFonts w:ascii="Arial" w:hAnsi="Arial" w:cs="Arial"/>
          <w:b/>
          <w:sz w:val="28"/>
          <w:szCs w:val="28"/>
        </w:rPr>
        <w:br/>
      </w:r>
      <w:r w:rsidRPr="007541C9">
        <w:rPr>
          <w:rFonts w:ascii="Arial" w:hAnsi="Arial"/>
          <w:b/>
          <w:i/>
          <w:sz w:val="28"/>
        </w:rPr>
        <w:t>Ministerstvo zemědělství</w:t>
      </w:r>
      <w:r w:rsidRPr="00E91032">
        <w:rPr>
          <w:rFonts w:ascii="Arial" w:hAnsi="Arial" w:cs="Arial"/>
          <w:b/>
          <w:sz w:val="28"/>
          <w:szCs w:val="28"/>
        </w:rPr>
        <w:t xml:space="preserve"> za rok 201</w:t>
      </w:r>
      <w:r>
        <w:rPr>
          <w:rFonts w:ascii="Arial" w:hAnsi="Arial" w:cs="Arial"/>
          <w:b/>
          <w:sz w:val="28"/>
          <w:szCs w:val="28"/>
        </w:rPr>
        <w:t>3, účetní závěrka a finanční výkazy Ministerstva zemědělství za rok 2013</w:t>
      </w: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</w:rPr>
      </w:pPr>
      <w:r w:rsidRPr="005C6553">
        <w:rPr>
          <w:rFonts w:ascii="Arial" w:hAnsi="Arial" w:cs="Arial"/>
          <w:sz w:val="22"/>
          <w:szCs w:val="22"/>
        </w:rPr>
        <w:t>Kontrolní akce byla zařazena do plánu kontrolní činnosti Nejvyššího kontrolního úřadu (dále jen „NKÚ“) na rok 201</w:t>
      </w:r>
      <w:r>
        <w:rPr>
          <w:rFonts w:ascii="Arial" w:hAnsi="Arial" w:cs="Arial"/>
          <w:sz w:val="22"/>
          <w:szCs w:val="22"/>
        </w:rPr>
        <w:t>3</w:t>
      </w:r>
      <w:r w:rsidRPr="005C6553">
        <w:rPr>
          <w:rFonts w:ascii="Arial" w:hAnsi="Arial" w:cs="Arial"/>
          <w:sz w:val="22"/>
          <w:szCs w:val="22"/>
        </w:rPr>
        <w:t xml:space="preserve"> pod číslem </w:t>
      </w:r>
      <w:r>
        <w:rPr>
          <w:rFonts w:ascii="Arial" w:hAnsi="Arial" w:cs="Arial"/>
          <w:sz w:val="22"/>
          <w:szCs w:val="22"/>
        </w:rPr>
        <w:t>13/38</w:t>
      </w:r>
      <w:r w:rsidRPr="005C6553">
        <w:rPr>
          <w:rFonts w:ascii="Arial" w:hAnsi="Arial" w:cs="Arial"/>
          <w:sz w:val="22"/>
          <w:szCs w:val="22"/>
        </w:rPr>
        <w:t>. Kontrolní akci řídila a kontrolní závěr vypracovala členka NKÚ Ing.</w:t>
      </w:r>
      <w:r w:rsidR="000D3024">
        <w:rPr>
          <w:rFonts w:ascii="Arial" w:hAnsi="Arial" w:cs="Arial"/>
          <w:sz w:val="22"/>
          <w:szCs w:val="22"/>
        </w:rPr>
        <w:t> </w:t>
      </w:r>
      <w:r w:rsidRPr="005C6553">
        <w:rPr>
          <w:rFonts w:ascii="Arial" w:hAnsi="Arial" w:cs="Arial"/>
          <w:sz w:val="22"/>
          <w:szCs w:val="22"/>
        </w:rPr>
        <w:t>Jaromíra Steidlová.</w:t>
      </w: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</w:rPr>
      </w:pPr>
      <w:r w:rsidRPr="005C6553">
        <w:rPr>
          <w:rFonts w:ascii="Arial" w:hAnsi="Arial" w:cs="Arial"/>
          <w:sz w:val="22"/>
          <w:szCs w:val="22"/>
        </w:rPr>
        <w:t xml:space="preserve">Cílem kontroly bylo prověřit, zda Ministerstvo zemědělství při </w:t>
      </w:r>
      <w:r w:rsidRPr="00C250A5">
        <w:rPr>
          <w:rFonts w:ascii="Arial" w:hAnsi="Arial" w:cs="Arial"/>
          <w:noProof/>
          <w:color w:val="000000"/>
          <w:sz w:val="22"/>
          <w:szCs w:val="22"/>
        </w:rPr>
        <w:t>sestavení</w:t>
      </w:r>
      <w:r w:rsidRPr="005C6553">
        <w:rPr>
          <w:rFonts w:ascii="Arial" w:hAnsi="Arial" w:cs="Arial"/>
          <w:sz w:val="22"/>
          <w:szCs w:val="22"/>
        </w:rPr>
        <w:t xml:space="preserve"> závěrečného účtu a</w:t>
      </w:r>
      <w:r>
        <w:rPr>
          <w:rFonts w:ascii="Arial" w:hAnsi="Arial" w:cs="Arial"/>
          <w:sz w:val="22"/>
          <w:szCs w:val="22"/>
        </w:rPr>
        <w:t> </w:t>
      </w:r>
      <w:r w:rsidRPr="005C6553">
        <w:rPr>
          <w:rFonts w:ascii="Arial" w:hAnsi="Arial" w:cs="Arial"/>
          <w:sz w:val="22"/>
          <w:szCs w:val="22"/>
        </w:rPr>
        <w:t>při vedení účetnictví a sestav</w:t>
      </w:r>
      <w:r>
        <w:rPr>
          <w:rFonts w:ascii="Arial" w:hAnsi="Arial" w:cs="Arial"/>
          <w:sz w:val="22"/>
          <w:szCs w:val="22"/>
        </w:rPr>
        <w:t>ení</w:t>
      </w:r>
      <w:r w:rsidRPr="005C6553">
        <w:rPr>
          <w:rFonts w:ascii="Arial" w:hAnsi="Arial" w:cs="Arial"/>
          <w:sz w:val="22"/>
          <w:szCs w:val="22"/>
        </w:rPr>
        <w:t xml:space="preserve"> účetní závěrky</w:t>
      </w:r>
      <w:r>
        <w:rPr>
          <w:rFonts w:ascii="Arial" w:hAnsi="Arial" w:cs="Arial"/>
          <w:sz w:val="22"/>
          <w:szCs w:val="22"/>
        </w:rPr>
        <w:t xml:space="preserve"> a finančních výkazů za rok 2013</w:t>
      </w:r>
      <w:r w:rsidRPr="005C6553">
        <w:rPr>
          <w:rFonts w:ascii="Arial" w:hAnsi="Arial" w:cs="Arial"/>
          <w:sz w:val="22"/>
          <w:szCs w:val="22"/>
        </w:rPr>
        <w:t xml:space="preserve"> postupovalo v souladu s</w:t>
      </w:r>
      <w:r>
        <w:rPr>
          <w:rFonts w:ascii="Arial" w:hAnsi="Arial" w:cs="Arial"/>
          <w:sz w:val="22"/>
          <w:szCs w:val="22"/>
        </w:rPr>
        <w:t xml:space="preserve"> příslušnými </w:t>
      </w:r>
      <w:r w:rsidRPr="005C6553">
        <w:rPr>
          <w:rFonts w:ascii="Arial" w:hAnsi="Arial" w:cs="Arial"/>
          <w:sz w:val="22"/>
          <w:szCs w:val="22"/>
        </w:rPr>
        <w:t>právními předpisy.</w:t>
      </w: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</w:rPr>
      </w:pPr>
      <w:r w:rsidRPr="005C6553">
        <w:rPr>
          <w:rFonts w:ascii="Arial" w:hAnsi="Arial" w:cs="Arial"/>
          <w:sz w:val="22"/>
          <w:szCs w:val="22"/>
        </w:rPr>
        <w:t>Kontrolovanou osobou bylo Ministerstvo zemědělství (dále také „MZe“).</w:t>
      </w: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</w:rPr>
      </w:pPr>
      <w:r w:rsidRPr="005C6553">
        <w:rPr>
          <w:rFonts w:ascii="Arial" w:hAnsi="Arial" w:cs="Arial"/>
          <w:sz w:val="22"/>
          <w:szCs w:val="22"/>
        </w:rPr>
        <w:t>Kontrolovaným obdobím byl rok 201</w:t>
      </w:r>
      <w:r>
        <w:rPr>
          <w:rFonts w:ascii="Arial" w:hAnsi="Arial" w:cs="Arial"/>
          <w:sz w:val="22"/>
          <w:szCs w:val="22"/>
        </w:rPr>
        <w:t>3</w:t>
      </w:r>
      <w:r w:rsidRPr="005C6553">
        <w:rPr>
          <w:rFonts w:ascii="Arial" w:hAnsi="Arial" w:cs="Arial"/>
          <w:sz w:val="22"/>
          <w:szCs w:val="22"/>
        </w:rPr>
        <w:t xml:space="preserve"> včetně souvisejících skutečností </w:t>
      </w:r>
      <w:r w:rsidRPr="005C6553">
        <w:rPr>
          <w:rFonts w:ascii="Arial" w:hAnsi="Arial" w:cs="Arial"/>
          <w:spacing w:val="-2"/>
          <w:sz w:val="22"/>
          <w:szCs w:val="22"/>
        </w:rPr>
        <w:t>z let předchozích a roku následujícího</w:t>
      </w:r>
      <w:r w:rsidRPr="005C6553">
        <w:rPr>
          <w:rFonts w:ascii="Arial" w:hAnsi="Arial" w:cs="Arial"/>
          <w:sz w:val="22"/>
          <w:szCs w:val="22"/>
        </w:rPr>
        <w:t>.</w:t>
      </w:r>
    </w:p>
    <w:p w:rsidR="0026117A" w:rsidRDefault="0026117A" w:rsidP="0026117A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</w:rPr>
      </w:pPr>
      <w:r w:rsidRPr="005C6553">
        <w:rPr>
          <w:rFonts w:ascii="Arial" w:hAnsi="Arial" w:cs="Arial"/>
          <w:sz w:val="22"/>
          <w:szCs w:val="22"/>
        </w:rPr>
        <w:t xml:space="preserve">Kontrola byla prováděna v době od </w:t>
      </w:r>
      <w:r>
        <w:rPr>
          <w:rFonts w:ascii="Arial" w:hAnsi="Arial" w:cs="Arial"/>
          <w:sz w:val="22"/>
          <w:szCs w:val="22"/>
        </w:rPr>
        <w:t>listopadu</w:t>
      </w:r>
      <w:r w:rsidRPr="005C65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2013 </w:t>
      </w:r>
      <w:r w:rsidRPr="005C6553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května</w:t>
      </w:r>
      <w:r w:rsidRPr="005C6553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4</w:t>
      </w:r>
      <w:r w:rsidRPr="005C6553">
        <w:rPr>
          <w:rFonts w:ascii="Arial" w:hAnsi="Arial" w:cs="Arial"/>
          <w:sz w:val="22"/>
          <w:szCs w:val="22"/>
        </w:rPr>
        <w:t>.</w:t>
      </w: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26117A" w:rsidRDefault="0026117A" w:rsidP="0026117A">
      <w:pPr>
        <w:jc w:val="both"/>
        <w:rPr>
          <w:rFonts w:ascii="Arial" w:hAnsi="Arial" w:cs="Arial"/>
          <w:sz w:val="22"/>
          <w:szCs w:val="22"/>
        </w:rPr>
      </w:pPr>
      <w:r w:rsidRPr="005C6553">
        <w:rPr>
          <w:rFonts w:ascii="Arial" w:hAnsi="Arial" w:cs="Arial"/>
          <w:sz w:val="22"/>
          <w:szCs w:val="22"/>
        </w:rPr>
        <w:t>Námitky proti kontrolnímu protokolu, které MZe podalo, vypořád</w:t>
      </w:r>
      <w:r>
        <w:rPr>
          <w:rFonts w:ascii="Arial" w:hAnsi="Arial" w:cs="Arial"/>
          <w:sz w:val="22"/>
          <w:szCs w:val="22"/>
        </w:rPr>
        <w:t>ala vedoucí</w:t>
      </w:r>
      <w:r w:rsidRPr="005C6553">
        <w:rPr>
          <w:rFonts w:ascii="Arial" w:hAnsi="Arial" w:cs="Arial"/>
          <w:sz w:val="22"/>
          <w:szCs w:val="22"/>
        </w:rPr>
        <w:t xml:space="preserve"> skupiny kontrolujících rozhodnutím o námitkách. </w:t>
      </w:r>
    </w:p>
    <w:p w:rsidR="006B4E35" w:rsidRPr="005C6553" w:rsidRDefault="006B4E35" w:rsidP="0026117A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  <w:highlight w:val="lightGray"/>
        </w:rPr>
      </w:pPr>
      <w:r w:rsidRPr="005C6553">
        <w:rPr>
          <w:rFonts w:ascii="Arial" w:hAnsi="Arial" w:cs="Arial"/>
          <w:b/>
          <w:bCs/>
          <w:i/>
          <w:iCs/>
          <w:spacing w:val="60"/>
          <w:sz w:val="22"/>
          <w:szCs w:val="22"/>
        </w:rPr>
        <w:t>Kolegium</w:t>
      </w:r>
      <w:r w:rsidRPr="004654ED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5C6553">
        <w:rPr>
          <w:rFonts w:ascii="Arial" w:hAnsi="Arial" w:cs="Arial"/>
          <w:b/>
          <w:bCs/>
          <w:i/>
          <w:iCs/>
          <w:spacing w:val="60"/>
          <w:sz w:val="22"/>
          <w:szCs w:val="22"/>
        </w:rPr>
        <w:t>NKÚ</w:t>
      </w:r>
      <w:r w:rsidRPr="005C6553">
        <w:rPr>
          <w:rFonts w:ascii="Arial" w:hAnsi="Arial" w:cs="Arial"/>
          <w:sz w:val="22"/>
          <w:szCs w:val="22"/>
        </w:rPr>
        <w:t xml:space="preserve">   na svém </w:t>
      </w:r>
      <w:r w:rsidR="00CD7E0C">
        <w:rPr>
          <w:rFonts w:ascii="Arial" w:hAnsi="Arial" w:cs="Arial"/>
          <w:sz w:val="22"/>
          <w:szCs w:val="22"/>
        </w:rPr>
        <w:t xml:space="preserve">XIII. </w:t>
      </w:r>
      <w:r w:rsidRPr="005C6553">
        <w:rPr>
          <w:rFonts w:ascii="Arial" w:hAnsi="Arial" w:cs="Arial"/>
          <w:sz w:val="22"/>
          <w:szCs w:val="22"/>
        </w:rPr>
        <w:t>zasedání, konaném dne</w:t>
      </w:r>
      <w:r w:rsidR="00CD7E0C">
        <w:rPr>
          <w:rFonts w:ascii="Arial" w:hAnsi="Arial" w:cs="Arial"/>
          <w:sz w:val="22"/>
          <w:szCs w:val="22"/>
        </w:rPr>
        <w:t xml:space="preserve"> 28. července 2014</w:t>
      </w:r>
      <w:r w:rsidRPr="005C6553">
        <w:rPr>
          <w:rFonts w:ascii="Arial" w:hAnsi="Arial" w:cs="Arial"/>
          <w:sz w:val="22"/>
          <w:szCs w:val="22"/>
        </w:rPr>
        <w:t>,</w:t>
      </w:r>
    </w:p>
    <w:p w:rsidR="0026117A" w:rsidRPr="005C6553" w:rsidRDefault="0026117A" w:rsidP="0026117A">
      <w:pPr>
        <w:jc w:val="both"/>
        <w:rPr>
          <w:rFonts w:ascii="Arial" w:hAnsi="Arial" w:cs="Arial"/>
          <w:sz w:val="22"/>
          <w:szCs w:val="22"/>
        </w:rPr>
      </w:pPr>
      <w:r w:rsidRPr="005C6553">
        <w:rPr>
          <w:rFonts w:ascii="Arial" w:hAnsi="Arial" w:cs="Arial"/>
          <w:b/>
          <w:bCs/>
          <w:i/>
          <w:iCs/>
          <w:spacing w:val="60"/>
          <w:sz w:val="22"/>
          <w:szCs w:val="22"/>
        </w:rPr>
        <w:t>schválilo</w:t>
      </w:r>
      <w:r w:rsidRPr="005C6553">
        <w:rPr>
          <w:rFonts w:ascii="Arial" w:hAnsi="Arial" w:cs="Arial"/>
          <w:sz w:val="22"/>
          <w:szCs w:val="22"/>
        </w:rPr>
        <w:t xml:space="preserve">   usnesením č. </w:t>
      </w:r>
      <w:r w:rsidR="00B93C8A">
        <w:rPr>
          <w:rFonts w:ascii="Arial" w:hAnsi="Arial" w:cs="Arial"/>
          <w:sz w:val="22"/>
          <w:szCs w:val="22"/>
        </w:rPr>
        <w:t>11</w:t>
      </w:r>
      <w:r w:rsidR="006B4E35">
        <w:rPr>
          <w:rFonts w:ascii="Arial" w:hAnsi="Arial" w:cs="Arial"/>
          <w:sz w:val="22"/>
          <w:szCs w:val="22"/>
        </w:rPr>
        <w:t>/</w:t>
      </w:r>
      <w:r w:rsidR="00CD7E0C">
        <w:rPr>
          <w:rFonts w:ascii="Arial" w:hAnsi="Arial" w:cs="Arial"/>
          <w:sz w:val="22"/>
          <w:szCs w:val="22"/>
        </w:rPr>
        <w:t>XIII</w:t>
      </w:r>
      <w:r w:rsidR="006B4E35">
        <w:rPr>
          <w:rFonts w:ascii="Arial" w:hAnsi="Arial" w:cs="Arial"/>
          <w:sz w:val="22"/>
          <w:szCs w:val="22"/>
        </w:rPr>
        <w:t>/2014</w:t>
      </w:r>
    </w:p>
    <w:p w:rsidR="0026117A" w:rsidRDefault="0026117A" w:rsidP="0026117A">
      <w:pPr>
        <w:jc w:val="both"/>
        <w:rPr>
          <w:rFonts w:ascii="Arial" w:hAnsi="Arial" w:cs="Arial"/>
          <w:sz w:val="22"/>
          <w:szCs w:val="22"/>
        </w:rPr>
      </w:pPr>
      <w:r w:rsidRPr="005C6553">
        <w:rPr>
          <w:rFonts w:ascii="Arial" w:hAnsi="Arial" w:cs="Arial"/>
          <w:b/>
          <w:bCs/>
          <w:i/>
          <w:iCs/>
          <w:spacing w:val="60"/>
          <w:sz w:val="22"/>
          <w:szCs w:val="22"/>
        </w:rPr>
        <w:t>kontrolní</w:t>
      </w:r>
      <w:r w:rsidRPr="004654ED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5C6553">
        <w:rPr>
          <w:rFonts w:ascii="Arial" w:hAnsi="Arial" w:cs="Arial"/>
          <w:b/>
          <w:bCs/>
          <w:i/>
          <w:iCs/>
          <w:spacing w:val="60"/>
          <w:sz w:val="22"/>
          <w:szCs w:val="22"/>
        </w:rPr>
        <w:t>závěr</w:t>
      </w:r>
      <w:r w:rsidRPr="005C6553">
        <w:rPr>
          <w:rFonts w:ascii="Arial" w:hAnsi="Arial" w:cs="Arial"/>
          <w:sz w:val="22"/>
          <w:szCs w:val="22"/>
        </w:rPr>
        <w:t xml:space="preserve">   v tomto znění:</w:t>
      </w:r>
    </w:p>
    <w:p w:rsidR="00646ABE" w:rsidRDefault="00646ABE" w:rsidP="0026117A">
      <w:pPr>
        <w:jc w:val="both"/>
        <w:rPr>
          <w:rFonts w:ascii="Arial" w:hAnsi="Arial" w:cs="Arial"/>
          <w:sz w:val="22"/>
          <w:szCs w:val="22"/>
        </w:rPr>
      </w:pPr>
    </w:p>
    <w:p w:rsidR="00646ABE" w:rsidRDefault="00646ABE" w:rsidP="0026117A">
      <w:pPr>
        <w:jc w:val="both"/>
        <w:rPr>
          <w:rFonts w:ascii="Arial" w:hAnsi="Arial" w:cs="Arial"/>
          <w:sz w:val="22"/>
          <w:szCs w:val="22"/>
        </w:rPr>
      </w:pPr>
    </w:p>
    <w:p w:rsidR="00646ABE" w:rsidRPr="00E91032" w:rsidRDefault="00646ABE" w:rsidP="00646ABE">
      <w:pPr>
        <w:jc w:val="center"/>
        <w:rPr>
          <w:rFonts w:ascii="Arial" w:hAnsi="Arial" w:cs="Arial"/>
          <w:b/>
        </w:rPr>
      </w:pPr>
      <w:r w:rsidRPr="00E91032">
        <w:rPr>
          <w:rFonts w:ascii="Arial" w:hAnsi="Arial" w:cs="Arial"/>
          <w:b/>
        </w:rPr>
        <w:t>I. Úvod</w:t>
      </w:r>
    </w:p>
    <w:p w:rsidR="00646ABE" w:rsidRPr="005C6553" w:rsidRDefault="00646ABE" w:rsidP="00646ABE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646ABE" w:rsidRPr="005C6553" w:rsidRDefault="00646ABE" w:rsidP="00646ABE">
      <w:pPr>
        <w:jc w:val="both"/>
        <w:rPr>
          <w:rFonts w:ascii="Arial" w:hAnsi="Arial" w:cs="Arial"/>
          <w:sz w:val="22"/>
          <w:szCs w:val="22"/>
          <w:highlight w:val="lightGray"/>
        </w:rPr>
      </w:pPr>
      <w:r w:rsidRPr="005C6553">
        <w:rPr>
          <w:rFonts w:ascii="Arial" w:hAnsi="Arial" w:cs="Arial"/>
          <w:sz w:val="22"/>
          <w:szCs w:val="22"/>
        </w:rPr>
        <w:t>MZe bylo zřízeno zákonem č. 2/1969 Sb., o zřízení ministerstev a jiných ústředních orgánů státní správy České republiky, ve znění pozdějších předpisů. MZe je ústředním orgánem státní správy, organizační složkou státu (dále také „OSS“), samostatnou účetní jednotkou a správcem rozpočtové kapitoly</w:t>
      </w:r>
      <w:r w:rsidR="00011D44">
        <w:rPr>
          <w:rFonts w:ascii="Arial" w:hAnsi="Arial" w:cs="Arial"/>
          <w:sz w:val="22"/>
          <w:szCs w:val="22"/>
        </w:rPr>
        <w:t xml:space="preserve"> státního rozpočtu</w:t>
      </w:r>
      <w:r w:rsidRPr="005C6553">
        <w:rPr>
          <w:rFonts w:ascii="Arial" w:hAnsi="Arial" w:cs="Arial"/>
          <w:sz w:val="22"/>
          <w:szCs w:val="22"/>
        </w:rPr>
        <w:t xml:space="preserve"> 329</w:t>
      </w:r>
      <w:r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3B41AC">
        <w:rPr>
          <w:rFonts w:ascii="Arial" w:hAnsi="Arial" w:cs="Arial"/>
          <w:sz w:val="22"/>
          <w:szCs w:val="22"/>
        </w:rPr>
        <w:t xml:space="preserve">– </w:t>
      </w:r>
      <w:r w:rsidRPr="007541C9">
        <w:rPr>
          <w:rFonts w:ascii="Arial" w:hAnsi="Arial"/>
          <w:i/>
          <w:sz w:val="22"/>
        </w:rPr>
        <w:t>Ministerstvo zemědělství</w:t>
      </w:r>
      <w:r w:rsidRPr="005C6553">
        <w:rPr>
          <w:rFonts w:ascii="Arial" w:hAnsi="Arial" w:cs="Arial"/>
          <w:sz w:val="22"/>
          <w:szCs w:val="22"/>
        </w:rPr>
        <w:t xml:space="preserve"> (dále také „kapitola 329</w:t>
      </w:r>
      <w:r>
        <w:rPr>
          <w:rFonts w:ascii="Arial" w:hAnsi="Arial" w:cs="Arial"/>
          <w:sz w:val="22"/>
          <w:szCs w:val="22"/>
        </w:rPr>
        <w:t> </w:t>
      </w:r>
      <w:r w:rsidRPr="005C6553">
        <w:rPr>
          <w:rFonts w:ascii="Arial" w:hAnsi="Arial" w:cs="Arial"/>
          <w:sz w:val="22"/>
          <w:szCs w:val="22"/>
        </w:rPr>
        <w:t>MZe“).</w:t>
      </w:r>
    </w:p>
    <w:p w:rsidR="00646ABE" w:rsidRPr="005C6553" w:rsidRDefault="00646ABE" w:rsidP="00646ABE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646ABE" w:rsidRPr="005C6553" w:rsidRDefault="00646ABE" w:rsidP="00646ABE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C6553">
        <w:rPr>
          <w:rFonts w:ascii="Arial" w:hAnsi="Arial" w:cs="Arial"/>
          <w:bCs/>
          <w:iCs/>
          <w:sz w:val="22"/>
          <w:szCs w:val="22"/>
        </w:rPr>
        <w:t xml:space="preserve">MZe </w:t>
      </w:r>
      <w:r w:rsidR="00E9018C">
        <w:rPr>
          <w:rFonts w:ascii="Arial" w:hAnsi="Arial" w:cs="Arial"/>
          <w:bCs/>
          <w:iCs/>
          <w:sz w:val="22"/>
          <w:szCs w:val="22"/>
        </w:rPr>
        <w:t xml:space="preserve">bylo </w:t>
      </w:r>
      <w:r w:rsidRPr="005C6553">
        <w:rPr>
          <w:rFonts w:ascii="Arial" w:hAnsi="Arial" w:cs="Arial"/>
          <w:bCs/>
          <w:iCs/>
          <w:sz w:val="22"/>
          <w:szCs w:val="22"/>
        </w:rPr>
        <w:t xml:space="preserve">v roce </w:t>
      </w:r>
      <w:r>
        <w:rPr>
          <w:rFonts w:ascii="Arial" w:hAnsi="Arial" w:cs="Arial"/>
          <w:bCs/>
          <w:iCs/>
          <w:sz w:val="22"/>
          <w:szCs w:val="22"/>
        </w:rPr>
        <w:t>2013</w:t>
      </w:r>
      <w:r w:rsidR="00011D44">
        <w:rPr>
          <w:rFonts w:ascii="Arial" w:hAnsi="Arial" w:cs="Arial"/>
          <w:bCs/>
          <w:iCs/>
          <w:sz w:val="22"/>
          <w:szCs w:val="22"/>
        </w:rPr>
        <w:t xml:space="preserve"> zřizovatelem</w:t>
      </w:r>
      <w:r w:rsidRPr="005C6553">
        <w:rPr>
          <w:rFonts w:ascii="Arial" w:hAnsi="Arial" w:cs="Arial"/>
          <w:bCs/>
          <w:iCs/>
          <w:sz w:val="22"/>
          <w:szCs w:val="22"/>
        </w:rPr>
        <w:t xml:space="preserve"> </w:t>
      </w:r>
      <w:r w:rsidR="004452EA">
        <w:rPr>
          <w:rFonts w:ascii="Arial" w:hAnsi="Arial" w:cs="Arial"/>
          <w:bCs/>
          <w:iCs/>
          <w:sz w:val="22"/>
          <w:szCs w:val="22"/>
        </w:rPr>
        <w:t>osm</w:t>
      </w:r>
      <w:r w:rsidR="00E9018C">
        <w:rPr>
          <w:rFonts w:ascii="Arial" w:hAnsi="Arial" w:cs="Arial"/>
          <w:bCs/>
          <w:iCs/>
          <w:sz w:val="22"/>
          <w:szCs w:val="22"/>
        </w:rPr>
        <w:t>i</w:t>
      </w:r>
      <w:r w:rsidRPr="005C6553">
        <w:rPr>
          <w:rFonts w:ascii="Arial" w:hAnsi="Arial" w:cs="Arial"/>
          <w:bCs/>
          <w:iCs/>
          <w:sz w:val="22"/>
          <w:szCs w:val="22"/>
        </w:rPr>
        <w:t xml:space="preserve"> organizačních složek státu a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="00E9018C">
        <w:rPr>
          <w:rFonts w:ascii="Arial" w:hAnsi="Arial" w:cs="Arial"/>
          <w:bCs/>
          <w:iCs/>
          <w:sz w:val="22"/>
          <w:szCs w:val="22"/>
        </w:rPr>
        <w:t>devíti</w:t>
      </w:r>
      <w:r w:rsidR="004452E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C6553">
        <w:rPr>
          <w:rFonts w:ascii="Arial" w:hAnsi="Arial" w:cs="Arial"/>
          <w:bCs/>
          <w:iCs/>
          <w:sz w:val="22"/>
          <w:szCs w:val="22"/>
        </w:rPr>
        <w:t>příspěvkových organizací. Údaje od těchto podřízených organizací se promítají do příjmů a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5C6553">
        <w:rPr>
          <w:rFonts w:ascii="Arial" w:hAnsi="Arial" w:cs="Arial"/>
          <w:bCs/>
          <w:iCs/>
          <w:sz w:val="22"/>
          <w:szCs w:val="22"/>
        </w:rPr>
        <w:t xml:space="preserve">výdajů kapitoly </w:t>
      </w:r>
      <w:r w:rsidR="00011D44">
        <w:rPr>
          <w:rFonts w:ascii="Arial" w:hAnsi="Arial" w:cs="Arial"/>
          <w:bCs/>
          <w:iCs/>
          <w:sz w:val="22"/>
          <w:szCs w:val="22"/>
        </w:rPr>
        <w:t xml:space="preserve">státního rozpočtu </w:t>
      </w:r>
      <w:r w:rsidRPr="005C6553">
        <w:rPr>
          <w:rFonts w:ascii="Arial" w:hAnsi="Arial" w:cs="Arial"/>
          <w:sz w:val="22"/>
          <w:szCs w:val="22"/>
        </w:rPr>
        <w:t>329 MZe</w:t>
      </w:r>
      <w:r w:rsidRPr="005C6553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 xml:space="preserve"> V roce 2013</w:t>
      </w:r>
      <w:r w:rsidR="0022151F">
        <w:rPr>
          <w:rFonts w:ascii="Arial" w:hAnsi="Arial" w:cs="Arial"/>
          <w:bCs/>
          <w:iCs/>
          <w:sz w:val="22"/>
          <w:szCs w:val="22"/>
        </w:rPr>
        <w:t xml:space="preserve"> bylo součástí</w:t>
      </w:r>
      <w:r w:rsidRPr="005C6553">
        <w:rPr>
          <w:rFonts w:ascii="Arial" w:hAnsi="Arial" w:cs="Arial"/>
          <w:sz w:val="22"/>
          <w:szCs w:val="22"/>
        </w:rPr>
        <w:t xml:space="preserve"> </w:t>
      </w:r>
      <w:r w:rsidR="006B4E35">
        <w:rPr>
          <w:rFonts w:ascii="Arial" w:hAnsi="Arial" w:cs="Arial"/>
          <w:sz w:val="22"/>
          <w:szCs w:val="22"/>
        </w:rPr>
        <w:t xml:space="preserve">MZe </w:t>
      </w:r>
      <w:r w:rsidR="004452EA">
        <w:rPr>
          <w:rFonts w:ascii="Arial" w:hAnsi="Arial" w:cs="Arial"/>
          <w:sz w:val="22"/>
          <w:szCs w:val="22"/>
        </w:rPr>
        <w:t xml:space="preserve">třináct </w:t>
      </w:r>
      <w:r w:rsidRPr="005C655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rajských </w:t>
      </w:r>
      <w:r w:rsidR="004D29EB">
        <w:rPr>
          <w:rFonts w:ascii="Arial" w:hAnsi="Arial" w:cs="Arial"/>
          <w:sz w:val="22"/>
          <w:szCs w:val="22"/>
        </w:rPr>
        <w:t>a</w:t>
      </w:r>
      <w:r w:rsidRPr="005C6553">
        <w:rPr>
          <w:rFonts w:ascii="Arial" w:hAnsi="Arial" w:cs="Arial"/>
          <w:sz w:val="22"/>
          <w:szCs w:val="22"/>
        </w:rPr>
        <w:t>gentur pro zemědělství a venkov</w:t>
      </w:r>
      <w:r>
        <w:rPr>
          <w:rFonts w:ascii="Arial" w:hAnsi="Arial" w:cs="Arial"/>
          <w:sz w:val="22"/>
          <w:szCs w:val="22"/>
        </w:rPr>
        <w:t xml:space="preserve">. </w:t>
      </w:r>
      <w:r w:rsidR="008577C6">
        <w:rPr>
          <w:rFonts w:ascii="Arial" w:hAnsi="Arial" w:cs="Arial"/>
          <w:sz w:val="22"/>
          <w:szCs w:val="22"/>
        </w:rPr>
        <w:t>Od 1. ledna 2013</w:t>
      </w:r>
      <w:r w:rsidR="0022151F">
        <w:rPr>
          <w:rFonts w:ascii="Arial" w:hAnsi="Arial" w:cs="Arial"/>
          <w:sz w:val="22"/>
          <w:szCs w:val="22"/>
        </w:rPr>
        <w:t xml:space="preserve"> </w:t>
      </w:r>
      <w:r w:rsidR="00E9018C">
        <w:rPr>
          <w:rFonts w:ascii="Arial" w:hAnsi="Arial" w:cs="Arial"/>
          <w:sz w:val="22"/>
          <w:szCs w:val="22"/>
        </w:rPr>
        <w:t>vznikl podle zákona č. </w:t>
      </w:r>
      <w:r w:rsidR="0011037B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E9018C">
        <w:rPr>
          <w:rFonts w:ascii="Arial" w:hAnsi="Arial" w:cs="Arial"/>
          <w:sz w:val="22"/>
          <w:szCs w:val="22"/>
        </w:rPr>
        <w:t>,</w:t>
      </w:r>
      <w:r w:rsidR="0011037B">
        <w:rPr>
          <w:rFonts w:ascii="Arial" w:hAnsi="Arial" w:cs="Arial"/>
          <w:sz w:val="22"/>
          <w:szCs w:val="22"/>
        </w:rPr>
        <w:t xml:space="preserve"> Státní pozemkový úřad, který od MZe převzal příslušnost hospodařit s majetkem České republiky ve stejném rozsahu nutném pro činnost zrušených pozemkových úřadů a Ústředního pozemkového úřadu.</w:t>
      </w:r>
    </w:p>
    <w:p w:rsidR="00646ABE" w:rsidRPr="005C6553" w:rsidRDefault="00646ABE" w:rsidP="00646ABE">
      <w:pPr>
        <w:pStyle w:val="Zkladntext3"/>
        <w:jc w:val="both"/>
        <w:rPr>
          <w:rFonts w:ascii="Arial" w:hAnsi="Arial" w:cs="Arial"/>
          <w:bCs/>
          <w:iCs/>
          <w:sz w:val="22"/>
          <w:szCs w:val="22"/>
        </w:rPr>
      </w:pPr>
    </w:p>
    <w:p w:rsidR="00646ABE" w:rsidRPr="005C6553" w:rsidRDefault="00646ABE" w:rsidP="00646ABE">
      <w:pPr>
        <w:jc w:val="both"/>
        <w:rPr>
          <w:rFonts w:ascii="Arial" w:hAnsi="Arial" w:cs="Arial"/>
          <w:sz w:val="22"/>
          <w:szCs w:val="22"/>
        </w:rPr>
      </w:pPr>
      <w:r w:rsidRPr="005C6553">
        <w:rPr>
          <w:rFonts w:ascii="Arial" w:hAnsi="Arial" w:cs="Arial"/>
          <w:sz w:val="22"/>
          <w:szCs w:val="22"/>
        </w:rPr>
        <w:t>Účetnictví MZe je členěno do čtrnácti účetních okruhů tvořených ústředím MZe a třinácti krajskými agenturami pro zemědělství a venkov.</w:t>
      </w:r>
    </w:p>
    <w:p w:rsidR="00646ABE" w:rsidRPr="005C6553" w:rsidRDefault="00646ABE" w:rsidP="00646AB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646ABE" w:rsidRPr="005C6553" w:rsidRDefault="00646ABE" w:rsidP="00646ABE">
      <w:pPr>
        <w:jc w:val="both"/>
        <w:rPr>
          <w:rFonts w:ascii="Arial" w:hAnsi="Arial" w:cs="Arial"/>
          <w:sz w:val="22"/>
          <w:szCs w:val="22"/>
        </w:rPr>
      </w:pPr>
      <w:r w:rsidRPr="005C6553">
        <w:rPr>
          <w:rFonts w:ascii="Arial" w:hAnsi="Arial" w:cs="Arial"/>
          <w:sz w:val="22"/>
          <w:szCs w:val="22"/>
        </w:rPr>
        <w:t>V působnosti MZe je Státní zemědělský intervenční fond (dále jen „SZIF“)</w:t>
      </w:r>
      <w:r>
        <w:rPr>
          <w:rFonts w:ascii="Arial" w:hAnsi="Arial" w:cs="Arial"/>
          <w:sz w:val="22"/>
          <w:szCs w:val="22"/>
        </w:rPr>
        <w:t xml:space="preserve"> </w:t>
      </w:r>
      <w:r w:rsidRPr="005C6553">
        <w:rPr>
          <w:rFonts w:ascii="Arial" w:hAnsi="Arial" w:cs="Arial"/>
          <w:sz w:val="22"/>
          <w:szCs w:val="22"/>
        </w:rPr>
        <w:t>zří</w:t>
      </w:r>
      <w:r>
        <w:rPr>
          <w:rFonts w:ascii="Arial" w:hAnsi="Arial" w:cs="Arial"/>
          <w:sz w:val="22"/>
          <w:szCs w:val="22"/>
        </w:rPr>
        <w:t>zený zákonem č. </w:t>
      </w:r>
      <w:r w:rsidRPr="005C6553">
        <w:rPr>
          <w:rFonts w:ascii="Arial" w:hAnsi="Arial" w:cs="Arial"/>
          <w:sz w:val="22"/>
          <w:szCs w:val="22"/>
        </w:rPr>
        <w:t>256/2000 Sb., o Státním zemědělském intervenčním fondu</w:t>
      </w:r>
      <w:r>
        <w:rPr>
          <w:rFonts w:ascii="Arial" w:hAnsi="Arial" w:cs="Arial"/>
          <w:sz w:val="22"/>
          <w:szCs w:val="22"/>
        </w:rPr>
        <w:t xml:space="preserve"> a o změně některých dalších zákonů</w:t>
      </w:r>
      <w:r w:rsidRPr="005C6553">
        <w:rPr>
          <w:rFonts w:ascii="Arial" w:hAnsi="Arial" w:cs="Arial"/>
          <w:sz w:val="22"/>
          <w:szCs w:val="22"/>
        </w:rPr>
        <w:t xml:space="preserve">. </w:t>
      </w:r>
    </w:p>
    <w:p w:rsidR="00646ABE" w:rsidRPr="005C6553" w:rsidRDefault="00646ABE" w:rsidP="00646AB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646ABE" w:rsidRPr="00107B2A" w:rsidRDefault="00FD6506" w:rsidP="00646ABE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V roce</w:t>
      </w:r>
      <w:r w:rsidR="00AE49BA" w:rsidRPr="00D9039A">
        <w:rPr>
          <w:rFonts w:ascii="Arial" w:hAnsi="Arial" w:cs="Arial"/>
          <w:sz w:val="22"/>
          <w:szCs w:val="22"/>
        </w:rPr>
        <w:t xml:space="preserve"> 2013</w:t>
      </w:r>
      <w:r w:rsidR="00E03ADC">
        <w:rPr>
          <w:rFonts w:ascii="Arial" w:hAnsi="Arial" w:cs="Arial"/>
          <w:sz w:val="22"/>
          <w:szCs w:val="22"/>
        </w:rPr>
        <w:t xml:space="preserve"> </w:t>
      </w:r>
      <w:r w:rsidR="00E9018C">
        <w:rPr>
          <w:rFonts w:ascii="Arial" w:hAnsi="Arial" w:cs="Arial"/>
          <w:sz w:val="22"/>
          <w:szCs w:val="22"/>
        </w:rPr>
        <w:t>činil</w:t>
      </w:r>
      <w:r w:rsidR="00646ABE" w:rsidRPr="00D9039A">
        <w:rPr>
          <w:rFonts w:ascii="Arial" w:hAnsi="Arial" w:cs="Arial"/>
          <w:sz w:val="22"/>
          <w:szCs w:val="22"/>
        </w:rPr>
        <w:t xml:space="preserve"> podíl příjmů MZe na celkovém souhrnu příjmů kapitoly 329 MZe 9</w:t>
      </w:r>
      <w:r w:rsidR="00AE49BA" w:rsidRPr="00D9039A">
        <w:rPr>
          <w:rFonts w:ascii="Arial" w:hAnsi="Arial" w:cs="Arial"/>
          <w:sz w:val="22"/>
          <w:szCs w:val="22"/>
        </w:rPr>
        <w:t>5,50</w:t>
      </w:r>
      <w:r w:rsidR="00646ABE" w:rsidRPr="00D9039A">
        <w:rPr>
          <w:rFonts w:ascii="Arial" w:hAnsi="Arial" w:cs="Arial"/>
          <w:sz w:val="22"/>
          <w:szCs w:val="22"/>
        </w:rPr>
        <w:t> % a podíl výdajů MZe na celkovém souhrnu v</w:t>
      </w:r>
      <w:r w:rsidR="00AE49BA" w:rsidRPr="00D9039A">
        <w:rPr>
          <w:rFonts w:ascii="Arial" w:hAnsi="Arial" w:cs="Arial"/>
          <w:sz w:val="22"/>
          <w:szCs w:val="22"/>
        </w:rPr>
        <w:t>ýdajů kapitoly 329 MZe byl 91,69</w:t>
      </w:r>
      <w:r w:rsidR="00646ABE" w:rsidRPr="00D9039A">
        <w:rPr>
          <w:rFonts w:ascii="Arial" w:hAnsi="Arial" w:cs="Arial"/>
          <w:sz w:val="22"/>
          <w:szCs w:val="22"/>
        </w:rPr>
        <w:t xml:space="preserve"> %. Podíl aktiv</w:t>
      </w:r>
      <w:r w:rsidR="002B6C66">
        <w:rPr>
          <w:rFonts w:ascii="Arial" w:hAnsi="Arial" w:cs="Arial"/>
          <w:sz w:val="22"/>
          <w:szCs w:val="22"/>
        </w:rPr>
        <w:t xml:space="preserve"> </w:t>
      </w:r>
      <w:r w:rsidR="00646ABE" w:rsidRPr="00D9039A">
        <w:rPr>
          <w:rFonts w:ascii="Arial" w:hAnsi="Arial" w:cs="Arial"/>
          <w:sz w:val="22"/>
          <w:szCs w:val="22"/>
        </w:rPr>
        <w:t>MZe na celkovém souhrnu vykázaných akt</w:t>
      </w:r>
      <w:r w:rsidR="00D9039A" w:rsidRPr="00D9039A">
        <w:rPr>
          <w:rFonts w:ascii="Arial" w:hAnsi="Arial" w:cs="Arial"/>
          <w:sz w:val="22"/>
          <w:szCs w:val="22"/>
        </w:rPr>
        <w:t>iv</w:t>
      </w:r>
      <w:r w:rsidR="002B6C66">
        <w:rPr>
          <w:rFonts w:ascii="Arial" w:hAnsi="Arial" w:cs="Arial"/>
          <w:sz w:val="22"/>
          <w:szCs w:val="22"/>
        </w:rPr>
        <w:t xml:space="preserve"> </w:t>
      </w:r>
      <w:r w:rsidR="00D9039A" w:rsidRPr="00D9039A">
        <w:rPr>
          <w:rFonts w:ascii="Arial" w:hAnsi="Arial" w:cs="Arial"/>
          <w:sz w:val="22"/>
          <w:szCs w:val="22"/>
        </w:rPr>
        <w:t>za kapitolu 329 MZe byl 11,65</w:t>
      </w:r>
      <w:r w:rsidR="00646ABE" w:rsidRPr="00D9039A">
        <w:rPr>
          <w:rFonts w:ascii="Arial" w:hAnsi="Arial" w:cs="Arial"/>
          <w:sz w:val="22"/>
          <w:szCs w:val="22"/>
        </w:rPr>
        <w:t xml:space="preserve"> %.</w:t>
      </w:r>
      <w:r w:rsidR="00D9039A">
        <w:rPr>
          <w:rFonts w:ascii="Arial" w:hAnsi="Arial" w:cs="Arial"/>
          <w:sz w:val="22"/>
          <w:szCs w:val="22"/>
        </w:rPr>
        <w:t xml:space="preserve"> Podíl nákladů z hlavní činnosti MZe na celkovém souhrnu nákladů z hlavní činnosti kapitoly 329 MZe</w:t>
      </w:r>
      <w:r w:rsidR="00E17714">
        <w:rPr>
          <w:rFonts w:ascii="Arial" w:hAnsi="Arial" w:cs="Arial"/>
          <w:sz w:val="22"/>
          <w:szCs w:val="22"/>
        </w:rPr>
        <w:t xml:space="preserve"> </w:t>
      </w:r>
      <w:r w:rsidR="00D9039A">
        <w:rPr>
          <w:rFonts w:ascii="Arial" w:hAnsi="Arial" w:cs="Arial"/>
          <w:sz w:val="22"/>
          <w:szCs w:val="22"/>
        </w:rPr>
        <w:t xml:space="preserve">v roce 2013 byl 88,74 % a podíl výnosů z hlavní činnosti </w:t>
      </w:r>
      <w:r w:rsidR="00836431">
        <w:rPr>
          <w:rFonts w:ascii="Arial" w:hAnsi="Arial" w:cs="Arial"/>
          <w:sz w:val="22"/>
          <w:szCs w:val="22"/>
        </w:rPr>
        <w:t>MZe</w:t>
      </w:r>
      <w:r w:rsidR="00D9039A">
        <w:rPr>
          <w:rFonts w:ascii="Arial" w:hAnsi="Arial" w:cs="Arial"/>
          <w:sz w:val="22"/>
          <w:szCs w:val="22"/>
        </w:rPr>
        <w:t xml:space="preserve"> na celkovém souhrnu výnosů z hlavní činnosti kapitoly </w:t>
      </w:r>
      <w:r w:rsidR="00836431">
        <w:rPr>
          <w:rFonts w:ascii="Arial" w:hAnsi="Arial" w:cs="Arial"/>
          <w:sz w:val="22"/>
          <w:szCs w:val="22"/>
        </w:rPr>
        <w:t>329 MZe</w:t>
      </w:r>
      <w:r w:rsidR="00D9039A">
        <w:rPr>
          <w:rFonts w:ascii="Arial" w:hAnsi="Arial" w:cs="Arial"/>
          <w:sz w:val="22"/>
          <w:szCs w:val="22"/>
        </w:rPr>
        <w:t xml:space="preserve"> v </w:t>
      </w:r>
      <w:r w:rsidR="00836431">
        <w:rPr>
          <w:rFonts w:ascii="Arial" w:hAnsi="Arial" w:cs="Arial"/>
          <w:sz w:val="22"/>
          <w:szCs w:val="22"/>
        </w:rPr>
        <w:t>roce 2013 byl 94,76</w:t>
      </w:r>
      <w:r w:rsidR="00D9039A">
        <w:rPr>
          <w:rFonts w:ascii="Arial" w:hAnsi="Arial" w:cs="Arial"/>
          <w:sz w:val="22"/>
          <w:szCs w:val="22"/>
        </w:rPr>
        <w:t xml:space="preserve"> %.</w:t>
      </w:r>
    </w:p>
    <w:p w:rsidR="00646ABE" w:rsidRPr="00107B2A" w:rsidRDefault="00646ABE" w:rsidP="00646AB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646ABE" w:rsidRPr="00107B2A" w:rsidRDefault="00646ABE" w:rsidP="00646ABE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D9039A">
        <w:rPr>
          <w:rFonts w:ascii="Arial" w:hAnsi="Arial" w:cs="Arial"/>
          <w:sz w:val="22"/>
          <w:szCs w:val="22"/>
        </w:rPr>
        <w:t>Kontrolovány byly činnosti a skutečnosti, které byly předmětem účetn</w:t>
      </w:r>
      <w:r w:rsidR="00D9039A" w:rsidRPr="00D9039A">
        <w:rPr>
          <w:rFonts w:ascii="Arial" w:hAnsi="Arial" w:cs="Arial"/>
          <w:sz w:val="22"/>
          <w:szCs w:val="22"/>
        </w:rPr>
        <w:t>ictví MZe a měly vliv na hodnotu</w:t>
      </w:r>
      <w:r w:rsidRPr="00D9039A">
        <w:rPr>
          <w:rFonts w:ascii="Arial" w:hAnsi="Arial" w:cs="Arial"/>
          <w:sz w:val="22"/>
          <w:szCs w:val="22"/>
        </w:rPr>
        <w:t xml:space="preserve"> kontrolovaných významných konečných zůstatků účtů v účetní</w:t>
      </w:r>
      <w:r w:rsidR="00D9039A" w:rsidRPr="00D9039A">
        <w:rPr>
          <w:rFonts w:ascii="Arial" w:hAnsi="Arial" w:cs="Arial"/>
          <w:sz w:val="22"/>
          <w:szCs w:val="22"/>
        </w:rPr>
        <w:t xml:space="preserve"> závěrce MZe </w:t>
      </w:r>
      <w:r w:rsidR="00E9018C" w:rsidRPr="00D9039A">
        <w:rPr>
          <w:rFonts w:ascii="Arial" w:hAnsi="Arial" w:cs="Arial"/>
          <w:sz w:val="22"/>
          <w:szCs w:val="22"/>
        </w:rPr>
        <w:t>(dále také „ÚZ“)</w:t>
      </w:r>
      <w:r w:rsidR="00E9018C">
        <w:rPr>
          <w:rFonts w:ascii="Arial" w:hAnsi="Arial" w:cs="Arial"/>
          <w:sz w:val="22"/>
          <w:szCs w:val="22"/>
        </w:rPr>
        <w:t xml:space="preserve"> </w:t>
      </w:r>
      <w:r w:rsidR="00D9039A">
        <w:rPr>
          <w:rFonts w:ascii="Arial" w:hAnsi="Arial" w:cs="Arial"/>
          <w:sz w:val="22"/>
          <w:szCs w:val="22"/>
        </w:rPr>
        <w:t xml:space="preserve">sestavené </w:t>
      </w:r>
      <w:r w:rsidR="00D9039A" w:rsidRPr="00D9039A">
        <w:rPr>
          <w:rFonts w:ascii="Arial" w:hAnsi="Arial" w:cs="Arial"/>
          <w:sz w:val="22"/>
          <w:szCs w:val="22"/>
        </w:rPr>
        <w:t>k 31. prosinci 2013</w:t>
      </w:r>
      <w:r w:rsidRPr="00D9039A">
        <w:rPr>
          <w:rFonts w:ascii="Arial" w:hAnsi="Arial" w:cs="Arial"/>
          <w:sz w:val="22"/>
          <w:szCs w:val="22"/>
        </w:rPr>
        <w:t>, na hodnotu údajů ve finančních výkazech MZe za rok</w:t>
      </w:r>
      <w:r w:rsidR="00D9039A" w:rsidRPr="00D9039A">
        <w:rPr>
          <w:rFonts w:ascii="Arial" w:hAnsi="Arial" w:cs="Arial"/>
          <w:sz w:val="22"/>
          <w:szCs w:val="22"/>
        </w:rPr>
        <w:t xml:space="preserve"> 2013</w:t>
      </w:r>
      <w:r w:rsidRPr="00D9039A">
        <w:rPr>
          <w:rFonts w:ascii="Arial" w:hAnsi="Arial" w:cs="Arial"/>
          <w:sz w:val="22"/>
          <w:szCs w:val="22"/>
        </w:rPr>
        <w:t xml:space="preserve"> a na závěrečný ú</w:t>
      </w:r>
      <w:r w:rsidR="00D9039A" w:rsidRPr="00D9039A">
        <w:rPr>
          <w:rFonts w:ascii="Arial" w:hAnsi="Arial" w:cs="Arial"/>
          <w:sz w:val="22"/>
          <w:szCs w:val="22"/>
        </w:rPr>
        <w:t>čet kapitoly 329 MZe za rok 2013</w:t>
      </w:r>
      <w:r w:rsidRPr="00D9039A">
        <w:rPr>
          <w:rFonts w:ascii="Arial" w:hAnsi="Arial" w:cs="Arial"/>
          <w:sz w:val="22"/>
          <w:szCs w:val="22"/>
        </w:rPr>
        <w:t>.</w:t>
      </w:r>
    </w:p>
    <w:p w:rsidR="00646ABE" w:rsidRPr="00107B2A" w:rsidRDefault="00646ABE" w:rsidP="00646AB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646ABE" w:rsidRPr="00D9039A" w:rsidRDefault="00646ABE" w:rsidP="00646ABE">
      <w:pPr>
        <w:jc w:val="both"/>
        <w:rPr>
          <w:rFonts w:ascii="Arial" w:hAnsi="Arial" w:cs="Arial"/>
          <w:sz w:val="22"/>
          <w:szCs w:val="22"/>
        </w:rPr>
      </w:pPr>
      <w:r w:rsidRPr="00D9039A">
        <w:rPr>
          <w:rFonts w:ascii="Arial" w:hAnsi="Arial" w:cs="Arial"/>
          <w:sz w:val="22"/>
          <w:szCs w:val="22"/>
        </w:rPr>
        <w:t>Kontrola byla provedena u položek ÚZ a finančních výkazů výběrovým způsobem v ná</w:t>
      </w:r>
      <w:r w:rsidR="00582F89">
        <w:rPr>
          <w:rFonts w:ascii="Arial" w:hAnsi="Arial" w:cs="Arial"/>
          <w:sz w:val="22"/>
          <w:szCs w:val="22"/>
        </w:rPr>
        <w:t>vaznosti na jejich významnost</w:t>
      </w:r>
      <w:r w:rsidR="005519C2">
        <w:rPr>
          <w:rFonts w:ascii="Arial" w:hAnsi="Arial" w:cs="Arial"/>
          <w:sz w:val="22"/>
          <w:szCs w:val="22"/>
        </w:rPr>
        <w:t xml:space="preserve"> a riziko vzniku významné nesprávnosti.</w:t>
      </w:r>
    </w:p>
    <w:p w:rsidR="00E17714" w:rsidRDefault="00E17714" w:rsidP="00646ABE">
      <w:pPr>
        <w:jc w:val="both"/>
        <w:rPr>
          <w:rFonts w:ascii="Arial" w:hAnsi="Arial" w:cs="Arial"/>
          <w:sz w:val="22"/>
          <w:szCs w:val="22"/>
        </w:rPr>
      </w:pPr>
    </w:p>
    <w:p w:rsidR="00646ABE" w:rsidRPr="00E17714" w:rsidRDefault="00646ABE" w:rsidP="00646ABE">
      <w:pPr>
        <w:jc w:val="both"/>
        <w:rPr>
          <w:rFonts w:ascii="Arial" w:hAnsi="Arial" w:cs="Arial"/>
          <w:sz w:val="22"/>
          <w:szCs w:val="22"/>
        </w:rPr>
      </w:pPr>
      <w:r w:rsidRPr="00836431">
        <w:rPr>
          <w:rFonts w:ascii="Arial" w:hAnsi="Arial" w:cs="Arial"/>
          <w:sz w:val="22"/>
          <w:szCs w:val="22"/>
        </w:rPr>
        <w:t>Tato kontrolní akc</w:t>
      </w:r>
      <w:r w:rsidR="00836431" w:rsidRPr="00836431">
        <w:rPr>
          <w:rFonts w:ascii="Arial" w:hAnsi="Arial" w:cs="Arial"/>
          <w:sz w:val="22"/>
          <w:szCs w:val="22"/>
        </w:rPr>
        <w:t>e navazuje svým zaměřením na tři</w:t>
      </w:r>
      <w:r w:rsidRPr="00836431">
        <w:rPr>
          <w:rFonts w:ascii="Arial" w:hAnsi="Arial" w:cs="Arial"/>
          <w:sz w:val="22"/>
          <w:szCs w:val="22"/>
        </w:rPr>
        <w:t xml:space="preserve"> předchozí kontrolní akce</w:t>
      </w:r>
      <w:r w:rsidRPr="0083643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836431">
        <w:rPr>
          <w:rFonts w:ascii="Arial" w:hAnsi="Arial" w:cs="Arial"/>
          <w:sz w:val="22"/>
          <w:szCs w:val="22"/>
        </w:rPr>
        <w:t>, v jejichž rámci byly kontrolovány činnosti, majetek a závazky, které byly předmětem účetnictví MZe a které měly vliv na hodnoty vykázané v ÚZ k 31. prosinci kontrolovaných let</w:t>
      </w:r>
      <w:r w:rsidR="00BA4226">
        <w:rPr>
          <w:rFonts w:ascii="Arial" w:hAnsi="Arial" w:cs="Arial"/>
          <w:sz w:val="22"/>
          <w:szCs w:val="22"/>
        </w:rPr>
        <w:t>, na hodnotu údajů ve finančních výkazech</w:t>
      </w:r>
      <w:r w:rsidR="00BA422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36431">
        <w:rPr>
          <w:rFonts w:ascii="Arial" w:hAnsi="Arial" w:cs="Arial"/>
          <w:sz w:val="22"/>
          <w:szCs w:val="22"/>
        </w:rPr>
        <w:t xml:space="preserve"> a na závěrečné účty </w:t>
      </w:r>
      <w:r w:rsidR="00836431" w:rsidRPr="00836431">
        <w:rPr>
          <w:rFonts w:ascii="Arial" w:hAnsi="Arial" w:cs="Arial"/>
          <w:sz w:val="22"/>
          <w:szCs w:val="22"/>
        </w:rPr>
        <w:t>kapitoly 329 MZe v letech 2008,</w:t>
      </w:r>
      <w:r w:rsidRPr="00836431">
        <w:rPr>
          <w:rFonts w:ascii="Arial" w:hAnsi="Arial" w:cs="Arial"/>
          <w:sz w:val="22"/>
          <w:szCs w:val="22"/>
        </w:rPr>
        <w:t xml:space="preserve"> 2009</w:t>
      </w:r>
      <w:r w:rsidR="008302AF">
        <w:rPr>
          <w:rFonts w:ascii="Arial" w:hAnsi="Arial" w:cs="Arial"/>
          <w:sz w:val="22"/>
          <w:szCs w:val="22"/>
        </w:rPr>
        <w:t xml:space="preserve"> a </w:t>
      </w:r>
      <w:r w:rsidR="00836431" w:rsidRPr="00836431">
        <w:rPr>
          <w:rFonts w:ascii="Arial" w:hAnsi="Arial" w:cs="Arial"/>
          <w:sz w:val="22"/>
          <w:szCs w:val="22"/>
        </w:rPr>
        <w:t>2011</w:t>
      </w:r>
      <w:r w:rsidR="00BA4226">
        <w:rPr>
          <w:rFonts w:ascii="Arial" w:hAnsi="Arial" w:cs="Arial"/>
          <w:sz w:val="22"/>
          <w:szCs w:val="22"/>
        </w:rPr>
        <w:t>.</w:t>
      </w:r>
    </w:p>
    <w:p w:rsidR="00E17714" w:rsidRPr="00C964C7" w:rsidRDefault="00E17714" w:rsidP="00E17714">
      <w:pPr>
        <w:ind w:left="624" w:hanging="624"/>
        <w:jc w:val="both"/>
        <w:rPr>
          <w:rFonts w:ascii="Arial" w:hAnsi="Arial" w:cs="Arial"/>
          <w:iCs/>
          <w:sz w:val="22"/>
          <w:szCs w:val="22"/>
        </w:rPr>
      </w:pPr>
    </w:p>
    <w:p w:rsidR="008C65BF" w:rsidRDefault="00447758" w:rsidP="00447758">
      <w:pPr>
        <w:ind w:left="567" w:hanging="567"/>
        <w:jc w:val="both"/>
        <w:rPr>
          <w:rFonts w:ascii="Arial" w:hAnsi="Arial" w:cs="Arial"/>
          <w:iCs/>
          <w:sz w:val="18"/>
          <w:szCs w:val="18"/>
        </w:rPr>
      </w:pPr>
      <w:r w:rsidRPr="00E9018C">
        <w:rPr>
          <w:rFonts w:ascii="Arial" w:hAnsi="Arial" w:cs="Arial"/>
          <w:b/>
          <w:iCs/>
          <w:sz w:val="18"/>
          <w:szCs w:val="18"/>
        </w:rPr>
        <w:t>Pozn.:</w:t>
      </w:r>
      <w:r>
        <w:rPr>
          <w:rFonts w:ascii="Arial" w:hAnsi="Arial" w:cs="Arial"/>
          <w:iCs/>
          <w:sz w:val="18"/>
          <w:szCs w:val="18"/>
        </w:rPr>
        <w:tab/>
      </w:r>
      <w:r w:rsidRPr="00171781">
        <w:rPr>
          <w:rFonts w:ascii="Arial" w:hAnsi="Arial" w:cs="Arial"/>
          <w:iCs/>
          <w:sz w:val="18"/>
          <w:szCs w:val="18"/>
        </w:rPr>
        <w:t xml:space="preserve">Všechny právní předpisy uváděné </w:t>
      </w:r>
      <w:r>
        <w:rPr>
          <w:rFonts w:ascii="Arial" w:hAnsi="Arial" w:cs="Arial"/>
          <w:iCs/>
          <w:sz w:val="18"/>
          <w:szCs w:val="18"/>
        </w:rPr>
        <w:t>v </w:t>
      </w:r>
      <w:r w:rsidRPr="00171781">
        <w:rPr>
          <w:rFonts w:ascii="Arial" w:hAnsi="Arial" w:cs="Arial"/>
          <w:iCs/>
          <w:sz w:val="18"/>
          <w:szCs w:val="18"/>
        </w:rPr>
        <w:t xml:space="preserve">tomto kontrolním závěru jsou </w:t>
      </w:r>
      <w:r>
        <w:rPr>
          <w:rFonts w:ascii="Arial" w:hAnsi="Arial" w:cs="Arial"/>
          <w:iCs/>
          <w:sz w:val="18"/>
          <w:szCs w:val="18"/>
        </w:rPr>
        <w:t xml:space="preserve">aplikovány ve znění účinném pro </w:t>
      </w:r>
      <w:r w:rsidRPr="00171781">
        <w:rPr>
          <w:rFonts w:ascii="Arial" w:hAnsi="Arial" w:cs="Arial"/>
          <w:iCs/>
          <w:sz w:val="18"/>
          <w:szCs w:val="18"/>
        </w:rPr>
        <w:t>kontrolované období</w:t>
      </w:r>
      <w:r>
        <w:rPr>
          <w:rFonts w:ascii="Arial" w:hAnsi="Arial" w:cs="Arial"/>
          <w:iCs/>
          <w:sz w:val="18"/>
          <w:szCs w:val="18"/>
        </w:rPr>
        <w:t>.</w:t>
      </w:r>
    </w:p>
    <w:p w:rsidR="00447758" w:rsidRDefault="00447758" w:rsidP="00447758">
      <w:pPr>
        <w:ind w:left="567" w:hanging="567"/>
        <w:jc w:val="both"/>
        <w:rPr>
          <w:rFonts w:ascii="Arial" w:hAnsi="Arial" w:cs="Arial"/>
          <w:iCs/>
          <w:sz w:val="22"/>
          <w:szCs w:val="22"/>
        </w:rPr>
      </w:pPr>
    </w:p>
    <w:p w:rsidR="00C964C7" w:rsidRPr="00C964C7" w:rsidRDefault="00C964C7" w:rsidP="00E17714">
      <w:pPr>
        <w:ind w:left="624" w:hanging="624"/>
        <w:jc w:val="both"/>
        <w:rPr>
          <w:rFonts w:ascii="Arial" w:hAnsi="Arial" w:cs="Arial"/>
          <w:iCs/>
          <w:sz w:val="22"/>
          <w:szCs w:val="22"/>
        </w:rPr>
      </w:pPr>
    </w:p>
    <w:p w:rsidR="00836431" w:rsidRPr="00F52CE0" w:rsidRDefault="00836431" w:rsidP="00836431">
      <w:pPr>
        <w:jc w:val="center"/>
        <w:rPr>
          <w:rFonts w:ascii="Arial" w:hAnsi="Arial" w:cs="Arial"/>
          <w:b/>
        </w:rPr>
      </w:pPr>
      <w:r w:rsidRPr="00F52CE0">
        <w:rPr>
          <w:rFonts w:ascii="Arial" w:hAnsi="Arial" w:cs="Arial"/>
          <w:b/>
        </w:rPr>
        <w:t>II. Skutečnosti zjištěné při kontrole</w:t>
      </w:r>
    </w:p>
    <w:p w:rsidR="0052371E" w:rsidRPr="00C964C7" w:rsidRDefault="0052371E" w:rsidP="00C964C7">
      <w:pPr>
        <w:tabs>
          <w:tab w:val="left" w:pos="5385"/>
        </w:tabs>
        <w:jc w:val="both"/>
        <w:rPr>
          <w:rFonts w:ascii="Arial" w:hAnsi="Arial" w:cs="Arial"/>
          <w:sz w:val="22"/>
          <w:szCs w:val="22"/>
        </w:rPr>
      </w:pPr>
    </w:p>
    <w:p w:rsidR="00836431" w:rsidRPr="00741C30" w:rsidRDefault="00836431" w:rsidP="008364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741C30">
        <w:rPr>
          <w:rFonts w:ascii="Arial" w:hAnsi="Arial" w:cs="Arial"/>
          <w:b/>
          <w:sz w:val="22"/>
          <w:szCs w:val="22"/>
        </w:rPr>
        <w:t>Účetní závěrka M</w:t>
      </w:r>
      <w:r>
        <w:rPr>
          <w:rFonts w:ascii="Arial" w:hAnsi="Arial" w:cs="Arial"/>
          <w:b/>
          <w:sz w:val="22"/>
          <w:szCs w:val="22"/>
        </w:rPr>
        <w:t>Ze</w:t>
      </w:r>
      <w:r w:rsidRPr="00741C30">
        <w:rPr>
          <w:rFonts w:ascii="Arial" w:hAnsi="Arial" w:cs="Arial"/>
          <w:b/>
          <w:sz w:val="22"/>
          <w:szCs w:val="22"/>
        </w:rPr>
        <w:t xml:space="preserve"> k </w:t>
      </w:r>
      <w:r w:rsidR="000856E8">
        <w:rPr>
          <w:rFonts w:ascii="Arial" w:hAnsi="Arial" w:cs="Arial"/>
          <w:b/>
          <w:sz w:val="22"/>
          <w:szCs w:val="22"/>
        </w:rPr>
        <w:t>31. prosinci 2013</w:t>
      </w:r>
    </w:p>
    <w:p w:rsidR="00836431" w:rsidRPr="00E379CA" w:rsidRDefault="00836431" w:rsidP="00836431">
      <w:pPr>
        <w:jc w:val="both"/>
        <w:rPr>
          <w:rFonts w:ascii="Arial" w:hAnsi="Arial" w:cs="Arial"/>
          <w:sz w:val="22"/>
          <w:szCs w:val="22"/>
        </w:rPr>
      </w:pPr>
    </w:p>
    <w:p w:rsidR="00836431" w:rsidRDefault="00836431" w:rsidP="00836431">
      <w:pPr>
        <w:jc w:val="both"/>
        <w:rPr>
          <w:rFonts w:ascii="Arial" w:hAnsi="Arial" w:cs="Arial"/>
          <w:bCs/>
          <w:sz w:val="22"/>
          <w:szCs w:val="22"/>
        </w:rPr>
      </w:pPr>
      <w:r w:rsidRPr="00741C3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Ze</w:t>
      </w:r>
      <w:r w:rsidRPr="00741C30">
        <w:rPr>
          <w:rFonts w:ascii="Arial" w:hAnsi="Arial" w:cs="Arial"/>
          <w:sz w:val="22"/>
          <w:szCs w:val="22"/>
        </w:rPr>
        <w:t xml:space="preserve"> sestavilo ÚZ v rozsahu dle </w:t>
      </w:r>
      <w:r w:rsidRPr="00741C30">
        <w:rPr>
          <w:rFonts w:ascii="Arial" w:hAnsi="Arial" w:cs="Arial"/>
          <w:bCs/>
          <w:sz w:val="22"/>
          <w:szCs w:val="22"/>
        </w:rPr>
        <w:t xml:space="preserve">§ 18 odst. 1 zákona č. 563/1991 Sb., o </w:t>
      </w:r>
      <w:r>
        <w:rPr>
          <w:rFonts w:ascii="Arial" w:hAnsi="Arial" w:cs="Arial"/>
          <w:bCs/>
          <w:sz w:val="22"/>
          <w:szCs w:val="22"/>
        </w:rPr>
        <w:t>účetnictví, tj. </w:t>
      </w:r>
      <w:r w:rsidRPr="00741C30">
        <w:rPr>
          <w:rFonts w:ascii="Arial" w:hAnsi="Arial" w:cs="Arial"/>
          <w:bCs/>
          <w:sz w:val="22"/>
          <w:szCs w:val="22"/>
        </w:rPr>
        <w:t xml:space="preserve">sestavilo </w:t>
      </w:r>
      <w:r>
        <w:rPr>
          <w:rFonts w:ascii="Arial" w:hAnsi="Arial" w:cs="Arial"/>
          <w:bCs/>
          <w:sz w:val="22"/>
          <w:szCs w:val="22"/>
        </w:rPr>
        <w:t>r</w:t>
      </w:r>
      <w:r w:rsidRPr="00741C30">
        <w:rPr>
          <w:rFonts w:ascii="Arial" w:hAnsi="Arial" w:cs="Arial"/>
          <w:bCs/>
          <w:sz w:val="22"/>
          <w:szCs w:val="22"/>
        </w:rPr>
        <w:t xml:space="preserve">ozvahu, </w:t>
      </w:r>
      <w:r>
        <w:rPr>
          <w:rFonts w:ascii="Arial" w:hAnsi="Arial" w:cs="Arial"/>
          <w:bCs/>
          <w:sz w:val="22"/>
          <w:szCs w:val="22"/>
        </w:rPr>
        <w:t>v</w:t>
      </w:r>
      <w:r w:rsidRPr="00741C30">
        <w:rPr>
          <w:rFonts w:ascii="Arial" w:hAnsi="Arial" w:cs="Arial"/>
          <w:bCs/>
          <w:sz w:val="22"/>
          <w:szCs w:val="22"/>
        </w:rPr>
        <w:t xml:space="preserve">ýkaz zisku a ztráty, </w:t>
      </w:r>
      <w:r>
        <w:rPr>
          <w:rFonts w:ascii="Arial" w:hAnsi="Arial" w:cs="Arial"/>
          <w:bCs/>
          <w:sz w:val="22"/>
          <w:szCs w:val="22"/>
        </w:rPr>
        <w:t>p</w:t>
      </w:r>
      <w:r w:rsidRPr="00741C30">
        <w:rPr>
          <w:rFonts w:ascii="Arial" w:hAnsi="Arial" w:cs="Arial"/>
          <w:bCs/>
          <w:sz w:val="22"/>
          <w:szCs w:val="22"/>
        </w:rPr>
        <w:t xml:space="preserve">řílohu, </w:t>
      </w:r>
      <w:r>
        <w:rPr>
          <w:rFonts w:ascii="Arial" w:hAnsi="Arial" w:cs="Arial"/>
          <w:bCs/>
          <w:sz w:val="22"/>
          <w:szCs w:val="22"/>
        </w:rPr>
        <w:t>p</w:t>
      </w:r>
      <w:r w:rsidRPr="00741C30">
        <w:rPr>
          <w:rFonts w:ascii="Arial" w:hAnsi="Arial" w:cs="Arial"/>
          <w:bCs/>
          <w:sz w:val="22"/>
          <w:szCs w:val="22"/>
        </w:rPr>
        <w:t>řehled o peněžních tocích a</w:t>
      </w:r>
      <w:r>
        <w:rPr>
          <w:rFonts w:ascii="Arial" w:hAnsi="Arial" w:cs="Arial"/>
          <w:bCs/>
          <w:sz w:val="22"/>
          <w:szCs w:val="22"/>
        </w:rPr>
        <w:t> p</w:t>
      </w:r>
      <w:r w:rsidRPr="00741C30">
        <w:rPr>
          <w:rFonts w:ascii="Arial" w:hAnsi="Arial" w:cs="Arial"/>
          <w:bCs/>
          <w:sz w:val="22"/>
          <w:szCs w:val="22"/>
        </w:rPr>
        <w:t xml:space="preserve">řehled o změnách vlastního kapitálu. </w:t>
      </w:r>
      <w:r w:rsidR="000856E8" w:rsidRPr="00F52CE0">
        <w:rPr>
          <w:rFonts w:ascii="Arial" w:hAnsi="Arial" w:cs="Arial"/>
          <w:bCs/>
          <w:sz w:val="22"/>
          <w:szCs w:val="22"/>
        </w:rPr>
        <w:t>Tato ÚZ obsahovala veškeré náležitosti dle §</w:t>
      </w:r>
      <w:r w:rsidR="00CD7E0C">
        <w:rPr>
          <w:rFonts w:ascii="Arial" w:hAnsi="Arial" w:cs="Arial"/>
          <w:bCs/>
          <w:sz w:val="22"/>
          <w:szCs w:val="22"/>
        </w:rPr>
        <w:t> </w:t>
      </w:r>
      <w:r w:rsidR="000856E8" w:rsidRPr="00F52CE0">
        <w:rPr>
          <w:rFonts w:ascii="Arial" w:hAnsi="Arial" w:cs="Arial"/>
          <w:bCs/>
          <w:sz w:val="22"/>
          <w:szCs w:val="22"/>
        </w:rPr>
        <w:t>18 odst. 2 zákona o účetnictví.</w:t>
      </w:r>
    </w:p>
    <w:p w:rsidR="00836431" w:rsidRPr="00E379CA" w:rsidRDefault="00836431" w:rsidP="00836431">
      <w:pPr>
        <w:jc w:val="both"/>
        <w:rPr>
          <w:rFonts w:ascii="Arial" w:hAnsi="Arial" w:cs="Arial"/>
          <w:sz w:val="22"/>
          <w:szCs w:val="22"/>
        </w:rPr>
      </w:pPr>
    </w:p>
    <w:p w:rsidR="00836431" w:rsidRPr="00741C30" w:rsidRDefault="00836431" w:rsidP="00C964C7">
      <w:pPr>
        <w:tabs>
          <w:tab w:val="right" w:pos="9072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741C30">
        <w:rPr>
          <w:rFonts w:ascii="Arial" w:hAnsi="Arial" w:cs="Arial"/>
          <w:b/>
          <w:sz w:val="22"/>
          <w:szCs w:val="22"/>
        </w:rPr>
        <w:t>Tabulka č. 1 –</w:t>
      </w:r>
      <w:r w:rsidRPr="00741C30">
        <w:rPr>
          <w:rFonts w:ascii="Arial" w:hAnsi="Arial" w:cs="Arial"/>
          <w:sz w:val="22"/>
          <w:szCs w:val="22"/>
        </w:rPr>
        <w:t xml:space="preserve"> </w:t>
      </w:r>
      <w:r w:rsidRPr="00741C30">
        <w:rPr>
          <w:rFonts w:ascii="Arial" w:hAnsi="Arial" w:cs="Arial"/>
          <w:b/>
          <w:sz w:val="22"/>
          <w:szCs w:val="22"/>
        </w:rPr>
        <w:t>Základní</w:t>
      </w:r>
      <w:r w:rsidRPr="00741C30">
        <w:rPr>
          <w:rFonts w:ascii="Arial" w:hAnsi="Arial" w:cs="Arial"/>
          <w:sz w:val="22"/>
          <w:szCs w:val="22"/>
        </w:rPr>
        <w:t xml:space="preserve"> </w:t>
      </w:r>
      <w:r w:rsidRPr="00741C30">
        <w:rPr>
          <w:rFonts w:ascii="Arial" w:hAnsi="Arial" w:cs="Arial"/>
          <w:b/>
          <w:sz w:val="22"/>
          <w:szCs w:val="22"/>
        </w:rPr>
        <w:t>údaje účetní závěrky M</w:t>
      </w:r>
      <w:r>
        <w:rPr>
          <w:rFonts w:ascii="Arial" w:hAnsi="Arial" w:cs="Arial"/>
          <w:b/>
          <w:sz w:val="22"/>
          <w:szCs w:val="22"/>
        </w:rPr>
        <w:t>Ze</w:t>
      </w:r>
      <w:r w:rsidR="000856E8">
        <w:rPr>
          <w:rFonts w:ascii="Arial" w:hAnsi="Arial" w:cs="Arial"/>
          <w:b/>
          <w:sz w:val="22"/>
          <w:szCs w:val="22"/>
        </w:rPr>
        <w:t xml:space="preserve"> k 31. prosinci 2013</w:t>
      </w:r>
      <w:r w:rsidRPr="00741C3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741C30">
        <w:rPr>
          <w:rFonts w:ascii="Arial" w:hAnsi="Arial" w:cs="Arial"/>
          <w:b/>
          <w:sz w:val="22"/>
          <w:szCs w:val="22"/>
        </w:rPr>
        <w:t>(v Kč)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0"/>
        <w:gridCol w:w="5032"/>
      </w:tblGrid>
      <w:tr w:rsidR="00836431" w:rsidRPr="00E53886" w:rsidTr="00325FAC">
        <w:trPr>
          <w:trHeight w:val="283"/>
        </w:trPr>
        <w:tc>
          <w:tcPr>
            <w:tcW w:w="4040" w:type="dxa"/>
            <w:shd w:val="clear" w:color="auto" w:fill="DBE5F1" w:themeFill="accent1" w:themeFillTint="33"/>
            <w:vAlign w:val="center"/>
          </w:tcPr>
          <w:p w:rsidR="00836431" w:rsidRPr="00E53886" w:rsidRDefault="00836431" w:rsidP="00325F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3886">
              <w:rPr>
                <w:rFonts w:ascii="Arial" w:hAnsi="Arial" w:cs="Arial"/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5032" w:type="dxa"/>
            <w:shd w:val="clear" w:color="auto" w:fill="DBE5F1" w:themeFill="accent1" w:themeFillTint="33"/>
            <w:vAlign w:val="center"/>
          </w:tcPr>
          <w:p w:rsidR="00836431" w:rsidRPr="00E53886" w:rsidRDefault="00836431" w:rsidP="00325F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3886">
              <w:rPr>
                <w:rFonts w:ascii="Arial" w:hAnsi="Arial" w:cs="Arial"/>
                <w:b/>
                <w:bCs/>
                <w:sz w:val="18"/>
                <w:szCs w:val="18"/>
              </w:rPr>
              <w:t>Účetní hodnota</w:t>
            </w:r>
          </w:p>
        </w:tc>
      </w:tr>
      <w:tr w:rsidR="00836431" w:rsidRPr="00E53886" w:rsidTr="00325FAC">
        <w:trPr>
          <w:trHeight w:val="283"/>
        </w:trPr>
        <w:tc>
          <w:tcPr>
            <w:tcW w:w="4040" w:type="dxa"/>
            <w:vAlign w:val="center"/>
          </w:tcPr>
          <w:p w:rsidR="00836431" w:rsidRPr="00E53886" w:rsidRDefault="00836431" w:rsidP="00325FAC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53886">
              <w:rPr>
                <w:rFonts w:ascii="Arial" w:hAnsi="Arial" w:cs="Arial"/>
                <w:sz w:val="18"/>
                <w:szCs w:val="18"/>
              </w:rPr>
              <w:t>Aktiva (netto)</w:t>
            </w:r>
          </w:p>
        </w:tc>
        <w:tc>
          <w:tcPr>
            <w:tcW w:w="5032" w:type="dxa"/>
            <w:vAlign w:val="center"/>
          </w:tcPr>
          <w:p w:rsidR="00836431" w:rsidRPr="00E53886" w:rsidRDefault="000856E8" w:rsidP="00325FAC">
            <w:pPr>
              <w:ind w:right="459" w:firstLine="142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53886">
              <w:rPr>
                <w:rFonts w:ascii="Arial" w:hAnsi="Arial" w:cs="Arial"/>
                <w:sz w:val="18"/>
                <w:szCs w:val="18"/>
                <w:lang w:eastAsia="cs-CZ"/>
              </w:rPr>
              <w:t>4 131 772 586,96</w:t>
            </w:r>
          </w:p>
        </w:tc>
      </w:tr>
      <w:tr w:rsidR="00836431" w:rsidRPr="00E53886" w:rsidTr="00325FAC">
        <w:trPr>
          <w:trHeight w:val="283"/>
        </w:trPr>
        <w:tc>
          <w:tcPr>
            <w:tcW w:w="4040" w:type="dxa"/>
            <w:vAlign w:val="center"/>
          </w:tcPr>
          <w:p w:rsidR="00836431" w:rsidRPr="00E53886" w:rsidRDefault="00836431" w:rsidP="00325FAC">
            <w:pPr>
              <w:rPr>
                <w:rFonts w:ascii="Arial" w:hAnsi="Arial" w:cs="Arial"/>
                <w:sz w:val="18"/>
                <w:szCs w:val="18"/>
              </w:rPr>
            </w:pPr>
            <w:r w:rsidRPr="00E53886">
              <w:rPr>
                <w:rFonts w:ascii="Arial" w:hAnsi="Arial" w:cs="Arial"/>
                <w:sz w:val="18"/>
                <w:szCs w:val="18"/>
              </w:rPr>
              <w:t>Pasiva</w:t>
            </w:r>
          </w:p>
        </w:tc>
        <w:tc>
          <w:tcPr>
            <w:tcW w:w="5032" w:type="dxa"/>
            <w:vAlign w:val="center"/>
          </w:tcPr>
          <w:p w:rsidR="00836431" w:rsidRPr="00E53886" w:rsidRDefault="000856E8" w:rsidP="00325FAC">
            <w:pPr>
              <w:ind w:right="459" w:firstLine="142"/>
              <w:jc w:val="right"/>
              <w:rPr>
                <w:rFonts w:ascii="Arial" w:hAnsi="Arial" w:cs="Arial"/>
                <w:sz w:val="18"/>
                <w:szCs w:val="18"/>
                <w:highlight w:val="lightGray"/>
                <w:vertAlign w:val="superscript"/>
              </w:rPr>
            </w:pPr>
            <w:r w:rsidRPr="00E53886">
              <w:rPr>
                <w:rFonts w:ascii="Arial" w:hAnsi="Arial" w:cs="Arial"/>
                <w:sz w:val="18"/>
                <w:szCs w:val="18"/>
                <w:lang w:eastAsia="cs-CZ"/>
              </w:rPr>
              <w:t>4 131 772 586,96</w:t>
            </w:r>
          </w:p>
        </w:tc>
      </w:tr>
      <w:tr w:rsidR="00836431" w:rsidRPr="00E53886" w:rsidTr="00325FAC">
        <w:trPr>
          <w:trHeight w:val="283"/>
        </w:trPr>
        <w:tc>
          <w:tcPr>
            <w:tcW w:w="4040" w:type="dxa"/>
            <w:vAlign w:val="center"/>
          </w:tcPr>
          <w:p w:rsidR="00836431" w:rsidRPr="00E53886" w:rsidRDefault="00836431" w:rsidP="00325FAC">
            <w:pPr>
              <w:rPr>
                <w:rFonts w:ascii="Arial" w:hAnsi="Arial" w:cs="Arial"/>
                <w:sz w:val="18"/>
                <w:szCs w:val="18"/>
              </w:rPr>
            </w:pPr>
            <w:r w:rsidRPr="00E53886">
              <w:rPr>
                <w:rFonts w:ascii="Arial" w:hAnsi="Arial" w:cs="Arial"/>
                <w:sz w:val="18"/>
                <w:szCs w:val="18"/>
              </w:rPr>
              <w:t>Náklady</w:t>
            </w:r>
          </w:p>
        </w:tc>
        <w:tc>
          <w:tcPr>
            <w:tcW w:w="5032" w:type="dxa"/>
            <w:vAlign w:val="center"/>
          </w:tcPr>
          <w:p w:rsidR="00836431" w:rsidRPr="00E53886" w:rsidRDefault="000856E8" w:rsidP="00325FAC">
            <w:pPr>
              <w:ind w:right="459" w:firstLine="14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3886">
              <w:rPr>
                <w:rFonts w:ascii="Arial" w:hAnsi="Arial" w:cs="Arial"/>
                <w:sz w:val="18"/>
                <w:szCs w:val="18"/>
                <w:lang w:eastAsia="cs-CZ"/>
              </w:rPr>
              <w:t>48 115 422 110,23</w:t>
            </w:r>
          </w:p>
        </w:tc>
      </w:tr>
      <w:tr w:rsidR="00836431" w:rsidRPr="00E53886" w:rsidTr="00325FAC">
        <w:trPr>
          <w:trHeight w:val="283"/>
        </w:trPr>
        <w:tc>
          <w:tcPr>
            <w:tcW w:w="4040" w:type="dxa"/>
            <w:vAlign w:val="center"/>
          </w:tcPr>
          <w:p w:rsidR="00836431" w:rsidRPr="00E53886" w:rsidRDefault="00836431" w:rsidP="00325FAC">
            <w:pPr>
              <w:rPr>
                <w:rFonts w:ascii="Arial" w:hAnsi="Arial" w:cs="Arial"/>
                <w:sz w:val="18"/>
                <w:szCs w:val="18"/>
              </w:rPr>
            </w:pPr>
            <w:r w:rsidRPr="00E53886">
              <w:rPr>
                <w:rFonts w:ascii="Arial" w:hAnsi="Arial" w:cs="Arial"/>
                <w:sz w:val="18"/>
                <w:szCs w:val="18"/>
              </w:rPr>
              <w:t>Výnosy</w:t>
            </w:r>
          </w:p>
        </w:tc>
        <w:tc>
          <w:tcPr>
            <w:tcW w:w="5032" w:type="dxa"/>
            <w:vAlign w:val="center"/>
          </w:tcPr>
          <w:p w:rsidR="00836431" w:rsidRPr="00E53886" w:rsidRDefault="000856E8" w:rsidP="00325FAC">
            <w:pPr>
              <w:ind w:right="459" w:firstLine="142"/>
              <w:jc w:val="right"/>
              <w:rPr>
                <w:rFonts w:ascii="Arial" w:hAnsi="Arial" w:cs="Arial"/>
                <w:sz w:val="18"/>
                <w:szCs w:val="18"/>
                <w:highlight w:val="lightGray"/>
                <w:vertAlign w:val="superscript"/>
              </w:rPr>
            </w:pPr>
            <w:r w:rsidRPr="00E53886">
              <w:rPr>
                <w:rFonts w:ascii="Arial" w:hAnsi="Arial" w:cs="Arial"/>
                <w:sz w:val="18"/>
                <w:szCs w:val="18"/>
                <w:lang w:eastAsia="cs-CZ"/>
              </w:rPr>
              <w:t>39 298 518 038,67</w:t>
            </w:r>
          </w:p>
        </w:tc>
      </w:tr>
    </w:tbl>
    <w:p w:rsidR="00836431" w:rsidRPr="00191ED8" w:rsidRDefault="00836431" w:rsidP="00836431">
      <w:pPr>
        <w:pStyle w:val="NormlnKZ"/>
        <w:spacing w:before="40" w:after="0"/>
        <w:ind w:firstLine="0"/>
        <w:rPr>
          <w:rFonts w:ascii="Arial" w:hAnsi="Arial" w:cs="Arial"/>
          <w:szCs w:val="22"/>
        </w:rPr>
      </w:pPr>
      <w:r w:rsidRPr="00E670FA">
        <w:rPr>
          <w:rFonts w:ascii="Arial" w:hAnsi="Arial" w:cs="Arial"/>
          <w:b/>
          <w:sz w:val="18"/>
          <w:szCs w:val="18"/>
        </w:rPr>
        <w:t>Zdroj:</w:t>
      </w:r>
      <w:r w:rsidRPr="00E670FA">
        <w:rPr>
          <w:rFonts w:ascii="Arial" w:hAnsi="Arial" w:cs="Arial"/>
          <w:sz w:val="18"/>
          <w:szCs w:val="18"/>
        </w:rPr>
        <w:t xml:space="preserve"> </w:t>
      </w:r>
      <w:r w:rsidR="00E9018C">
        <w:rPr>
          <w:rFonts w:ascii="Arial" w:hAnsi="Arial" w:cs="Arial"/>
          <w:sz w:val="18"/>
          <w:szCs w:val="18"/>
        </w:rPr>
        <w:t>ú</w:t>
      </w:r>
      <w:r w:rsidRPr="00E670FA">
        <w:rPr>
          <w:rFonts w:ascii="Arial" w:hAnsi="Arial" w:cs="Arial"/>
          <w:sz w:val="18"/>
          <w:szCs w:val="18"/>
        </w:rPr>
        <w:t>četní závěrka M</w:t>
      </w:r>
      <w:r>
        <w:rPr>
          <w:rFonts w:ascii="Arial" w:hAnsi="Arial" w:cs="Arial"/>
          <w:sz w:val="18"/>
          <w:szCs w:val="18"/>
        </w:rPr>
        <w:t>Ze</w:t>
      </w:r>
      <w:r w:rsidR="000856E8">
        <w:rPr>
          <w:rFonts w:ascii="Arial" w:hAnsi="Arial" w:cs="Arial"/>
          <w:sz w:val="18"/>
          <w:szCs w:val="18"/>
        </w:rPr>
        <w:t xml:space="preserve"> k 31. prosinci 2013</w:t>
      </w:r>
      <w:r w:rsidR="00E53886">
        <w:rPr>
          <w:rFonts w:ascii="Arial" w:hAnsi="Arial" w:cs="Arial"/>
          <w:sz w:val="18"/>
          <w:szCs w:val="18"/>
        </w:rPr>
        <w:t>.</w:t>
      </w:r>
    </w:p>
    <w:p w:rsidR="00836431" w:rsidRPr="006533DD" w:rsidRDefault="00836431" w:rsidP="00836431">
      <w:pPr>
        <w:pStyle w:val="NormlnKZ"/>
        <w:spacing w:after="0"/>
        <w:ind w:firstLine="0"/>
        <w:rPr>
          <w:rFonts w:ascii="Arial" w:hAnsi="Arial" w:cs="Arial"/>
          <w:szCs w:val="22"/>
        </w:rPr>
      </w:pPr>
    </w:p>
    <w:p w:rsidR="00C964C7" w:rsidRDefault="00836431" w:rsidP="00C964C7">
      <w:pPr>
        <w:tabs>
          <w:tab w:val="left" w:pos="1560"/>
        </w:tabs>
        <w:rPr>
          <w:rFonts w:ascii="Arial" w:hAnsi="Arial" w:cs="Arial"/>
          <w:i/>
          <w:iCs/>
          <w:sz w:val="22"/>
          <w:szCs w:val="22"/>
        </w:rPr>
      </w:pPr>
      <w:r w:rsidRPr="00DF3B77">
        <w:rPr>
          <w:rFonts w:ascii="Arial" w:hAnsi="Arial" w:cs="Arial"/>
          <w:b/>
          <w:bCs/>
          <w:sz w:val="22"/>
          <w:szCs w:val="22"/>
        </w:rPr>
        <w:lastRenderedPageBreak/>
        <w:t>Tabulka č. 2 –</w:t>
      </w:r>
      <w:r w:rsidRPr="00982E0F">
        <w:rPr>
          <w:rFonts w:ascii="Arial" w:hAnsi="Arial" w:cs="Arial"/>
          <w:b/>
          <w:bCs/>
          <w:sz w:val="22"/>
          <w:szCs w:val="22"/>
        </w:rPr>
        <w:t xml:space="preserve"> </w:t>
      </w:r>
      <w:r w:rsidR="00C964C7">
        <w:rPr>
          <w:rFonts w:ascii="Arial" w:hAnsi="Arial" w:cs="Arial"/>
          <w:b/>
          <w:bCs/>
          <w:sz w:val="22"/>
          <w:szCs w:val="22"/>
        </w:rPr>
        <w:tab/>
      </w:r>
      <w:r w:rsidRPr="00755CD7">
        <w:rPr>
          <w:rFonts w:ascii="Arial" w:hAnsi="Arial" w:cs="Arial"/>
          <w:b/>
          <w:sz w:val="22"/>
          <w:szCs w:val="22"/>
        </w:rPr>
        <w:t xml:space="preserve">Údaje za běžné </w:t>
      </w:r>
      <w:r w:rsidR="000856E8" w:rsidRPr="00755CD7">
        <w:rPr>
          <w:rFonts w:ascii="Arial" w:hAnsi="Arial" w:cs="Arial"/>
          <w:b/>
          <w:sz w:val="22"/>
          <w:szCs w:val="22"/>
        </w:rPr>
        <w:t xml:space="preserve">účetní </w:t>
      </w:r>
      <w:r w:rsidRPr="00755CD7">
        <w:rPr>
          <w:rFonts w:ascii="Arial" w:hAnsi="Arial" w:cs="Arial"/>
          <w:b/>
          <w:sz w:val="22"/>
          <w:szCs w:val="22"/>
        </w:rPr>
        <w:t xml:space="preserve">období z výkazu </w:t>
      </w:r>
      <w:r w:rsidRPr="00755CD7">
        <w:rPr>
          <w:rFonts w:ascii="Arial" w:hAnsi="Arial" w:cs="Arial"/>
          <w:b/>
          <w:iCs/>
          <w:sz w:val="22"/>
          <w:szCs w:val="22"/>
        </w:rPr>
        <w:t>rozvaha</w:t>
      </w:r>
      <w:r w:rsidRPr="00982E0F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836431" w:rsidRPr="00E9018C" w:rsidRDefault="000856E8" w:rsidP="00C964C7">
      <w:pPr>
        <w:tabs>
          <w:tab w:val="left" w:pos="1560"/>
          <w:tab w:val="right" w:pos="9072"/>
        </w:tabs>
        <w:ind w:firstLine="1560"/>
        <w:rPr>
          <w:rFonts w:ascii="Arial" w:hAnsi="Arial" w:cs="Arial"/>
          <w:b/>
          <w:sz w:val="22"/>
          <w:szCs w:val="22"/>
        </w:rPr>
      </w:pPr>
      <w:r w:rsidRPr="00C964C7">
        <w:rPr>
          <w:rFonts w:ascii="Arial" w:hAnsi="Arial" w:cs="Arial"/>
          <w:b/>
          <w:sz w:val="22"/>
          <w:szCs w:val="22"/>
        </w:rPr>
        <w:t>k 31. prosinci 2013</w:t>
      </w:r>
      <w:r w:rsidR="00836431" w:rsidRPr="00C964C7">
        <w:rPr>
          <w:rFonts w:ascii="Arial" w:hAnsi="Arial" w:cs="Arial"/>
          <w:b/>
          <w:sz w:val="22"/>
          <w:szCs w:val="22"/>
        </w:rPr>
        <w:t xml:space="preserve"> </w:t>
      </w:r>
      <w:r w:rsidR="00836431">
        <w:rPr>
          <w:rFonts w:ascii="Arial" w:hAnsi="Arial" w:cs="Arial"/>
          <w:sz w:val="22"/>
          <w:szCs w:val="22"/>
        </w:rPr>
        <w:tab/>
      </w:r>
      <w:r w:rsidR="00836431" w:rsidRPr="00E9018C">
        <w:rPr>
          <w:rFonts w:ascii="Arial" w:hAnsi="Arial" w:cs="Arial"/>
          <w:b/>
          <w:sz w:val="22"/>
          <w:szCs w:val="22"/>
        </w:rPr>
        <w:t>(v Kč)</w:t>
      </w:r>
    </w:p>
    <w:tbl>
      <w:tblPr>
        <w:tblW w:w="9085" w:type="dxa"/>
        <w:jc w:val="center"/>
        <w:tblInd w:w="1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494"/>
        <w:gridCol w:w="1559"/>
        <w:gridCol w:w="1576"/>
        <w:gridCol w:w="1425"/>
        <w:gridCol w:w="1549"/>
      </w:tblGrid>
      <w:tr w:rsidR="00836431" w:rsidRPr="000856E8" w:rsidTr="000856E8">
        <w:trPr>
          <w:trHeight w:val="227"/>
          <w:jc w:val="center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0856E8" w:rsidRDefault="00836431" w:rsidP="00523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E8">
              <w:rPr>
                <w:rFonts w:ascii="Arial" w:hAnsi="Arial" w:cs="Arial"/>
                <w:b/>
                <w:bCs/>
                <w:sz w:val="18"/>
                <w:szCs w:val="18"/>
              </w:rPr>
              <w:t>Aktiva (v netto hodnotě)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0856E8" w:rsidRDefault="00836431" w:rsidP="00523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Pasiva </w:t>
            </w:r>
          </w:p>
        </w:tc>
      </w:tr>
      <w:tr w:rsidR="00836431" w:rsidRPr="000856E8" w:rsidTr="000856E8">
        <w:trPr>
          <w:trHeight w:val="227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0856E8" w:rsidRDefault="00836431" w:rsidP="00523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E8">
              <w:rPr>
                <w:rFonts w:ascii="Arial" w:hAnsi="Arial" w:cs="Arial"/>
                <w:b/>
                <w:bCs/>
                <w:sz w:val="18"/>
                <w:szCs w:val="18"/>
              </w:rPr>
              <w:t>Stálá aktiva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0856E8" w:rsidRDefault="00836431" w:rsidP="00523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E8">
              <w:rPr>
                <w:rFonts w:ascii="Arial" w:hAnsi="Arial" w:cs="Arial"/>
                <w:b/>
                <w:bCs/>
                <w:sz w:val="18"/>
                <w:szCs w:val="18"/>
              </w:rPr>
              <w:t>Oběžná aktiva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0856E8" w:rsidRDefault="00836431" w:rsidP="00523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E8">
              <w:rPr>
                <w:rFonts w:ascii="Arial" w:hAnsi="Arial" w:cs="Arial"/>
                <w:b/>
                <w:bCs/>
                <w:sz w:val="18"/>
                <w:szCs w:val="18"/>
              </w:rPr>
              <w:t>Aktiva celkem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0856E8" w:rsidRDefault="00836431" w:rsidP="006D17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E8">
              <w:rPr>
                <w:rFonts w:ascii="Arial" w:hAnsi="Arial" w:cs="Arial"/>
                <w:b/>
                <w:bCs/>
                <w:sz w:val="18"/>
                <w:szCs w:val="18"/>
              </w:rPr>
              <w:t>Vlastní kapitál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0856E8" w:rsidRDefault="00836431" w:rsidP="006D17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E8">
              <w:rPr>
                <w:rFonts w:ascii="Arial" w:hAnsi="Arial" w:cs="Arial"/>
                <w:b/>
                <w:bCs/>
                <w:sz w:val="18"/>
                <w:szCs w:val="18"/>
              </w:rPr>
              <w:t>Cizí zdroje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0856E8" w:rsidRDefault="00836431" w:rsidP="00523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E8">
              <w:rPr>
                <w:rFonts w:ascii="Arial" w:hAnsi="Arial" w:cs="Arial"/>
                <w:b/>
                <w:bCs/>
                <w:sz w:val="18"/>
                <w:szCs w:val="18"/>
              </w:rPr>
              <w:t>Pasiva celkem</w:t>
            </w:r>
          </w:p>
        </w:tc>
      </w:tr>
      <w:tr w:rsidR="00836431" w:rsidRPr="000856E8" w:rsidTr="0052371E">
        <w:trPr>
          <w:trHeight w:val="227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0856E8" w:rsidRDefault="000856E8" w:rsidP="0052371E">
            <w:pPr>
              <w:jc w:val="right"/>
              <w:rPr>
                <w:rFonts w:ascii="Arial" w:hAnsi="Arial" w:cs="Arial"/>
                <w:sz w:val="15"/>
                <w:szCs w:val="15"/>
                <w:highlight w:val="lightGray"/>
              </w:rPr>
            </w:pPr>
            <w:r>
              <w:rPr>
                <w:rFonts w:ascii="Arial" w:hAnsi="Arial" w:cs="Arial"/>
                <w:sz w:val="15"/>
                <w:szCs w:val="15"/>
              </w:rPr>
              <w:t>2 525 453 665,42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0856E8" w:rsidRDefault="000856E8" w:rsidP="0052371E">
            <w:pPr>
              <w:jc w:val="right"/>
              <w:rPr>
                <w:rFonts w:ascii="Arial" w:hAnsi="Arial" w:cs="Arial"/>
                <w:sz w:val="15"/>
                <w:szCs w:val="15"/>
                <w:highlight w:val="lightGray"/>
              </w:rPr>
            </w:pPr>
            <w:r>
              <w:rPr>
                <w:rFonts w:ascii="Arial" w:hAnsi="Arial" w:cs="Arial"/>
                <w:sz w:val="15"/>
                <w:szCs w:val="15"/>
              </w:rPr>
              <w:t>1 606 318 921,54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0856E8" w:rsidRDefault="000856E8" w:rsidP="0052371E">
            <w:pPr>
              <w:jc w:val="right"/>
              <w:rPr>
                <w:rFonts w:ascii="Arial" w:hAnsi="Arial" w:cs="Arial"/>
                <w:sz w:val="15"/>
                <w:szCs w:val="15"/>
                <w:highlight w:val="lightGray"/>
              </w:rPr>
            </w:pPr>
            <w:r>
              <w:rPr>
                <w:rFonts w:ascii="Arial" w:hAnsi="Arial" w:cs="Arial"/>
                <w:sz w:val="15"/>
                <w:szCs w:val="15"/>
              </w:rPr>
              <w:t>4 131 772 586,96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0856E8" w:rsidRDefault="002B7342" w:rsidP="0052371E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2 537 276 925,07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0856E8" w:rsidRDefault="002B7342" w:rsidP="0052371E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1 594 495 661,89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0856E8" w:rsidRDefault="002B7342" w:rsidP="0052371E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4 131 772 586,96</w:t>
            </w:r>
          </w:p>
        </w:tc>
      </w:tr>
    </w:tbl>
    <w:p w:rsidR="00836431" w:rsidRPr="003F0308" w:rsidRDefault="00836431" w:rsidP="00836431">
      <w:pPr>
        <w:spacing w:before="40"/>
        <w:rPr>
          <w:rFonts w:ascii="Arial" w:hAnsi="Arial" w:cs="Arial"/>
          <w:sz w:val="18"/>
          <w:szCs w:val="18"/>
          <w:lang w:eastAsia="cs-CZ"/>
        </w:rPr>
      </w:pPr>
      <w:r w:rsidRPr="00113872">
        <w:rPr>
          <w:rFonts w:ascii="Arial" w:hAnsi="Arial" w:cs="Arial"/>
          <w:b/>
          <w:sz w:val="18"/>
          <w:szCs w:val="18"/>
          <w:lang w:eastAsia="cs-CZ"/>
        </w:rPr>
        <w:t>Zdroj:</w:t>
      </w:r>
      <w:r w:rsidRPr="00113872">
        <w:rPr>
          <w:rFonts w:ascii="Arial" w:hAnsi="Arial" w:cs="Arial"/>
          <w:sz w:val="18"/>
          <w:szCs w:val="18"/>
          <w:lang w:eastAsia="cs-CZ"/>
        </w:rPr>
        <w:t xml:space="preserve"> </w:t>
      </w:r>
      <w:r w:rsidR="00E9018C">
        <w:rPr>
          <w:rFonts w:ascii="Arial" w:hAnsi="Arial" w:cs="Arial"/>
          <w:sz w:val="18"/>
          <w:szCs w:val="18"/>
          <w:lang w:eastAsia="cs-CZ"/>
        </w:rPr>
        <w:t>ú</w:t>
      </w:r>
      <w:r w:rsidRPr="00113872">
        <w:rPr>
          <w:rFonts w:ascii="Arial" w:hAnsi="Arial" w:cs="Arial"/>
          <w:sz w:val="18"/>
          <w:szCs w:val="18"/>
          <w:lang w:eastAsia="cs-CZ"/>
        </w:rPr>
        <w:t>četní závěrka M</w:t>
      </w:r>
      <w:r>
        <w:rPr>
          <w:rFonts w:ascii="Arial" w:hAnsi="Arial" w:cs="Arial"/>
          <w:sz w:val="18"/>
          <w:szCs w:val="18"/>
          <w:lang w:eastAsia="cs-CZ"/>
        </w:rPr>
        <w:t>Ze</w:t>
      </w:r>
      <w:r w:rsidR="000856E8">
        <w:rPr>
          <w:rFonts w:ascii="Arial" w:hAnsi="Arial" w:cs="Arial"/>
          <w:sz w:val="18"/>
          <w:szCs w:val="18"/>
          <w:lang w:eastAsia="cs-CZ"/>
        </w:rPr>
        <w:t xml:space="preserve"> k 31. prosinci 2013</w:t>
      </w:r>
      <w:r w:rsidR="00E53886">
        <w:rPr>
          <w:rFonts w:ascii="Arial" w:hAnsi="Arial" w:cs="Arial"/>
          <w:sz w:val="18"/>
          <w:szCs w:val="18"/>
          <w:lang w:eastAsia="cs-CZ"/>
        </w:rPr>
        <w:t>.</w:t>
      </w:r>
    </w:p>
    <w:p w:rsidR="00836431" w:rsidRPr="006533DD" w:rsidRDefault="00836431" w:rsidP="00836431">
      <w:pPr>
        <w:tabs>
          <w:tab w:val="left" w:pos="8505"/>
        </w:tabs>
        <w:spacing w:after="40"/>
        <w:ind w:right="-142"/>
        <w:jc w:val="both"/>
        <w:rPr>
          <w:rFonts w:ascii="Arial" w:hAnsi="Arial" w:cs="Arial"/>
          <w:sz w:val="22"/>
          <w:szCs w:val="22"/>
        </w:rPr>
      </w:pPr>
    </w:p>
    <w:p w:rsidR="00C964C7" w:rsidRDefault="00836431" w:rsidP="00C964C7">
      <w:pPr>
        <w:tabs>
          <w:tab w:val="left" w:pos="1560"/>
        </w:tabs>
        <w:rPr>
          <w:rFonts w:ascii="Arial" w:hAnsi="Arial" w:cs="Arial"/>
          <w:i/>
          <w:iCs/>
          <w:sz w:val="22"/>
          <w:szCs w:val="22"/>
        </w:rPr>
      </w:pPr>
      <w:r w:rsidRPr="002E469C">
        <w:rPr>
          <w:rFonts w:ascii="Arial" w:hAnsi="Arial" w:cs="Arial"/>
          <w:b/>
          <w:sz w:val="22"/>
          <w:szCs w:val="22"/>
        </w:rPr>
        <w:t>Tabulka č. 3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C964C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Ú</w:t>
      </w:r>
      <w:r w:rsidRPr="002E469C">
        <w:rPr>
          <w:rFonts w:ascii="Arial" w:hAnsi="Arial" w:cs="Arial"/>
          <w:b/>
          <w:sz w:val="22"/>
          <w:szCs w:val="22"/>
        </w:rPr>
        <w:t xml:space="preserve">daje za běžné </w:t>
      </w:r>
      <w:r w:rsidR="006E32C1">
        <w:rPr>
          <w:rFonts w:ascii="Arial" w:hAnsi="Arial" w:cs="Arial"/>
          <w:b/>
          <w:sz w:val="22"/>
          <w:szCs w:val="22"/>
        </w:rPr>
        <w:t xml:space="preserve">účetní </w:t>
      </w:r>
      <w:r w:rsidRPr="002E469C">
        <w:rPr>
          <w:rFonts w:ascii="Arial" w:hAnsi="Arial" w:cs="Arial"/>
          <w:b/>
          <w:sz w:val="22"/>
          <w:szCs w:val="22"/>
        </w:rPr>
        <w:t xml:space="preserve">období z </w:t>
      </w:r>
      <w:r>
        <w:rPr>
          <w:rFonts w:ascii="Arial" w:hAnsi="Arial" w:cs="Arial"/>
          <w:b/>
          <w:sz w:val="22"/>
          <w:szCs w:val="22"/>
        </w:rPr>
        <w:t>v</w:t>
      </w:r>
      <w:r w:rsidRPr="002E469C">
        <w:rPr>
          <w:rFonts w:ascii="Arial" w:hAnsi="Arial" w:cs="Arial"/>
          <w:b/>
          <w:sz w:val="22"/>
          <w:szCs w:val="22"/>
        </w:rPr>
        <w:t>ýkazu zisku a z</w:t>
      </w:r>
      <w:r>
        <w:rPr>
          <w:rFonts w:ascii="Arial" w:hAnsi="Arial" w:cs="Arial"/>
          <w:b/>
          <w:sz w:val="22"/>
          <w:szCs w:val="22"/>
        </w:rPr>
        <w:t xml:space="preserve">tráty </w:t>
      </w:r>
    </w:p>
    <w:p w:rsidR="00836431" w:rsidRPr="002E469C" w:rsidRDefault="00C964C7" w:rsidP="00C964C7">
      <w:pPr>
        <w:tabs>
          <w:tab w:val="right" w:pos="9072"/>
        </w:tabs>
        <w:spacing w:after="40"/>
        <w:ind w:firstLine="1560"/>
        <w:jc w:val="both"/>
        <w:rPr>
          <w:rFonts w:ascii="Arial" w:hAnsi="Arial" w:cs="Arial"/>
          <w:b/>
          <w:sz w:val="22"/>
          <w:szCs w:val="22"/>
        </w:rPr>
      </w:pPr>
      <w:r w:rsidRPr="00C964C7">
        <w:rPr>
          <w:rFonts w:ascii="Arial" w:hAnsi="Arial" w:cs="Arial"/>
          <w:b/>
          <w:sz w:val="22"/>
          <w:szCs w:val="22"/>
        </w:rPr>
        <w:t xml:space="preserve">k 31. prosinci 2013 </w:t>
      </w:r>
      <w:r>
        <w:rPr>
          <w:rFonts w:ascii="Arial" w:hAnsi="Arial" w:cs="Arial"/>
          <w:sz w:val="22"/>
          <w:szCs w:val="22"/>
        </w:rPr>
        <w:tab/>
      </w:r>
      <w:r w:rsidR="00836431" w:rsidRPr="002E469C">
        <w:rPr>
          <w:rFonts w:ascii="Arial" w:hAnsi="Arial" w:cs="Arial"/>
          <w:b/>
          <w:bCs/>
          <w:sz w:val="22"/>
          <w:szCs w:val="22"/>
        </w:rPr>
        <w:t>(v Kč)</w:t>
      </w: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8"/>
        <w:gridCol w:w="2438"/>
        <w:gridCol w:w="4219"/>
      </w:tblGrid>
      <w:tr w:rsidR="00836431" w:rsidRPr="00C953C5" w:rsidTr="0046359D">
        <w:trPr>
          <w:trHeight w:val="283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C953C5" w:rsidRDefault="00836431" w:rsidP="00523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3C5">
              <w:rPr>
                <w:rFonts w:ascii="Arial" w:hAnsi="Arial" w:cs="Arial"/>
                <w:b/>
                <w:bCs/>
                <w:sz w:val="18"/>
                <w:szCs w:val="18"/>
              </w:rPr>
              <w:t>Náklady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C953C5" w:rsidRDefault="00836431" w:rsidP="00523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3C5">
              <w:rPr>
                <w:rFonts w:ascii="Arial" w:hAnsi="Arial" w:cs="Arial"/>
                <w:b/>
                <w:bCs/>
                <w:sz w:val="18"/>
                <w:szCs w:val="18"/>
              </w:rPr>
              <w:t>Výnosy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C953C5" w:rsidRDefault="00836431" w:rsidP="00523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3C5">
              <w:rPr>
                <w:rFonts w:ascii="Arial" w:hAnsi="Arial" w:cs="Arial"/>
                <w:b/>
                <w:bCs/>
                <w:sz w:val="18"/>
                <w:szCs w:val="18"/>
              </w:rPr>
              <w:t>Výsledek hospodaření po zdanění</w:t>
            </w:r>
          </w:p>
        </w:tc>
      </w:tr>
      <w:tr w:rsidR="00836431" w:rsidRPr="00C953C5" w:rsidTr="0052371E">
        <w:trPr>
          <w:trHeight w:val="283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C953C5" w:rsidRDefault="0046359D" w:rsidP="0052371E">
            <w:pPr>
              <w:ind w:right="228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48 115 422 110,23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C953C5" w:rsidRDefault="0046359D" w:rsidP="0052371E">
            <w:pPr>
              <w:ind w:right="228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39 298 518 038,67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C953C5" w:rsidRDefault="00836431" w:rsidP="0046359D">
            <w:pPr>
              <w:ind w:right="228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633F6A">
              <w:rPr>
                <w:rFonts w:ascii="Arial" w:hAnsi="Arial" w:cs="Arial"/>
                <w:sz w:val="18"/>
                <w:szCs w:val="18"/>
              </w:rPr>
              <w:t>−</w:t>
            </w:r>
            <w:r w:rsidR="0046359D">
              <w:rPr>
                <w:rFonts w:ascii="Arial" w:hAnsi="Arial" w:cs="Arial"/>
                <w:sz w:val="18"/>
                <w:szCs w:val="18"/>
              </w:rPr>
              <w:t>8 816 904 071,56</w:t>
            </w:r>
          </w:p>
        </w:tc>
      </w:tr>
    </w:tbl>
    <w:p w:rsidR="00836431" w:rsidRPr="003E7942" w:rsidRDefault="00836431" w:rsidP="00836431">
      <w:pPr>
        <w:spacing w:before="40"/>
        <w:rPr>
          <w:rFonts w:ascii="Arial" w:hAnsi="Arial" w:cs="Arial"/>
          <w:sz w:val="18"/>
          <w:szCs w:val="18"/>
          <w:lang w:eastAsia="cs-CZ"/>
        </w:rPr>
      </w:pPr>
      <w:r w:rsidRPr="003E7942">
        <w:rPr>
          <w:rFonts w:ascii="Arial" w:hAnsi="Arial" w:cs="Arial"/>
          <w:b/>
          <w:sz w:val="18"/>
          <w:szCs w:val="18"/>
          <w:lang w:eastAsia="cs-CZ"/>
        </w:rPr>
        <w:t>Zdroj:</w:t>
      </w:r>
      <w:r w:rsidRPr="003E7942">
        <w:rPr>
          <w:rFonts w:ascii="Arial" w:hAnsi="Arial" w:cs="Arial"/>
          <w:sz w:val="18"/>
          <w:szCs w:val="18"/>
          <w:lang w:eastAsia="cs-CZ"/>
        </w:rPr>
        <w:t xml:space="preserve"> </w:t>
      </w:r>
      <w:r w:rsidR="00E9018C">
        <w:rPr>
          <w:rFonts w:ascii="Arial" w:hAnsi="Arial" w:cs="Arial"/>
          <w:sz w:val="18"/>
          <w:szCs w:val="18"/>
          <w:lang w:eastAsia="cs-CZ"/>
        </w:rPr>
        <w:t>ú</w:t>
      </w:r>
      <w:r w:rsidRPr="003E7942">
        <w:rPr>
          <w:rFonts w:ascii="Arial" w:hAnsi="Arial" w:cs="Arial"/>
          <w:sz w:val="18"/>
          <w:szCs w:val="18"/>
          <w:lang w:eastAsia="cs-CZ"/>
        </w:rPr>
        <w:t>četní závěrka M</w:t>
      </w:r>
      <w:r>
        <w:rPr>
          <w:rFonts w:ascii="Arial" w:hAnsi="Arial" w:cs="Arial"/>
          <w:sz w:val="18"/>
          <w:szCs w:val="18"/>
          <w:lang w:eastAsia="cs-CZ"/>
        </w:rPr>
        <w:t>Ze</w:t>
      </w:r>
      <w:r w:rsidR="006E32C1">
        <w:rPr>
          <w:rFonts w:ascii="Arial" w:hAnsi="Arial" w:cs="Arial"/>
          <w:sz w:val="18"/>
          <w:szCs w:val="18"/>
          <w:lang w:eastAsia="cs-CZ"/>
        </w:rPr>
        <w:t xml:space="preserve"> k 31. prosinci 2013</w:t>
      </w:r>
      <w:r w:rsidRPr="003E7942">
        <w:rPr>
          <w:rFonts w:ascii="Arial" w:hAnsi="Arial" w:cs="Arial"/>
          <w:sz w:val="18"/>
          <w:szCs w:val="18"/>
          <w:lang w:eastAsia="cs-CZ"/>
        </w:rPr>
        <w:t>.</w:t>
      </w:r>
    </w:p>
    <w:p w:rsidR="00836431" w:rsidRPr="00C953C5" w:rsidRDefault="00836431" w:rsidP="00836431">
      <w:pPr>
        <w:rPr>
          <w:rFonts w:ascii="Arial" w:hAnsi="Arial" w:cs="Arial"/>
          <w:sz w:val="22"/>
          <w:szCs w:val="22"/>
          <w:highlight w:val="lightGray"/>
          <w:lang w:eastAsia="cs-CZ"/>
        </w:rPr>
      </w:pPr>
    </w:p>
    <w:p w:rsidR="0046359D" w:rsidRDefault="00836431" w:rsidP="00C964C7">
      <w:pPr>
        <w:tabs>
          <w:tab w:val="left" w:pos="1560"/>
          <w:tab w:val="left" w:pos="8505"/>
        </w:tabs>
        <w:spacing w:after="40"/>
        <w:ind w:right="-284"/>
        <w:jc w:val="both"/>
        <w:rPr>
          <w:rFonts w:ascii="Arial" w:hAnsi="Arial" w:cs="Arial"/>
          <w:b/>
          <w:sz w:val="22"/>
          <w:szCs w:val="22"/>
        </w:rPr>
      </w:pPr>
      <w:r w:rsidRPr="00BA4124">
        <w:rPr>
          <w:rFonts w:ascii="Arial" w:hAnsi="Arial" w:cs="Arial"/>
          <w:b/>
          <w:sz w:val="22"/>
          <w:szCs w:val="22"/>
        </w:rPr>
        <w:t xml:space="preserve">Tabulka č. </w:t>
      </w:r>
      <w:r>
        <w:rPr>
          <w:rFonts w:ascii="Arial" w:hAnsi="Arial" w:cs="Arial"/>
          <w:b/>
          <w:sz w:val="22"/>
          <w:szCs w:val="22"/>
        </w:rPr>
        <w:t>4</w:t>
      </w:r>
      <w:r w:rsidRPr="00BA4124">
        <w:rPr>
          <w:rFonts w:ascii="Arial" w:hAnsi="Arial" w:cs="Arial"/>
          <w:b/>
          <w:sz w:val="22"/>
          <w:szCs w:val="22"/>
        </w:rPr>
        <w:t xml:space="preserve"> – </w:t>
      </w:r>
      <w:r w:rsidR="00C964C7">
        <w:rPr>
          <w:rFonts w:ascii="Arial" w:hAnsi="Arial" w:cs="Arial"/>
          <w:b/>
          <w:sz w:val="22"/>
          <w:szCs w:val="22"/>
        </w:rPr>
        <w:tab/>
      </w:r>
      <w:r w:rsidRPr="00BA4124">
        <w:rPr>
          <w:rFonts w:ascii="Arial" w:hAnsi="Arial" w:cs="Arial"/>
          <w:b/>
          <w:sz w:val="22"/>
          <w:szCs w:val="22"/>
        </w:rPr>
        <w:t xml:space="preserve">Údaje za běžné </w:t>
      </w:r>
      <w:r w:rsidR="0046359D">
        <w:rPr>
          <w:rFonts w:ascii="Arial" w:hAnsi="Arial" w:cs="Arial"/>
          <w:b/>
          <w:sz w:val="22"/>
          <w:szCs w:val="22"/>
        </w:rPr>
        <w:t xml:space="preserve">účetní </w:t>
      </w:r>
      <w:r w:rsidRPr="00BA4124">
        <w:rPr>
          <w:rFonts w:ascii="Arial" w:hAnsi="Arial" w:cs="Arial"/>
          <w:b/>
          <w:sz w:val="22"/>
          <w:szCs w:val="22"/>
        </w:rPr>
        <w:t xml:space="preserve">období z </w:t>
      </w:r>
      <w:r>
        <w:rPr>
          <w:rFonts w:ascii="Arial" w:hAnsi="Arial" w:cs="Arial"/>
          <w:b/>
          <w:sz w:val="22"/>
          <w:szCs w:val="22"/>
        </w:rPr>
        <w:t>p</w:t>
      </w:r>
      <w:r w:rsidRPr="00BA4124">
        <w:rPr>
          <w:rFonts w:ascii="Arial" w:hAnsi="Arial" w:cs="Arial"/>
          <w:b/>
          <w:sz w:val="22"/>
          <w:szCs w:val="22"/>
        </w:rPr>
        <w:t xml:space="preserve">řílohy ÚZ </w:t>
      </w:r>
    </w:p>
    <w:p w:rsidR="00836431" w:rsidRPr="002E469C" w:rsidRDefault="00836431" w:rsidP="00C964C7">
      <w:pPr>
        <w:tabs>
          <w:tab w:val="right" w:pos="9072"/>
        </w:tabs>
        <w:spacing w:after="40"/>
        <w:ind w:firstLine="1560"/>
        <w:jc w:val="both"/>
        <w:rPr>
          <w:rFonts w:ascii="Arial" w:hAnsi="Arial" w:cs="Arial"/>
          <w:b/>
          <w:sz w:val="22"/>
          <w:szCs w:val="22"/>
        </w:rPr>
      </w:pPr>
      <w:r w:rsidRPr="00BA4124">
        <w:rPr>
          <w:rFonts w:ascii="Arial" w:hAnsi="Arial" w:cs="Arial"/>
          <w:b/>
          <w:sz w:val="22"/>
          <w:szCs w:val="22"/>
        </w:rPr>
        <w:t>k 31. prosinci 201</w:t>
      </w:r>
      <w:r w:rsidR="006D1779">
        <w:rPr>
          <w:rFonts w:ascii="Arial" w:hAnsi="Arial" w:cs="Arial"/>
          <w:b/>
          <w:sz w:val="22"/>
          <w:szCs w:val="22"/>
        </w:rPr>
        <w:t>3</w:t>
      </w:r>
      <w:r w:rsidRPr="00BA4124">
        <w:rPr>
          <w:rFonts w:ascii="Arial" w:hAnsi="Arial" w:cs="Arial"/>
          <w:b/>
          <w:sz w:val="22"/>
          <w:szCs w:val="22"/>
        </w:rPr>
        <w:t>, část A.4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</w:r>
      <w:r w:rsidRPr="002E469C">
        <w:rPr>
          <w:rFonts w:ascii="Arial" w:hAnsi="Arial" w:cs="Arial"/>
          <w:b/>
          <w:bCs/>
          <w:sz w:val="22"/>
          <w:szCs w:val="22"/>
        </w:rPr>
        <w:t>(v Kč)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835"/>
      </w:tblGrid>
      <w:tr w:rsidR="00836431" w:rsidRPr="00E379CA" w:rsidTr="006D1779">
        <w:trPr>
          <w:trHeight w:val="283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E379CA" w:rsidRDefault="00836431" w:rsidP="00523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9CA">
              <w:rPr>
                <w:rFonts w:ascii="Arial" w:hAnsi="Arial" w:cs="Arial"/>
                <w:b/>
                <w:bCs/>
                <w:sz w:val="18"/>
                <w:szCs w:val="18"/>
              </w:rPr>
              <w:t>Podrozvahové účty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6431" w:rsidRPr="00E379CA" w:rsidRDefault="00836431" w:rsidP="00523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9CA">
              <w:rPr>
                <w:rFonts w:ascii="Arial" w:hAnsi="Arial" w:cs="Arial"/>
                <w:b/>
                <w:bCs/>
                <w:sz w:val="18"/>
                <w:szCs w:val="18"/>
              </w:rPr>
              <w:t>Účetní hodnota</w:t>
            </w:r>
          </w:p>
        </w:tc>
      </w:tr>
      <w:tr w:rsidR="00836431" w:rsidRPr="00E379CA" w:rsidTr="0052371E">
        <w:trPr>
          <w:trHeight w:val="2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E379CA" w:rsidRDefault="00836431" w:rsidP="0052371E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379CA">
              <w:rPr>
                <w:rFonts w:ascii="Arial" w:hAnsi="Arial" w:cs="Arial"/>
                <w:sz w:val="18"/>
                <w:szCs w:val="18"/>
              </w:rPr>
              <w:t>P.I. Majetek účetní jednotky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5F6A74" w:rsidRDefault="006D1779" w:rsidP="0052371E">
            <w:pPr>
              <w:ind w:right="7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6 197 012,18</w:t>
            </w:r>
          </w:p>
        </w:tc>
      </w:tr>
      <w:tr w:rsidR="00836431" w:rsidRPr="00E379CA" w:rsidTr="0052371E">
        <w:trPr>
          <w:trHeight w:val="2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E379CA" w:rsidRDefault="006D1779" w:rsidP="0052371E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</w:rPr>
              <w:t>P.II. Vyřazené</w:t>
            </w:r>
            <w:r w:rsidR="00836431" w:rsidRPr="00E379CA">
              <w:rPr>
                <w:rFonts w:ascii="Arial" w:hAnsi="Arial" w:cs="Arial"/>
                <w:sz w:val="18"/>
                <w:szCs w:val="18"/>
              </w:rPr>
              <w:t xml:space="preserve"> pohledávky a závazky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5F6A74" w:rsidRDefault="006D1779" w:rsidP="0052371E">
            <w:pPr>
              <w:ind w:right="7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202 772,80</w:t>
            </w:r>
          </w:p>
        </w:tc>
      </w:tr>
      <w:tr w:rsidR="00836431" w:rsidRPr="00E379CA" w:rsidTr="0052371E">
        <w:trPr>
          <w:trHeight w:val="2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E379CA" w:rsidRDefault="00836431" w:rsidP="0052371E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379CA">
              <w:rPr>
                <w:rFonts w:ascii="Arial" w:hAnsi="Arial" w:cs="Arial"/>
                <w:sz w:val="18"/>
                <w:szCs w:val="18"/>
              </w:rPr>
              <w:t>P.III. Podmíněné pohledávky z důvodu užívání majetku jinou osobou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31" w:rsidRPr="005F6A74" w:rsidRDefault="00836431" w:rsidP="0052371E">
            <w:pPr>
              <w:ind w:right="7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F6A7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6431" w:rsidRPr="00E379CA" w:rsidTr="0052371E">
        <w:trPr>
          <w:trHeight w:val="2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E379CA" w:rsidRDefault="00836431" w:rsidP="0052371E">
            <w:pPr>
              <w:rPr>
                <w:rFonts w:ascii="Arial" w:hAnsi="Arial" w:cs="Arial"/>
                <w:sz w:val="18"/>
                <w:szCs w:val="18"/>
              </w:rPr>
            </w:pPr>
            <w:r w:rsidRPr="00E379CA">
              <w:rPr>
                <w:rFonts w:ascii="Arial" w:hAnsi="Arial" w:cs="Arial"/>
                <w:sz w:val="18"/>
                <w:szCs w:val="18"/>
              </w:rPr>
              <w:t>P.IV. Další podmíněné pohledávky a ostatní podmíněná aktiva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5F6A74" w:rsidRDefault="006D1779" w:rsidP="0052371E">
            <w:pPr>
              <w:ind w:right="7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11 257 635 540,46</w:t>
            </w:r>
          </w:p>
        </w:tc>
      </w:tr>
      <w:tr w:rsidR="00836431" w:rsidRPr="00E379CA" w:rsidTr="0052371E">
        <w:trPr>
          <w:trHeight w:val="2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E379CA" w:rsidRDefault="00836431" w:rsidP="0052371E">
            <w:pPr>
              <w:rPr>
                <w:rFonts w:ascii="Arial" w:hAnsi="Arial" w:cs="Arial"/>
                <w:sz w:val="18"/>
                <w:szCs w:val="18"/>
              </w:rPr>
            </w:pPr>
            <w:r w:rsidRPr="00E379CA">
              <w:rPr>
                <w:rFonts w:ascii="Arial" w:hAnsi="Arial" w:cs="Arial"/>
                <w:sz w:val="18"/>
                <w:szCs w:val="18"/>
              </w:rPr>
              <w:t>P.V. Podmíněné závazky z důvodu užívání cizího majetku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5F6A74" w:rsidRDefault="00836431" w:rsidP="0052371E">
            <w:pPr>
              <w:ind w:right="7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F6A7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6431" w:rsidRPr="00E379CA" w:rsidTr="0052371E">
        <w:trPr>
          <w:trHeight w:val="2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E379CA" w:rsidRDefault="00836431" w:rsidP="0052371E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379CA">
              <w:rPr>
                <w:rFonts w:ascii="Arial" w:hAnsi="Arial" w:cs="Arial"/>
                <w:sz w:val="18"/>
                <w:szCs w:val="18"/>
              </w:rPr>
              <w:t>P.VI. Další podmíněné závazky a ostatní podmíněná pasiva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31" w:rsidRPr="005F6A74" w:rsidRDefault="006D1779" w:rsidP="0052371E">
            <w:pPr>
              <w:ind w:right="7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1 818 645 285,47</w:t>
            </w:r>
          </w:p>
        </w:tc>
      </w:tr>
    </w:tbl>
    <w:p w:rsidR="00836431" w:rsidRPr="00BA4124" w:rsidRDefault="00836431" w:rsidP="00836431">
      <w:pPr>
        <w:spacing w:before="40"/>
        <w:rPr>
          <w:rFonts w:ascii="Arial" w:hAnsi="Arial" w:cs="Arial"/>
          <w:sz w:val="18"/>
          <w:szCs w:val="18"/>
          <w:lang w:eastAsia="cs-CZ"/>
        </w:rPr>
      </w:pPr>
      <w:r w:rsidRPr="00BA4124">
        <w:rPr>
          <w:rFonts w:ascii="Arial" w:hAnsi="Arial" w:cs="Arial"/>
          <w:b/>
          <w:sz w:val="18"/>
          <w:szCs w:val="18"/>
          <w:lang w:eastAsia="cs-CZ"/>
        </w:rPr>
        <w:t>Zdroj:</w:t>
      </w:r>
      <w:r w:rsidRPr="00BA4124">
        <w:rPr>
          <w:rFonts w:ascii="Arial" w:hAnsi="Arial" w:cs="Arial"/>
          <w:sz w:val="18"/>
          <w:szCs w:val="18"/>
          <w:lang w:eastAsia="cs-CZ"/>
        </w:rPr>
        <w:t xml:space="preserve"> </w:t>
      </w:r>
      <w:r w:rsidR="00E9018C">
        <w:rPr>
          <w:rFonts w:ascii="Arial" w:hAnsi="Arial" w:cs="Arial"/>
          <w:sz w:val="18"/>
          <w:szCs w:val="18"/>
          <w:lang w:eastAsia="cs-CZ"/>
        </w:rPr>
        <w:t>ú</w:t>
      </w:r>
      <w:r w:rsidRPr="00BA4124">
        <w:rPr>
          <w:rFonts w:ascii="Arial" w:hAnsi="Arial" w:cs="Arial"/>
          <w:sz w:val="18"/>
          <w:szCs w:val="18"/>
          <w:lang w:eastAsia="cs-CZ"/>
        </w:rPr>
        <w:t>četní závěrka M</w:t>
      </w:r>
      <w:r>
        <w:rPr>
          <w:rFonts w:ascii="Arial" w:hAnsi="Arial" w:cs="Arial"/>
          <w:sz w:val="18"/>
          <w:szCs w:val="18"/>
          <w:lang w:eastAsia="cs-CZ"/>
        </w:rPr>
        <w:t>Ze</w:t>
      </w:r>
      <w:r w:rsidR="006D1779">
        <w:rPr>
          <w:rFonts w:ascii="Arial" w:hAnsi="Arial" w:cs="Arial"/>
          <w:sz w:val="18"/>
          <w:szCs w:val="18"/>
          <w:lang w:eastAsia="cs-CZ"/>
        </w:rPr>
        <w:t xml:space="preserve"> k 31. prosinci 2013</w:t>
      </w:r>
      <w:r w:rsidRPr="00BA4124">
        <w:rPr>
          <w:rFonts w:ascii="Arial" w:hAnsi="Arial" w:cs="Arial"/>
          <w:sz w:val="18"/>
          <w:szCs w:val="18"/>
          <w:lang w:eastAsia="cs-CZ"/>
        </w:rPr>
        <w:t>.</w:t>
      </w:r>
    </w:p>
    <w:p w:rsidR="00BB5477" w:rsidRPr="00C964C7" w:rsidRDefault="00BB5477" w:rsidP="00C964C7">
      <w:pPr>
        <w:jc w:val="both"/>
        <w:rPr>
          <w:rFonts w:ascii="Arial" w:eastAsiaTheme="majorEastAsia" w:hAnsi="Arial" w:cs="Arial"/>
          <w:sz w:val="22"/>
          <w:szCs w:val="22"/>
        </w:rPr>
      </w:pPr>
      <w:bookmarkStart w:id="1" w:name="_Toc387906553"/>
      <w:bookmarkStart w:id="2" w:name="_Toc353614013"/>
      <w:bookmarkStart w:id="3" w:name="_Toc354493657"/>
    </w:p>
    <w:p w:rsidR="00BB5477" w:rsidRPr="00C964C7" w:rsidRDefault="00BB5477" w:rsidP="00C964C7">
      <w:pPr>
        <w:ind w:left="426" w:hanging="426"/>
        <w:jc w:val="both"/>
        <w:rPr>
          <w:rFonts w:ascii="Arial" w:eastAsiaTheme="majorEastAsia" w:hAnsi="Arial" w:cs="Arial"/>
          <w:b/>
          <w:sz w:val="22"/>
          <w:szCs w:val="22"/>
        </w:rPr>
      </w:pPr>
      <w:r w:rsidRPr="00C964C7">
        <w:rPr>
          <w:rFonts w:ascii="Arial" w:eastAsiaTheme="majorEastAsia" w:hAnsi="Arial" w:cs="Arial"/>
          <w:b/>
          <w:sz w:val="22"/>
          <w:szCs w:val="22"/>
        </w:rPr>
        <w:t xml:space="preserve">1.1 </w:t>
      </w:r>
      <w:r w:rsidR="00C964C7">
        <w:rPr>
          <w:rFonts w:ascii="Arial" w:eastAsiaTheme="majorEastAsia" w:hAnsi="Arial" w:cs="Arial"/>
          <w:b/>
          <w:sz w:val="22"/>
          <w:szCs w:val="22"/>
        </w:rPr>
        <w:tab/>
      </w:r>
      <w:r w:rsidRPr="00C964C7">
        <w:rPr>
          <w:rFonts w:ascii="Arial" w:eastAsiaTheme="majorEastAsia" w:hAnsi="Arial" w:cs="Arial"/>
          <w:b/>
          <w:sz w:val="22"/>
          <w:szCs w:val="22"/>
        </w:rPr>
        <w:t>Regulace účinná v roce 2013</w:t>
      </w:r>
      <w:bookmarkEnd w:id="1"/>
      <w:bookmarkEnd w:id="2"/>
      <w:bookmarkEnd w:id="3"/>
      <w:r w:rsidRPr="00C964C7">
        <w:rPr>
          <w:rFonts w:ascii="Arial" w:eastAsiaTheme="majorEastAsia" w:hAnsi="Arial" w:cs="Arial"/>
          <w:b/>
          <w:sz w:val="22"/>
          <w:szCs w:val="22"/>
        </w:rPr>
        <w:t xml:space="preserve"> a její vliv na ÚZ a na možnost vyjádřit se k její spolehlivosti</w:t>
      </w:r>
    </w:p>
    <w:p w:rsidR="00BB5477" w:rsidRPr="00C964C7" w:rsidRDefault="00BB5477" w:rsidP="00C964C7">
      <w:pPr>
        <w:jc w:val="both"/>
        <w:rPr>
          <w:rFonts w:ascii="Arial" w:eastAsiaTheme="majorEastAsia" w:hAnsi="Arial" w:cs="Arial"/>
          <w:sz w:val="22"/>
          <w:szCs w:val="22"/>
        </w:rPr>
      </w:pPr>
    </w:p>
    <w:p w:rsidR="0060312A" w:rsidRDefault="00783C7F" w:rsidP="00BB547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 1. ledna</w:t>
      </w:r>
      <w:r w:rsidR="0060312A">
        <w:rPr>
          <w:rFonts w:ascii="Arial" w:hAnsi="Arial" w:cs="Arial"/>
          <w:bCs/>
          <w:sz w:val="22"/>
          <w:szCs w:val="22"/>
        </w:rPr>
        <w:t xml:space="preserve"> 2013 byl novelizován zákon o účetnictví a vyhláška č. 410/2009 Sb., kterou se </w:t>
      </w:r>
      <w:r w:rsidR="0060312A" w:rsidRPr="00EE4910">
        <w:rPr>
          <w:rFonts w:ascii="Arial" w:hAnsi="Arial" w:cs="Arial"/>
          <w:bCs/>
          <w:sz w:val="22"/>
          <w:szCs w:val="22"/>
        </w:rPr>
        <w:t>provádějí některá ustanovení zákona č. 563/1991 Sb., o účetnictví, ve znění pozdějších předpisů, pro některé vybrané účetní jednotky</w:t>
      </w:r>
      <w:r w:rsidR="0060312A">
        <w:rPr>
          <w:rFonts w:ascii="Arial" w:hAnsi="Arial" w:cs="Arial"/>
          <w:bCs/>
          <w:sz w:val="22"/>
          <w:szCs w:val="22"/>
        </w:rPr>
        <w:t xml:space="preserve">. </w:t>
      </w:r>
      <w:r w:rsidR="007034D8">
        <w:rPr>
          <w:rFonts w:ascii="Arial" w:hAnsi="Arial" w:cs="Arial"/>
          <w:bCs/>
          <w:sz w:val="22"/>
          <w:szCs w:val="22"/>
        </w:rPr>
        <w:t>S účinností od 1. ledna 2013</w:t>
      </w:r>
      <w:r w:rsidR="0060312A">
        <w:rPr>
          <w:rFonts w:ascii="Arial" w:hAnsi="Arial" w:cs="Arial"/>
          <w:bCs/>
          <w:sz w:val="22"/>
          <w:szCs w:val="22"/>
        </w:rPr>
        <w:t xml:space="preserve"> byla novelizována také</w:t>
      </w:r>
      <w:r w:rsidR="0060312A" w:rsidRPr="0087660C">
        <w:rPr>
          <w:rFonts w:ascii="Arial" w:hAnsi="Arial" w:cs="Arial"/>
          <w:bCs/>
          <w:sz w:val="22"/>
          <w:szCs w:val="22"/>
        </w:rPr>
        <w:t xml:space="preserve"> vyhláška č. 383/2009 Sb., o</w:t>
      </w:r>
      <w:r w:rsidR="0060312A">
        <w:rPr>
          <w:rFonts w:ascii="Arial" w:hAnsi="Arial" w:cs="Arial"/>
          <w:bCs/>
          <w:sz w:val="22"/>
          <w:szCs w:val="22"/>
        </w:rPr>
        <w:t> </w:t>
      </w:r>
      <w:r w:rsidR="0060312A" w:rsidRPr="0087660C">
        <w:rPr>
          <w:rFonts w:ascii="Arial" w:hAnsi="Arial" w:cs="Arial"/>
          <w:bCs/>
          <w:sz w:val="22"/>
          <w:szCs w:val="22"/>
        </w:rPr>
        <w:t xml:space="preserve">účetních záznamech </w:t>
      </w:r>
      <w:r w:rsidR="0060312A">
        <w:rPr>
          <w:rFonts w:ascii="Arial" w:hAnsi="Arial" w:cs="Arial"/>
          <w:bCs/>
          <w:sz w:val="22"/>
          <w:szCs w:val="22"/>
        </w:rPr>
        <w:t>v </w:t>
      </w:r>
      <w:r w:rsidR="0060312A" w:rsidRPr="0087660C">
        <w:rPr>
          <w:rFonts w:ascii="Arial" w:hAnsi="Arial" w:cs="Arial"/>
          <w:bCs/>
          <w:sz w:val="22"/>
          <w:szCs w:val="22"/>
        </w:rPr>
        <w:t xml:space="preserve">technické formě vybraných účetních jednotek a jejich předávání do </w:t>
      </w:r>
      <w:r w:rsidR="004D29EB">
        <w:rPr>
          <w:rFonts w:ascii="Arial" w:hAnsi="Arial" w:cs="Arial"/>
          <w:bCs/>
          <w:sz w:val="22"/>
          <w:szCs w:val="22"/>
        </w:rPr>
        <w:t>C</w:t>
      </w:r>
      <w:r w:rsidR="0060312A" w:rsidRPr="0087660C">
        <w:rPr>
          <w:rFonts w:ascii="Arial" w:hAnsi="Arial" w:cs="Arial"/>
          <w:bCs/>
          <w:sz w:val="22"/>
          <w:szCs w:val="22"/>
        </w:rPr>
        <w:t>entrálního systému účetních informací státu a o požadavcích na technické a</w:t>
      </w:r>
      <w:r w:rsidR="0060312A">
        <w:rPr>
          <w:rFonts w:ascii="Arial" w:hAnsi="Arial" w:cs="Arial"/>
          <w:bCs/>
          <w:sz w:val="22"/>
          <w:szCs w:val="22"/>
        </w:rPr>
        <w:t xml:space="preserve"> </w:t>
      </w:r>
      <w:r w:rsidR="0060312A" w:rsidRPr="0087660C">
        <w:rPr>
          <w:rFonts w:ascii="Arial" w:hAnsi="Arial" w:cs="Arial"/>
          <w:bCs/>
          <w:sz w:val="22"/>
          <w:szCs w:val="22"/>
        </w:rPr>
        <w:t>smíšené formy účetních záznamů (technická vyhláška o účetních záznamech)</w:t>
      </w:r>
      <w:r w:rsidR="0060312A">
        <w:rPr>
          <w:rFonts w:ascii="Arial" w:hAnsi="Arial" w:cs="Arial"/>
          <w:bCs/>
          <w:sz w:val="22"/>
          <w:szCs w:val="22"/>
        </w:rPr>
        <w:t xml:space="preserve">, </w:t>
      </w:r>
      <w:r w:rsidR="0060312A" w:rsidRPr="00BB5477">
        <w:rPr>
          <w:rFonts w:ascii="Arial" w:hAnsi="Arial" w:cs="Arial"/>
          <w:bCs/>
          <w:sz w:val="22"/>
          <w:szCs w:val="22"/>
        </w:rPr>
        <w:t xml:space="preserve">a to zejména v souvislosti se zpřesněním předávaných informací do </w:t>
      </w:r>
      <w:r w:rsidR="00106056">
        <w:rPr>
          <w:rFonts w:ascii="Arial" w:hAnsi="Arial" w:cs="Arial"/>
          <w:bCs/>
          <w:sz w:val="22"/>
          <w:szCs w:val="22"/>
        </w:rPr>
        <w:t>C</w:t>
      </w:r>
      <w:r w:rsidR="0053752D">
        <w:rPr>
          <w:rFonts w:ascii="Arial" w:hAnsi="Arial" w:cs="Arial"/>
          <w:bCs/>
          <w:sz w:val="22"/>
          <w:szCs w:val="22"/>
        </w:rPr>
        <w:t>entrálního systému účetních informací státu (dále také „CSÚIS“)</w:t>
      </w:r>
      <w:r w:rsidR="0060312A">
        <w:rPr>
          <w:rFonts w:ascii="Arial" w:hAnsi="Arial" w:cs="Arial"/>
          <w:bCs/>
          <w:sz w:val="22"/>
          <w:szCs w:val="22"/>
        </w:rPr>
        <w:t>.</w:t>
      </w:r>
    </w:p>
    <w:p w:rsidR="00BB5477" w:rsidRPr="00BB5477" w:rsidRDefault="00BB5477" w:rsidP="00BB5477">
      <w:pPr>
        <w:jc w:val="both"/>
        <w:rPr>
          <w:rFonts w:ascii="Arial" w:hAnsi="Arial" w:cs="Arial"/>
          <w:bCs/>
          <w:sz w:val="22"/>
          <w:szCs w:val="22"/>
          <w:highlight w:val="yellow"/>
          <w:u w:val="single"/>
        </w:rPr>
      </w:pPr>
    </w:p>
    <w:p w:rsidR="00A04197" w:rsidRPr="00BB5477" w:rsidRDefault="00BB5477" w:rsidP="00BB5477">
      <w:pPr>
        <w:jc w:val="both"/>
        <w:rPr>
          <w:rFonts w:ascii="Arial" w:hAnsi="Arial" w:cs="Arial"/>
          <w:bCs/>
          <w:sz w:val="22"/>
          <w:szCs w:val="22"/>
        </w:rPr>
      </w:pPr>
      <w:r w:rsidRPr="00BB5477">
        <w:rPr>
          <w:rFonts w:ascii="Arial" w:hAnsi="Arial" w:cs="Arial"/>
          <w:bCs/>
          <w:sz w:val="22"/>
          <w:szCs w:val="22"/>
        </w:rPr>
        <w:t xml:space="preserve">Pro rok 2013 byly vydány dva nové </w:t>
      </w:r>
      <w:r w:rsidR="00996BB1">
        <w:rPr>
          <w:rFonts w:ascii="Arial" w:hAnsi="Arial" w:cs="Arial"/>
          <w:bCs/>
          <w:sz w:val="22"/>
          <w:szCs w:val="22"/>
        </w:rPr>
        <w:t>č</w:t>
      </w:r>
      <w:r w:rsidRPr="00BB5477">
        <w:rPr>
          <w:rFonts w:ascii="Arial" w:hAnsi="Arial" w:cs="Arial"/>
          <w:bCs/>
          <w:sz w:val="22"/>
          <w:szCs w:val="22"/>
        </w:rPr>
        <w:t>eské účetní standardy pro některé vybrané účetní jednotky</w:t>
      </w:r>
      <w:r w:rsidR="00492FB0" w:rsidRPr="0087660C">
        <w:rPr>
          <w:rStyle w:val="Znakapoznpodarou"/>
          <w:rFonts w:ascii="Arial" w:hAnsi="Arial" w:cs="Arial"/>
          <w:bCs/>
          <w:sz w:val="22"/>
          <w:szCs w:val="22"/>
        </w:rPr>
        <w:footnoteReference w:id="3"/>
      </w:r>
      <w:r w:rsidRPr="00BB5477">
        <w:rPr>
          <w:rFonts w:ascii="Arial" w:hAnsi="Arial" w:cs="Arial"/>
          <w:bCs/>
          <w:sz w:val="22"/>
          <w:szCs w:val="22"/>
        </w:rPr>
        <w:t xml:space="preserve">. Jedná se o standard č. </w:t>
      </w:r>
      <w:r w:rsidRPr="00A04197">
        <w:rPr>
          <w:rFonts w:ascii="Arial" w:hAnsi="Arial" w:cs="Arial"/>
          <w:bCs/>
          <w:sz w:val="22"/>
          <w:szCs w:val="22"/>
        </w:rPr>
        <w:t xml:space="preserve">709 – </w:t>
      </w:r>
      <w:r w:rsidRPr="00A04197">
        <w:rPr>
          <w:rFonts w:ascii="Arial" w:hAnsi="Arial" w:cs="Arial"/>
          <w:bCs/>
          <w:i/>
          <w:sz w:val="22"/>
          <w:szCs w:val="22"/>
        </w:rPr>
        <w:t>Vlastní zdroje</w:t>
      </w:r>
      <w:r w:rsidRPr="00BB5477">
        <w:rPr>
          <w:rFonts w:ascii="Arial" w:hAnsi="Arial" w:cs="Arial"/>
          <w:bCs/>
          <w:sz w:val="22"/>
          <w:szCs w:val="22"/>
        </w:rPr>
        <w:t xml:space="preserve"> a standard č. </w:t>
      </w:r>
      <w:r w:rsidRPr="00A04197">
        <w:rPr>
          <w:rFonts w:ascii="Arial" w:hAnsi="Arial" w:cs="Arial"/>
          <w:bCs/>
          <w:sz w:val="22"/>
          <w:szCs w:val="22"/>
        </w:rPr>
        <w:t xml:space="preserve">710 – </w:t>
      </w:r>
      <w:r w:rsidRPr="00A04197">
        <w:rPr>
          <w:rFonts w:ascii="Arial" w:hAnsi="Arial" w:cs="Arial"/>
          <w:bCs/>
          <w:i/>
          <w:sz w:val="22"/>
          <w:szCs w:val="22"/>
        </w:rPr>
        <w:t>Dlouhodobý nehmotný majetek a dlouhodobý hmotný majetek</w:t>
      </w:r>
      <w:r w:rsidRPr="00EC35F4">
        <w:rPr>
          <w:rFonts w:ascii="Arial" w:hAnsi="Arial" w:cs="Arial"/>
          <w:bCs/>
          <w:sz w:val="22"/>
          <w:szCs w:val="22"/>
        </w:rPr>
        <w:t xml:space="preserve"> </w:t>
      </w:r>
      <w:r w:rsidRPr="00BB5477">
        <w:rPr>
          <w:rFonts w:ascii="Arial" w:hAnsi="Arial" w:cs="Arial"/>
          <w:bCs/>
          <w:sz w:val="22"/>
          <w:szCs w:val="22"/>
        </w:rPr>
        <w:t>(oznámení MF publikované ve Finančním zpravodaji č. 6/2012 čj. MF-91827/2012/28</w:t>
      </w:r>
      <w:r w:rsidR="000B37CA">
        <w:rPr>
          <w:rFonts w:ascii="Arial" w:hAnsi="Arial" w:cs="Arial"/>
          <w:bCs/>
          <w:sz w:val="22"/>
          <w:szCs w:val="22"/>
        </w:rPr>
        <w:t xml:space="preserve"> pod číslem 24</w:t>
      </w:r>
      <w:r w:rsidRPr="00BB5477">
        <w:rPr>
          <w:rFonts w:ascii="Arial" w:hAnsi="Arial" w:cs="Arial"/>
          <w:bCs/>
          <w:sz w:val="22"/>
          <w:szCs w:val="22"/>
        </w:rPr>
        <w:t>).</w:t>
      </w:r>
      <w:r w:rsidR="00A04197">
        <w:rPr>
          <w:rFonts w:ascii="Arial" w:hAnsi="Arial" w:cs="Arial"/>
          <w:bCs/>
          <w:sz w:val="22"/>
          <w:szCs w:val="22"/>
        </w:rPr>
        <w:t xml:space="preserve"> Celkem tak v roce 2013 platilo deset </w:t>
      </w:r>
      <w:r w:rsidR="00996BB1">
        <w:rPr>
          <w:rFonts w:ascii="Arial" w:hAnsi="Arial" w:cs="Arial"/>
          <w:bCs/>
          <w:sz w:val="22"/>
          <w:szCs w:val="22"/>
        </w:rPr>
        <w:t>č</w:t>
      </w:r>
      <w:r w:rsidR="00A04197">
        <w:rPr>
          <w:rFonts w:ascii="Arial" w:hAnsi="Arial" w:cs="Arial"/>
          <w:bCs/>
          <w:sz w:val="22"/>
          <w:szCs w:val="22"/>
        </w:rPr>
        <w:t>eských účetních standardů (dále také „ČÚS“), z nichž část byla pro rok 2013 novelizována:</w:t>
      </w:r>
    </w:p>
    <w:p w:rsidR="00BB5477" w:rsidRPr="00A04197" w:rsidRDefault="00BB5477" w:rsidP="00C964C7">
      <w:pPr>
        <w:numPr>
          <w:ilvl w:val="0"/>
          <w:numId w:val="1"/>
        </w:numPr>
        <w:tabs>
          <w:tab w:val="clear" w:pos="684"/>
          <w:tab w:val="num" w:pos="284"/>
        </w:tabs>
        <w:ind w:left="284" w:hanging="284"/>
        <w:jc w:val="both"/>
        <w:rPr>
          <w:rFonts w:ascii="Arial" w:hAnsi="Arial"/>
          <w:sz w:val="22"/>
        </w:rPr>
      </w:pPr>
      <w:r w:rsidRPr="00A04197">
        <w:rPr>
          <w:rFonts w:ascii="Arial" w:hAnsi="Arial"/>
          <w:sz w:val="22"/>
        </w:rPr>
        <w:t>ČÚS č.</w:t>
      </w:r>
      <w:r w:rsidR="00905122">
        <w:rPr>
          <w:rFonts w:ascii="Arial" w:hAnsi="Arial"/>
          <w:sz w:val="22"/>
        </w:rPr>
        <w:t xml:space="preserve"> </w:t>
      </w:r>
      <w:r w:rsidRPr="00A04197">
        <w:rPr>
          <w:rFonts w:ascii="Arial" w:hAnsi="Arial"/>
          <w:sz w:val="22"/>
        </w:rPr>
        <w:t xml:space="preserve">701 – </w:t>
      </w:r>
      <w:r w:rsidRPr="00A04197">
        <w:rPr>
          <w:rFonts w:ascii="Arial" w:hAnsi="Arial"/>
          <w:i/>
          <w:sz w:val="22"/>
        </w:rPr>
        <w:t>Účty a zásady účtování na účtech</w:t>
      </w:r>
      <w:r w:rsidRPr="00A04197">
        <w:rPr>
          <w:rFonts w:ascii="Arial" w:hAnsi="Arial"/>
          <w:sz w:val="22"/>
        </w:rPr>
        <w:t xml:space="preserve"> (oznámení MF publikované ve </w:t>
      </w:r>
      <w:r w:rsidRPr="00996BB1">
        <w:rPr>
          <w:rFonts w:ascii="Arial" w:hAnsi="Arial"/>
          <w:i/>
          <w:sz w:val="22"/>
        </w:rPr>
        <w:t>Finančním zpravodaji</w:t>
      </w:r>
      <w:r w:rsidRPr="00A04197">
        <w:rPr>
          <w:rFonts w:ascii="Arial" w:hAnsi="Arial"/>
          <w:sz w:val="22"/>
        </w:rPr>
        <w:t xml:space="preserve"> </w:t>
      </w:r>
      <w:r w:rsidR="004D29EB">
        <w:rPr>
          <w:rFonts w:ascii="Arial" w:hAnsi="Arial"/>
          <w:sz w:val="22"/>
        </w:rPr>
        <w:t xml:space="preserve">č. </w:t>
      </w:r>
      <w:r w:rsidRPr="00A04197">
        <w:rPr>
          <w:rFonts w:ascii="Arial" w:hAnsi="Arial"/>
          <w:sz w:val="22"/>
        </w:rPr>
        <w:t>8/2012 čj. MF-116836/2012/28</w:t>
      </w:r>
      <w:r w:rsidR="000B37CA">
        <w:rPr>
          <w:rFonts w:ascii="Arial" w:hAnsi="Arial"/>
          <w:sz w:val="22"/>
        </w:rPr>
        <w:t xml:space="preserve"> pod číslem 37</w:t>
      </w:r>
      <w:r w:rsidRPr="00A04197">
        <w:rPr>
          <w:rFonts w:ascii="Arial" w:hAnsi="Arial"/>
          <w:sz w:val="22"/>
        </w:rPr>
        <w:t>),</w:t>
      </w:r>
    </w:p>
    <w:p w:rsidR="00BB5477" w:rsidRPr="00A04197" w:rsidRDefault="00BB5477" w:rsidP="00C964C7">
      <w:pPr>
        <w:numPr>
          <w:ilvl w:val="0"/>
          <w:numId w:val="1"/>
        </w:numPr>
        <w:tabs>
          <w:tab w:val="clear" w:pos="684"/>
        </w:tabs>
        <w:ind w:left="284" w:hanging="284"/>
        <w:jc w:val="both"/>
        <w:rPr>
          <w:rFonts w:ascii="Arial" w:hAnsi="Arial"/>
          <w:sz w:val="22"/>
        </w:rPr>
      </w:pPr>
      <w:r w:rsidRPr="00A04197">
        <w:rPr>
          <w:rFonts w:ascii="Arial" w:hAnsi="Arial"/>
          <w:sz w:val="22"/>
        </w:rPr>
        <w:lastRenderedPageBreak/>
        <w:t xml:space="preserve">ČÚS č. 704 – </w:t>
      </w:r>
      <w:r w:rsidRPr="00A04197">
        <w:rPr>
          <w:rFonts w:ascii="Arial" w:hAnsi="Arial"/>
          <w:i/>
          <w:sz w:val="22"/>
        </w:rPr>
        <w:t>Fondy účetní jednotky</w:t>
      </w:r>
      <w:r w:rsidRPr="00A04197">
        <w:rPr>
          <w:rFonts w:ascii="Arial" w:hAnsi="Arial"/>
          <w:sz w:val="22"/>
        </w:rPr>
        <w:t xml:space="preserve"> (oznámení MF publikované ve </w:t>
      </w:r>
      <w:r w:rsidRPr="00996BB1">
        <w:rPr>
          <w:rFonts w:ascii="Arial" w:hAnsi="Arial"/>
          <w:i/>
          <w:sz w:val="22"/>
        </w:rPr>
        <w:t>Finančním zpravodaji</w:t>
      </w:r>
      <w:r w:rsidRPr="00A04197">
        <w:rPr>
          <w:rFonts w:ascii="Arial" w:hAnsi="Arial"/>
          <w:sz w:val="22"/>
        </w:rPr>
        <w:t xml:space="preserve"> </w:t>
      </w:r>
      <w:r w:rsidR="004D29EB">
        <w:rPr>
          <w:rFonts w:ascii="Arial" w:hAnsi="Arial"/>
          <w:sz w:val="22"/>
        </w:rPr>
        <w:t xml:space="preserve">č. </w:t>
      </w:r>
      <w:r w:rsidRPr="00A04197">
        <w:rPr>
          <w:rFonts w:ascii="Arial" w:hAnsi="Arial"/>
          <w:sz w:val="22"/>
        </w:rPr>
        <w:t>8/2012 čj. MF-115 154/2012/28</w:t>
      </w:r>
      <w:r w:rsidR="000B37CA">
        <w:rPr>
          <w:rFonts w:ascii="Arial" w:hAnsi="Arial"/>
          <w:sz w:val="22"/>
        </w:rPr>
        <w:t xml:space="preserve"> pod číslem 35</w:t>
      </w:r>
      <w:r w:rsidRPr="00A04197">
        <w:rPr>
          <w:rFonts w:ascii="Arial" w:hAnsi="Arial"/>
          <w:sz w:val="22"/>
        </w:rPr>
        <w:t>),</w:t>
      </w:r>
    </w:p>
    <w:p w:rsidR="00755CD7" w:rsidRPr="00755CD7" w:rsidRDefault="00BB5477" w:rsidP="00C964C7">
      <w:pPr>
        <w:numPr>
          <w:ilvl w:val="0"/>
          <w:numId w:val="1"/>
        </w:numPr>
        <w:tabs>
          <w:tab w:val="clear" w:pos="684"/>
        </w:tabs>
        <w:ind w:left="284" w:hanging="284"/>
        <w:jc w:val="both"/>
        <w:rPr>
          <w:rFonts w:ascii="Arial" w:hAnsi="Arial"/>
          <w:sz w:val="22"/>
        </w:rPr>
      </w:pPr>
      <w:r w:rsidRPr="00A04197">
        <w:rPr>
          <w:rFonts w:ascii="Arial" w:hAnsi="Arial"/>
          <w:sz w:val="22"/>
        </w:rPr>
        <w:t xml:space="preserve">ČÚS č. 706 – </w:t>
      </w:r>
      <w:r w:rsidRPr="00A04197">
        <w:rPr>
          <w:rFonts w:ascii="Arial" w:hAnsi="Arial"/>
          <w:i/>
          <w:sz w:val="22"/>
        </w:rPr>
        <w:t>Opravné položky a vyřazení pohledávek</w:t>
      </w:r>
      <w:r w:rsidRPr="00A04197">
        <w:rPr>
          <w:rFonts w:ascii="Arial" w:hAnsi="Arial"/>
          <w:sz w:val="22"/>
        </w:rPr>
        <w:t xml:space="preserve"> (oznámení MF publikované ve </w:t>
      </w:r>
      <w:r w:rsidRPr="00996BB1">
        <w:rPr>
          <w:rFonts w:ascii="Arial" w:hAnsi="Arial"/>
          <w:i/>
          <w:sz w:val="22"/>
        </w:rPr>
        <w:t>Finančním zpravodaji</w:t>
      </w:r>
      <w:r w:rsidRPr="00A04197">
        <w:rPr>
          <w:rFonts w:ascii="Arial" w:hAnsi="Arial"/>
          <w:sz w:val="22"/>
        </w:rPr>
        <w:t xml:space="preserve"> </w:t>
      </w:r>
      <w:r w:rsidR="004D29EB">
        <w:rPr>
          <w:rFonts w:ascii="Arial" w:hAnsi="Arial"/>
          <w:sz w:val="22"/>
        </w:rPr>
        <w:t xml:space="preserve">č. </w:t>
      </w:r>
      <w:r w:rsidRPr="00A04197">
        <w:rPr>
          <w:rFonts w:ascii="Arial" w:hAnsi="Arial"/>
          <w:sz w:val="22"/>
        </w:rPr>
        <w:t>8/2012 čj. MF-94954/2012/28</w:t>
      </w:r>
      <w:r w:rsidR="000B37CA">
        <w:rPr>
          <w:rFonts w:ascii="Arial" w:hAnsi="Arial"/>
          <w:sz w:val="22"/>
        </w:rPr>
        <w:t xml:space="preserve"> pod číslem 30</w:t>
      </w:r>
      <w:r w:rsidRPr="00A04197">
        <w:rPr>
          <w:rFonts w:ascii="Arial" w:hAnsi="Arial"/>
          <w:sz w:val="22"/>
        </w:rPr>
        <w:t>),</w:t>
      </w:r>
    </w:p>
    <w:p w:rsidR="008A56E4" w:rsidRPr="00755CD7" w:rsidRDefault="00BB5477" w:rsidP="00C964C7">
      <w:pPr>
        <w:numPr>
          <w:ilvl w:val="0"/>
          <w:numId w:val="1"/>
        </w:numPr>
        <w:tabs>
          <w:tab w:val="clear" w:pos="684"/>
        </w:tabs>
        <w:ind w:left="284" w:hanging="284"/>
        <w:jc w:val="both"/>
        <w:rPr>
          <w:rFonts w:ascii="Arial" w:hAnsi="Arial"/>
          <w:sz w:val="22"/>
        </w:rPr>
      </w:pPr>
      <w:r w:rsidRPr="00755CD7">
        <w:rPr>
          <w:rFonts w:ascii="Arial" w:hAnsi="Arial"/>
          <w:sz w:val="22"/>
        </w:rPr>
        <w:t xml:space="preserve">ČÚS č. 707 – </w:t>
      </w:r>
      <w:r w:rsidRPr="00755CD7">
        <w:rPr>
          <w:rFonts w:ascii="Arial" w:hAnsi="Arial"/>
          <w:i/>
          <w:sz w:val="22"/>
        </w:rPr>
        <w:t>Zásoby</w:t>
      </w:r>
      <w:r w:rsidRPr="00755CD7">
        <w:rPr>
          <w:rFonts w:ascii="Arial" w:hAnsi="Arial"/>
          <w:sz w:val="22"/>
        </w:rPr>
        <w:t xml:space="preserve"> (oznámení MF publikované ve </w:t>
      </w:r>
      <w:r w:rsidRPr="00996BB1">
        <w:rPr>
          <w:rFonts w:ascii="Arial" w:hAnsi="Arial"/>
          <w:i/>
          <w:sz w:val="22"/>
        </w:rPr>
        <w:t>Finančním zpravodaji</w:t>
      </w:r>
      <w:r w:rsidRPr="00755CD7">
        <w:rPr>
          <w:rFonts w:ascii="Arial" w:hAnsi="Arial"/>
          <w:sz w:val="22"/>
        </w:rPr>
        <w:t xml:space="preserve"> </w:t>
      </w:r>
      <w:r w:rsidR="004D29EB" w:rsidRPr="00755CD7">
        <w:rPr>
          <w:rFonts w:ascii="Arial" w:hAnsi="Arial"/>
          <w:sz w:val="22"/>
        </w:rPr>
        <w:t xml:space="preserve">č. </w:t>
      </w:r>
      <w:r w:rsidR="00DF3B77">
        <w:rPr>
          <w:rFonts w:ascii="Arial" w:hAnsi="Arial"/>
          <w:sz w:val="22"/>
        </w:rPr>
        <w:t>8/2012 čj. </w:t>
      </w:r>
      <w:r w:rsidRPr="00755CD7">
        <w:rPr>
          <w:rFonts w:ascii="Arial" w:hAnsi="Arial"/>
          <w:sz w:val="22"/>
        </w:rPr>
        <w:t>MF-94954/2012/28</w:t>
      </w:r>
      <w:r w:rsidR="000B37CA" w:rsidRPr="00755CD7">
        <w:rPr>
          <w:rFonts w:ascii="Arial" w:hAnsi="Arial"/>
          <w:sz w:val="22"/>
        </w:rPr>
        <w:t xml:space="preserve"> pod číslem 31</w:t>
      </w:r>
      <w:r w:rsidRPr="00755CD7">
        <w:rPr>
          <w:rFonts w:ascii="Arial" w:hAnsi="Arial"/>
          <w:sz w:val="22"/>
        </w:rPr>
        <w:t>)</w:t>
      </w:r>
      <w:r w:rsidR="008A56E4" w:rsidRPr="00755CD7">
        <w:rPr>
          <w:rFonts w:ascii="Arial" w:hAnsi="Arial"/>
          <w:sz w:val="22"/>
        </w:rPr>
        <w:t>.</w:t>
      </w:r>
    </w:p>
    <w:p w:rsidR="008A56E4" w:rsidRDefault="008A56E4" w:rsidP="008A56E4">
      <w:pPr>
        <w:jc w:val="both"/>
        <w:rPr>
          <w:rFonts w:ascii="Arial" w:hAnsi="Arial"/>
          <w:sz w:val="22"/>
        </w:rPr>
      </w:pPr>
    </w:p>
    <w:p w:rsidR="00400963" w:rsidRPr="00BB6AC7" w:rsidRDefault="00C96FFA" w:rsidP="00400963">
      <w:pPr>
        <w:pStyle w:val="NormlnKZ"/>
        <w:spacing w:after="0"/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Č</w:t>
      </w:r>
      <w:r w:rsidR="00400963" w:rsidRPr="00BB6AC7">
        <w:rPr>
          <w:rFonts w:ascii="Arial" w:hAnsi="Arial" w:cs="Arial"/>
          <w:b/>
          <w:szCs w:val="22"/>
        </w:rPr>
        <w:t>ásti účetní závěrky, ke kterým se NKÚ nevyjadřuje</w:t>
      </w:r>
    </w:p>
    <w:p w:rsidR="008B1133" w:rsidRDefault="008B1133" w:rsidP="0066311C">
      <w:pPr>
        <w:jc w:val="both"/>
        <w:rPr>
          <w:rFonts w:ascii="Arial" w:hAnsi="Arial" w:cs="Arial"/>
          <w:sz w:val="22"/>
          <w:szCs w:val="22"/>
        </w:rPr>
      </w:pPr>
    </w:p>
    <w:p w:rsidR="008A56E4" w:rsidRPr="001A0CAB" w:rsidRDefault="008A56E4" w:rsidP="008A56E4">
      <w:pPr>
        <w:jc w:val="both"/>
        <w:rPr>
          <w:rFonts w:ascii="Arial" w:hAnsi="Arial" w:cs="Arial"/>
          <w:sz w:val="22"/>
          <w:szCs w:val="22"/>
        </w:rPr>
      </w:pPr>
      <w:r w:rsidRPr="008A56E4">
        <w:rPr>
          <w:rFonts w:ascii="Arial" w:hAnsi="Arial" w:cs="Arial"/>
          <w:sz w:val="22"/>
          <w:szCs w:val="22"/>
        </w:rPr>
        <w:t>Novely právních předpisů a ČÚS neodstranily nejednoznačnosti a nejasnosti v oblastech, ve kterých</w:t>
      </w:r>
      <w:r w:rsidR="006D6873">
        <w:rPr>
          <w:rFonts w:ascii="Arial" w:hAnsi="Arial" w:cs="Arial"/>
          <w:sz w:val="22"/>
          <w:szCs w:val="22"/>
        </w:rPr>
        <w:t xml:space="preserve"> </w:t>
      </w:r>
      <w:r w:rsidRPr="008A56E4">
        <w:rPr>
          <w:rFonts w:ascii="Arial" w:hAnsi="Arial" w:cs="Arial"/>
          <w:sz w:val="22"/>
          <w:szCs w:val="22"/>
        </w:rPr>
        <w:t>dlouhodobě</w:t>
      </w:r>
      <w:r w:rsidR="00E978E0">
        <w:rPr>
          <w:rFonts w:ascii="Arial" w:hAnsi="Arial" w:cs="Arial"/>
          <w:sz w:val="22"/>
          <w:szCs w:val="22"/>
        </w:rPr>
        <w:t xml:space="preserve"> přetrvávají</w:t>
      </w:r>
      <w:r w:rsidR="006D6873">
        <w:rPr>
          <w:rFonts w:ascii="Arial" w:hAnsi="Arial" w:cs="Arial"/>
          <w:sz w:val="22"/>
          <w:szCs w:val="22"/>
        </w:rPr>
        <w:t xml:space="preserve">. </w:t>
      </w:r>
      <w:r w:rsidRPr="008A56E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de o</w:t>
      </w:r>
      <w:r w:rsidR="0011037B">
        <w:rPr>
          <w:rFonts w:ascii="Arial" w:hAnsi="Arial" w:cs="Arial"/>
          <w:sz w:val="22"/>
          <w:szCs w:val="22"/>
        </w:rPr>
        <w:t xml:space="preserve"> oblast</w:t>
      </w:r>
      <w:r>
        <w:rPr>
          <w:rFonts w:ascii="Arial" w:hAnsi="Arial" w:cs="Arial"/>
          <w:sz w:val="22"/>
          <w:szCs w:val="22"/>
        </w:rPr>
        <w:t xml:space="preserve"> poskytování peněžních prostředků státního rozpočtu na předfinancování výdajů, které mají být následně kryty prostředky z rozpočtu Evropské unie, vykazování dlouhodobého finančního majetku a naplňo</w:t>
      </w:r>
      <w:r w:rsidR="00DF3B77">
        <w:rPr>
          <w:rFonts w:ascii="Arial" w:hAnsi="Arial" w:cs="Arial"/>
          <w:sz w:val="22"/>
          <w:szCs w:val="22"/>
        </w:rPr>
        <w:t>vání některých částí přehledu o </w:t>
      </w:r>
      <w:r>
        <w:rPr>
          <w:rFonts w:ascii="Arial" w:hAnsi="Arial" w:cs="Arial"/>
          <w:sz w:val="22"/>
          <w:szCs w:val="22"/>
        </w:rPr>
        <w:t>změnách vlastního kapitálu.</w:t>
      </w:r>
    </w:p>
    <w:p w:rsidR="008A56E4" w:rsidRDefault="008A56E4" w:rsidP="0066311C">
      <w:pPr>
        <w:jc w:val="both"/>
        <w:rPr>
          <w:rFonts w:ascii="Arial" w:hAnsi="Arial" w:cs="Arial"/>
          <w:sz w:val="22"/>
          <w:szCs w:val="22"/>
        </w:rPr>
      </w:pPr>
    </w:p>
    <w:p w:rsidR="008B1133" w:rsidRPr="00167C2E" w:rsidRDefault="008B1133" w:rsidP="00C964C7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167C2E">
        <w:rPr>
          <w:rFonts w:ascii="Arial" w:hAnsi="Arial" w:cs="Arial"/>
          <w:b/>
          <w:i/>
          <w:sz w:val="22"/>
          <w:szCs w:val="22"/>
        </w:rPr>
        <w:t>Peněžní prostředky státního rozpočtu určené na předfinancování výdajů, které mají být kryty prostředky z rozpočtu E</w:t>
      </w:r>
      <w:r w:rsidR="006A51C7" w:rsidRPr="00167C2E">
        <w:rPr>
          <w:rFonts w:ascii="Arial" w:hAnsi="Arial" w:cs="Arial"/>
          <w:b/>
          <w:i/>
          <w:sz w:val="22"/>
          <w:szCs w:val="22"/>
        </w:rPr>
        <w:t>vropské unie</w:t>
      </w:r>
      <w:r w:rsidRPr="00167C2E">
        <w:rPr>
          <w:rFonts w:ascii="Arial" w:hAnsi="Arial" w:cs="Arial"/>
          <w:b/>
          <w:i/>
          <w:sz w:val="22"/>
          <w:szCs w:val="22"/>
        </w:rPr>
        <w:t xml:space="preserve"> nebo prostřednictvím Národního fondu</w:t>
      </w:r>
    </w:p>
    <w:p w:rsidR="008B1133" w:rsidRDefault="008B1133" w:rsidP="0066311C">
      <w:pPr>
        <w:jc w:val="both"/>
        <w:rPr>
          <w:rFonts w:ascii="Arial" w:hAnsi="Arial" w:cs="Arial"/>
          <w:sz w:val="22"/>
          <w:szCs w:val="22"/>
        </w:rPr>
      </w:pPr>
    </w:p>
    <w:p w:rsidR="00A312AC" w:rsidRDefault="00C96FFA" w:rsidP="0066311C">
      <w:pPr>
        <w:jc w:val="both"/>
        <w:rPr>
          <w:rFonts w:ascii="Arial" w:hAnsi="Arial" w:cs="Arial"/>
          <w:sz w:val="22"/>
          <w:szCs w:val="22"/>
        </w:rPr>
      </w:pPr>
      <w:r w:rsidRPr="00C96FFA">
        <w:rPr>
          <w:rFonts w:ascii="Arial" w:hAnsi="Arial" w:cs="Arial"/>
          <w:sz w:val="22"/>
          <w:szCs w:val="22"/>
        </w:rPr>
        <w:t xml:space="preserve">I </w:t>
      </w:r>
      <w:r w:rsidR="00B0769B">
        <w:rPr>
          <w:rFonts w:ascii="Arial" w:hAnsi="Arial" w:cs="Arial"/>
          <w:sz w:val="22"/>
          <w:szCs w:val="22"/>
        </w:rPr>
        <w:t xml:space="preserve">po </w:t>
      </w:r>
      <w:r w:rsidRPr="00C96FFA">
        <w:rPr>
          <w:rFonts w:ascii="Arial" w:hAnsi="Arial" w:cs="Arial"/>
          <w:sz w:val="22"/>
          <w:szCs w:val="22"/>
        </w:rPr>
        <w:t>novel</w:t>
      </w:r>
      <w:r w:rsidR="00B0769B">
        <w:rPr>
          <w:rFonts w:ascii="Arial" w:hAnsi="Arial" w:cs="Arial"/>
          <w:sz w:val="22"/>
          <w:szCs w:val="22"/>
        </w:rPr>
        <w:t>e</w:t>
      </w:r>
      <w:r w:rsidRPr="00C96FFA">
        <w:rPr>
          <w:rFonts w:ascii="Arial" w:hAnsi="Arial" w:cs="Arial"/>
          <w:sz w:val="22"/>
          <w:szCs w:val="22"/>
        </w:rPr>
        <w:t xml:space="preserve"> Č</w:t>
      </w:r>
      <w:r w:rsidR="00AD0562">
        <w:rPr>
          <w:rFonts w:ascii="Arial" w:hAnsi="Arial" w:cs="Arial"/>
          <w:sz w:val="22"/>
          <w:szCs w:val="22"/>
        </w:rPr>
        <w:t>Ú</w:t>
      </w:r>
      <w:r w:rsidRPr="00C96FFA">
        <w:rPr>
          <w:rFonts w:ascii="Arial" w:hAnsi="Arial" w:cs="Arial"/>
          <w:sz w:val="22"/>
          <w:szCs w:val="22"/>
        </w:rPr>
        <w:t xml:space="preserve">S č. 703 </w:t>
      </w:r>
      <w:r w:rsidR="00AD0562" w:rsidRPr="00AD0562">
        <w:rPr>
          <w:rFonts w:ascii="Arial" w:hAnsi="Arial" w:cs="Arial"/>
          <w:i/>
          <w:sz w:val="22"/>
          <w:szCs w:val="22"/>
        </w:rPr>
        <w:t>– Transfery</w:t>
      </w:r>
      <w:r w:rsidR="00AD0562">
        <w:rPr>
          <w:rFonts w:ascii="Arial" w:hAnsi="Arial" w:cs="Arial"/>
          <w:sz w:val="22"/>
          <w:szCs w:val="22"/>
        </w:rPr>
        <w:t xml:space="preserve"> (dále jen „ČÚS č. 703“) </w:t>
      </w:r>
      <w:r w:rsidRPr="00C96FFA">
        <w:rPr>
          <w:rFonts w:ascii="Arial" w:hAnsi="Arial" w:cs="Arial"/>
          <w:sz w:val="22"/>
          <w:szCs w:val="22"/>
        </w:rPr>
        <w:t>účinn</w:t>
      </w:r>
      <w:r w:rsidR="00B0769B">
        <w:rPr>
          <w:rFonts w:ascii="Arial" w:hAnsi="Arial" w:cs="Arial"/>
          <w:sz w:val="22"/>
          <w:szCs w:val="22"/>
        </w:rPr>
        <w:t>é</w:t>
      </w:r>
      <w:r w:rsidRPr="00C96FFA">
        <w:rPr>
          <w:rFonts w:ascii="Arial" w:hAnsi="Arial" w:cs="Arial"/>
          <w:sz w:val="22"/>
          <w:szCs w:val="22"/>
        </w:rPr>
        <w:t xml:space="preserve"> od roku 2012 stále přetrvává</w:t>
      </w:r>
      <w:r w:rsidR="00E978E0">
        <w:rPr>
          <w:rFonts w:ascii="Arial" w:hAnsi="Arial" w:cs="Arial"/>
          <w:sz w:val="22"/>
          <w:szCs w:val="22"/>
        </w:rPr>
        <w:t xml:space="preserve"> stav</w:t>
      </w:r>
      <w:r w:rsidRPr="00C96FFA">
        <w:rPr>
          <w:rFonts w:ascii="Arial" w:hAnsi="Arial" w:cs="Arial"/>
          <w:sz w:val="22"/>
          <w:szCs w:val="22"/>
        </w:rPr>
        <w:t xml:space="preserve">, </w:t>
      </w:r>
      <w:r w:rsidR="00E978E0">
        <w:rPr>
          <w:rFonts w:ascii="Arial" w:hAnsi="Arial" w:cs="Arial"/>
          <w:sz w:val="22"/>
          <w:szCs w:val="22"/>
        </w:rPr>
        <w:t>kdy</w:t>
      </w:r>
      <w:r w:rsidRPr="00C96F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tento standard</w:t>
      </w:r>
      <w:r w:rsidRPr="00C96FFA">
        <w:rPr>
          <w:rFonts w:ascii="Arial" w:hAnsi="Arial" w:cs="Arial"/>
          <w:sz w:val="22"/>
          <w:szCs w:val="22"/>
        </w:rPr>
        <w:t xml:space="preserve"> nestanovuje závazné postupy účtování pro poskytování peněžních prostředků</w:t>
      </w:r>
      <w:r w:rsidR="00BF4306">
        <w:rPr>
          <w:rFonts w:ascii="Arial" w:hAnsi="Arial" w:cs="Arial"/>
          <w:sz w:val="22"/>
          <w:szCs w:val="22"/>
        </w:rPr>
        <w:t xml:space="preserve"> státního rozpočtu určených na předfinancování výdajů</w:t>
      </w:r>
      <w:r w:rsidRPr="00C96F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ani pro jejich následnou úhradu z prostředků rozpočtu E</w:t>
      </w:r>
      <w:r w:rsidR="00F1271D">
        <w:rPr>
          <w:rFonts w:ascii="Arial" w:hAnsi="Arial" w:cs="Arial"/>
          <w:sz w:val="22"/>
          <w:szCs w:val="22"/>
        </w:rPr>
        <w:t>vropské unie (dále také „EU“)</w:t>
      </w:r>
      <w:r w:rsidR="00BF4306">
        <w:rPr>
          <w:rFonts w:ascii="Arial" w:hAnsi="Arial" w:cs="Arial"/>
          <w:sz w:val="22"/>
          <w:szCs w:val="22"/>
        </w:rPr>
        <w:t xml:space="preserve"> nebo prostřednictvím Národního fondu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05B6A" w:rsidRDefault="00105B6A" w:rsidP="0066311C">
      <w:pPr>
        <w:jc w:val="both"/>
        <w:rPr>
          <w:rFonts w:ascii="Arial" w:hAnsi="Arial" w:cs="Arial"/>
          <w:sz w:val="22"/>
          <w:szCs w:val="22"/>
        </w:rPr>
      </w:pPr>
    </w:p>
    <w:p w:rsidR="00A312AC" w:rsidRDefault="00A312AC" w:rsidP="00896ACD">
      <w:pPr>
        <w:jc w:val="both"/>
        <w:rPr>
          <w:rFonts w:ascii="Arial" w:hAnsi="Arial" w:cs="Arial"/>
          <w:sz w:val="22"/>
        </w:rPr>
      </w:pPr>
      <w:r w:rsidRPr="007B299B">
        <w:rPr>
          <w:rFonts w:ascii="Arial" w:hAnsi="Arial" w:cs="Arial"/>
          <w:sz w:val="22"/>
          <w:szCs w:val="22"/>
        </w:rPr>
        <w:t>ČÚS č. 703 v bodu 3.1</w:t>
      </w:r>
      <w:r w:rsidR="008C65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písm. </w:t>
      </w:r>
      <w:r w:rsidRPr="007B299B">
        <w:rPr>
          <w:rFonts w:ascii="Arial" w:hAnsi="Arial" w:cs="Arial"/>
          <w:sz w:val="22"/>
          <w:szCs w:val="22"/>
        </w:rPr>
        <w:t>e)</w:t>
      </w:r>
      <w:r w:rsidR="00896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stanoví, že</w:t>
      </w:r>
      <w:r w:rsidR="00CD7E59">
        <w:rPr>
          <w:rFonts w:ascii="Arial" w:hAnsi="Arial" w:cs="Arial"/>
          <w:sz w:val="22"/>
          <w:szCs w:val="22"/>
        </w:rPr>
        <w:t xml:space="preserve"> MZe, pokud poskytuje prostředky získané od subjektu se sídlem v zahraničí, je zprostředkovatelem zahraničního transferu.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Další p</w:t>
      </w:r>
      <w:r w:rsidRPr="0052371E">
        <w:rPr>
          <w:rFonts w:ascii="Arial" w:hAnsi="Arial" w:cs="Arial"/>
          <w:sz w:val="22"/>
        </w:rPr>
        <w:t>ostup stanovený v ČÚS č. 703 (konkrétně v bodu 5.1.2) pro zprostředkovatele zahraničního transferu</w:t>
      </w:r>
      <w:r>
        <w:rPr>
          <w:rFonts w:ascii="Arial" w:hAnsi="Arial" w:cs="Arial"/>
          <w:sz w:val="22"/>
        </w:rPr>
        <w:t xml:space="preserve"> ale</w:t>
      </w:r>
      <w:r w:rsidRPr="0052371E">
        <w:rPr>
          <w:rFonts w:ascii="Arial" w:hAnsi="Arial" w:cs="Arial"/>
          <w:sz w:val="22"/>
        </w:rPr>
        <w:t xml:space="preserve"> neodpovídá skutečné praxi předfinancování. ČÚS č. 703 stanovuje postupy účtování pro případ, že zprostředkovatel nejdříve získá peněžní prostředky určené ke zprostředkování a následně je odešle příslušnému subjektu. </w:t>
      </w:r>
      <w:r w:rsidR="00E03ADC">
        <w:rPr>
          <w:rFonts w:ascii="Arial" w:hAnsi="Arial" w:cs="Arial"/>
          <w:sz w:val="22"/>
        </w:rPr>
        <w:t>Způsob</w:t>
      </w:r>
      <w:r w:rsidRPr="0052371E">
        <w:rPr>
          <w:rFonts w:ascii="Arial" w:hAnsi="Arial" w:cs="Arial"/>
          <w:sz w:val="22"/>
        </w:rPr>
        <w:t xml:space="preserve"> předfinancování ze státního rozpočtu je založen na tom, že peněžní prostředky jsou odeslány konečnému příjemci ze státního rozpočtu, v tomto případě z rozpočtu správce kapitoly, a až v následujících časových obdobích jsou na základě žádosti správci kapitoly refun</w:t>
      </w:r>
      <w:r>
        <w:rPr>
          <w:rFonts w:ascii="Arial" w:hAnsi="Arial" w:cs="Arial"/>
          <w:sz w:val="22"/>
        </w:rPr>
        <w:t>dovány z EU či Národního fondu.</w:t>
      </w:r>
      <w:r w:rsidR="00CD7E59">
        <w:rPr>
          <w:rFonts w:ascii="Arial" w:hAnsi="Arial" w:cs="Arial"/>
          <w:sz w:val="22"/>
        </w:rPr>
        <w:t xml:space="preserve"> </w:t>
      </w:r>
      <w:r w:rsidRPr="0052371E">
        <w:rPr>
          <w:rFonts w:ascii="Arial" w:hAnsi="Arial" w:cs="Arial"/>
          <w:sz w:val="22"/>
        </w:rPr>
        <w:t>Postupy stanovené v ČÚS č. 703 jsou</w:t>
      </w:r>
      <w:r w:rsidR="0086068E">
        <w:rPr>
          <w:rFonts w:ascii="Arial" w:hAnsi="Arial" w:cs="Arial"/>
          <w:sz w:val="22"/>
        </w:rPr>
        <w:t xml:space="preserve"> tak</w:t>
      </w:r>
      <w:r w:rsidRPr="0052371E">
        <w:rPr>
          <w:rFonts w:ascii="Arial" w:hAnsi="Arial" w:cs="Arial"/>
          <w:sz w:val="22"/>
        </w:rPr>
        <w:t xml:space="preserve"> na předfinancování neaplikovateln</w:t>
      </w:r>
      <w:r>
        <w:rPr>
          <w:rFonts w:ascii="Arial" w:hAnsi="Arial" w:cs="Arial"/>
          <w:sz w:val="22"/>
        </w:rPr>
        <w:t>é</w:t>
      </w:r>
      <w:r w:rsidR="00CD7E59">
        <w:rPr>
          <w:rFonts w:ascii="Arial" w:hAnsi="Arial" w:cs="Arial"/>
          <w:sz w:val="22"/>
        </w:rPr>
        <w:t>.</w:t>
      </w:r>
    </w:p>
    <w:p w:rsidR="008C65BF" w:rsidRPr="00CD7E59" w:rsidRDefault="008C65BF" w:rsidP="00896ACD">
      <w:pPr>
        <w:jc w:val="both"/>
        <w:rPr>
          <w:rFonts w:ascii="Arial" w:hAnsi="Arial" w:cs="Arial"/>
          <w:sz w:val="22"/>
        </w:rPr>
      </w:pPr>
    </w:p>
    <w:p w:rsidR="0086068E" w:rsidRDefault="009B6FBA" w:rsidP="009B6FB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56E4">
        <w:rPr>
          <w:rFonts w:ascii="Arial" w:hAnsi="Arial" w:cs="Arial"/>
          <w:sz w:val="22"/>
          <w:szCs w:val="22"/>
        </w:rPr>
        <w:t>V ČÚS č. 703</w:t>
      </w:r>
      <w:r w:rsidR="00A312AC">
        <w:rPr>
          <w:rFonts w:ascii="Arial" w:hAnsi="Arial" w:cs="Arial"/>
          <w:sz w:val="22"/>
          <w:szCs w:val="22"/>
        </w:rPr>
        <w:t xml:space="preserve"> </w:t>
      </w:r>
      <w:r w:rsidRPr="008A56E4">
        <w:rPr>
          <w:rFonts w:ascii="Arial" w:hAnsi="Arial" w:cs="Arial"/>
          <w:sz w:val="22"/>
          <w:szCs w:val="22"/>
        </w:rPr>
        <w:t>není jednoznačně stanoveno, zda má být vybraná účetní jednotka v případě účtování transferů spolufinancovaných z EU v roli poskytovatele a příjemce, či v roli</w:t>
      </w:r>
      <w:r w:rsidR="00CD7E59">
        <w:rPr>
          <w:rFonts w:ascii="Arial" w:hAnsi="Arial" w:cs="Arial"/>
          <w:sz w:val="22"/>
          <w:szCs w:val="22"/>
        </w:rPr>
        <w:t xml:space="preserve"> zprostředkovatele. </w:t>
      </w:r>
    </w:p>
    <w:p w:rsidR="0086068E" w:rsidRDefault="0086068E" w:rsidP="009B6FB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9B6FBA" w:rsidRPr="008A56E4" w:rsidRDefault="00CD7E59" w:rsidP="009B6FB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CD7E59">
        <w:rPr>
          <w:rFonts w:ascii="Arial" w:hAnsi="Arial" w:cs="Arial"/>
          <w:sz w:val="22"/>
          <w:szCs w:val="22"/>
        </w:rPr>
        <w:t>Přitom r</w:t>
      </w:r>
      <w:r w:rsidR="009B6FBA" w:rsidRPr="00CD7E59">
        <w:rPr>
          <w:rFonts w:ascii="Arial" w:hAnsi="Arial" w:cs="Arial"/>
          <w:sz w:val="22"/>
          <w:szCs w:val="22"/>
        </w:rPr>
        <w:t>ozlišen</w:t>
      </w:r>
      <w:r w:rsidR="009B6FBA" w:rsidRPr="008A56E4">
        <w:rPr>
          <w:rFonts w:ascii="Arial" w:hAnsi="Arial" w:cs="Arial"/>
          <w:sz w:val="22"/>
          <w:szCs w:val="22"/>
        </w:rPr>
        <w:t xml:space="preserve">í, zda MZe ve smyslu ČÚS č. 703 v případě předfinancování výdajů ze státního rozpočtu vystupuje jako poskytovatel (při poskytnutí předfinancovaných prostředků) a příjemce (při následné refundaci prostředků od EU nebo Národního fondu) nebo jako zprostředkovatel, je zásadní pro určení toho, zda </w:t>
      </w:r>
      <w:r w:rsidR="00A312AC">
        <w:rPr>
          <w:rFonts w:ascii="Arial" w:hAnsi="Arial" w:cs="Arial"/>
          <w:sz w:val="22"/>
          <w:szCs w:val="22"/>
        </w:rPr>
        <w:t>budou účtovány a vykázány:</w:t>
      </w:r>
    </w:p>
    <w:p w:rsidR="009B6FBA" w:rsidRDefault="009B6FBA" w:rsidP="00C964C7">
      <w:pPr>
        <w:pStyle w:val="Odstavecseseznamem"/>
        <w:numPr>
          <w:ilvl w:val="0"/>
          <w:numId w:val="14"/>
        </w:numPr>
        <w:shd w:val="clear" w:color="auto" w:fill="FFFFFF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A56E4">
        <w:rPr>
          <w:rFonts w:ascii="Arial" w:hAnsi="Arial" w:cs="Arial"/>
          <w:sz w:val="22"/>
          <w:szCs w:val="22"/>
        </w:rPr>
        <w:t xml:space="preserve">náklady a výnosy (vystupuje-li MZe jako poskytovatel a příjemce), </w:t>
      </w:r>
      <w:r w:rsidR="00E978E0">
        <w:rPr>
          <w:rFonts w:ascii="Arial" w:hAnsi="Arial" w:cs="Arial"/>
          <w:sz w:val="22"/>
          <w:szCs w:val="22"/>
        </w:rPr>
        <w:t>a tedy</w:t>
      </w:r>
      <w:r w:rsidRPr="008A56E4">
        <w:rPr>
          <w:rFonts w:ascii="Arial" w:hAnsi="Arial" w:cs="Arial"/>
          <w:sz w:val="22"/>
          <w:szCs w:val="22"/>
        </w:rPr>
        <w:t xml:space="preserve"> zvolený způsob účtování ovlivní výši dosaženého výsledku hospodaření, nebo </w:t>
      </w:r>
    </w:p>
    <w:p w:rsidR="009B6FBA" w:rsidRPr="008A56E4" w:rsidRDefault="009B6FBA" w:rsidP="00C964C7">
      <w:pPr>
        <w:pStyle w:val="Odstavecseseznamem"/>
        <w:numPr>
          <w:ilvl w:val="0"/>
          <w:numId w:val="14"/>
        </w:numPr>
        <w:shd w:val="clear" w:color="auto" w:fill="FFFFFF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A56E4">
        <w:rPr>
          <w:rFonts w:ascii="Arial" w:hAnsi="Arial" w:cs="Arial"/>
          <w:sz w:val="22"/>
          <w:szCs w:val="22"/>
        </w:rPr>
        <w:t xml:space="preserve">zúčtovací vztahy, tj. pohledávky a závazky (vystupuje-li MZe jako zprostředkovatel transferu prostředků ze zahraničí), </w:t>
      </w:r>
      <w:r w:rsidR="00E978E0">
        <w:rPr>
          <w:rFonts w:ascii="Arial" w:hAnsi="Arial" w:cs="Arial"/>
          <w:sz w:val="22"/>
          <w:szCs w:val="22"/>
        </w:rPr>
        <w:t>a tedy</w:t>
      </w:r>
      <w:r w:rsidRPr="008A56E4">
        <w:rPr>
          <w:rFonts w:ascii="Arial" w:hAnsi="Arial" w:cs="Arial"/>
          <w:sz w:val="22"/>
          <w:szCs w:val="22"/>
        </w:rPr>
        <w:t xml:space="preserve"> zvolený způsob účtování neovlivní výši dosaženého výsledku hospodaření. </w:t>
      </w:r>
    </w:p>
    <w:p w:rsidR="009B6FBA" w:rsidRDefault="009B6FBA" w:rsidP="0066311C">
      <w:pPr>
        <w:jc w:val="both"/>
        <w:rPr>
          <w:rFonts w:ascii="Arial" w:hAnsi="Arial" w:cs="Arial"/>
          <w:sz w:val="22"/>
          <w:szCs w:val="22"/>
        </w:rPr>
      </w:pPr>
    </w:p>
    <w:p w:rsidR="00A616AD" w:rsidRDefault="00A616AD" w:rsidP="00A616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vede</w:t>
      </w:r>
      <w:r w:rsidRPr="000C6832">
        <w:rPr>
          <w:rFonts w:ascii="Arial" w:hAnsi="Arial" w:cs="Arial"/>
          <w:sz w:val="22"/>
          <w:szCs w:val="22"/>
        </w:rPr>
        <w:t xml:space="preserve"> vybrané účetní jednotky k nutnosti aplikovat účetní postupy založené na výkladovém </w:t>
      </w:r>
      <w:r>
        <w:rPr>
          <w:rFonts w:ascii="Arial" w:hAnsi="Arial" w:cs="Arial"/>
          <w:sz w:val="22"/>
          <w:szCs w:val="22"/>
        </w:rPr>
        <w:t>řešení stanovené účetní regulace.</w:t>
      </w:r>
      <w:r w:rsidRPr="000C68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105B6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 zvolilo pro účtování těchto prostředků roli poskytovatele a příjemce.</w:t>
      </w:r>
      <w:r w:rsidR="00F73558">
        <w:rPr>
          <w:rFonts w:ascii="Arial" w:hAnsi="Arial" w:cs="Arial"/>
          <w:sz w:val="22"/>
          <w:szCs w:val="22"/>
        </w:rPr>
        <w:t xml:space="preserve"> </w:t>
      </w:r>
      <w:r w:rsidR="008B1133" w:rsidRPr="0052371E">
        <w:rPr>
          <w:rFonts w:ascii="Arial" w:hAnsi="Arial" w:cs="Arial"/>
          <w:sz w:val="22"/>
          <w:lang w:eastAsia="hi-IN" w:bidi="hi-IN"/>
        </w:rPr>
        <w:t>Z uvedených důvodů</w:t>
      </w:r>
      <w:r w:rsidR="005B10FD">
        <w:rPr>
          <w:rFonts w:ascii="Arial" w:hAnsi="Arial" w:cs="Arial"/>
          <w:sz w:val="22"/>
          <w:lang w:eastAsia="hi-IN" w:bidi="hi-IN"/>
        </w:rPr>
        <w:t xml:space="preserve"> nelze </w:t>
      </w:r>
      <w:r w:rsidR="00E978E0">
        <w:rPr>
          <w:rFonts w:ascii="Arial" w:hAnsi="Arial" w:cs="Arial"/>
          <w:sz w:val="22"/>
          <w:lang w:eastAsia="hi-IN" w:bidi="hi-IN"/>
        </w:rPr>
        <w:t xml:space="preserve">jednoznačně vyhodnotit soulad </w:t>
      </w:r>
      <w:r w:rsidR="005B10FD">
        <w:rPr>
          <w:rFonts w:ascii="Arial" w:hAnsi="Arial" w:cs="Arial"/>
          <w:sz w:val="22"/>
          <w:lang w:eastAsia="hi-IN" w:bidi="hi-IN"/>
        </w:rPr>
        <w:t>zvolen</w:t>
      </w:r>
      <w:r w:rsidR="00E978E0">
        <w:rPr>
          <w:rFonts w:ascii="Arial" w:hAnsi="Arial" w:cs="Arial"/>
          <w:sz w:val="22"/>
          <w:lang w:eastAsia="hi-IN" w:bidi="hi-IN"/>
        </w:rPr>
        <w:t>ých</w:t>
      </w:r>
      <w:r w:rsidR="005B10FD">
        <w:rPr>
          <w:rFonts w:ascii="Arial" w:hAnsi="Arial" w:cs="Arial"/>
          <w:sz w:val="22"/>
          <w:lang w:eastAsia="hi-IN" w:bidi="hi-IN"/>
        </w:rPr>
        <w:t xml:space="preserve"> postup</w:t>
      </w:r>
      <w:r w:rsidR="00E978E0">
        <w:rPr>
          <w:rFonts w:ascii="Arial" w:hAnsi="Arial" w:cs="Arial"/>
          <w:sz w:val="22"/>
          <w:lang w:eastAsia="hi-IN" w:bidi="hi-IN"/>
        </w:rPr>
        <w:t>ů</w:t>
      </w:r>
      <w:r w:rsidR="005B10FD">
        <w:rPr>
          <w:rFonts w:ascii="Arial" w:hAnsi="Arial" w:cs="Arial"/>
          <w:sz w:val="22"/>
          <w:lang w:eastAsia="hi-IN" w:bidi="hi-IN"/>
        </w:rPr>
        <w:t xml:space="preserve"> účtování MZe</w:t>
      </w:r>
      <w:r w:rsidR="008B1133" w:rsidRPr="0052371E">
        <w:rPr>
          <w:rFonts w:ascii="Arial" w:hAnsi="Arial" w:cs="Arial"/>
          <w:sz w:val="22"/>
          <w:lang w:eastAsia="hi-IN" w:bidi="hi-IN"/>
        </w:rPr>
        <w:t xml:space="preserve"> </w:t>
      </w:r>
      <w:r w:rsidR="002A778E">
        <w:rPr>
          <w:rFonts w:ascii="Arial" w:hAnsi="Arial" w:cs="Arial"/>
          <w:sz w:val="22"/>
          <w:lang w:eastAsia="hi-IN" w:bidi="hi-IN"/>
        </w:rPr>
        <w:t>s právními předpisy</w:t>
      </w:r>
      <w:r w:rsidR="00CD7E59">
        <w:rPr>
          <w:rFonts w:ascii="Arial" w:hAnsi="Arial" w:cs="Arial"/>
          <w:sz w:val="22"/>
          <w:lang w:eastAsia="hi-IN" w:bidi="hi-IN"/>
        </w:rPr>
        <w:t xml:space="preserve">, </w:t>
      </w:r>
      <w:r w:rsidR="002A778E">
        <w:rPr>
          <w:rFonts w:ascii="Arial" w:hAnsi="Arial" w:cs="Arial"/>
          <w:sz w:val="22"/>
          <w:lang w:eastAsia="hi-IN" w:bidi="hi-IN"/>
        </w:rPr>
        <w:t xml:space="preserve">a </w:t>
      </w:r>
      <w:r w:rsidR="00CD7E59">
        <w:rPr>
          <w:rFonts w:ascii="Arial" w:hAnsi="Arial" w:cs="Arial"/>
          <w:sz w:val="22"/>
          <w:lang w:eastAsia="hi-IN" w:bidi="hi-IN"/>
        </w:rPr>
        <w:t xml:space="preserve">proto </w:t>
      </w:r>
      <w:r>
        <w:rPr>
          <w:rFonts w:ascii="Arial" w:hAnsi="Arial" w:cs="Arial"/>
          <w:sz w:val="22"/>
          <w:lang w:eastAsia="hi-IN" w:bidi="hi-IN"/>
        </w:rPr>
        <w:t xml:space="preserve">ani </w:t>
      </w:r>
      <w:r w:rsidR="00CD7E59">
        <w:rPr>
          <w:rFonts w:ascii="Arial" w:hAnsi="Arial" w:cs="Arial"/>
          <w:sz w:val="22"/>
          <w:lang w:eastAsia="hi-IN" w:bidi="hi-IN"/>
        </w:rPr>
        <w:t xml:space="preserve">nelze vyhodnotit správnost </w:t>
      </w:r>
      <w:r w:rsidR="00CD7E59">
        <w:rPr>
          <w:rFonts w:ascii="Arial" w:hAnsi="Arial" w:cs="Arial"/>
          <w:sz w:val="22"/>
          <w:lang w:eastAsia="hi-IN" w:bidi="hi-IN"/>
        </w:rPr>
        <w:lastRenderedPageBreak/>
        <w:t>vykázaných údajů.</w:t>
      </w:r>
      <w:r>
        <w:rPr>
          <w:rFonts w:ascii="Arial" w:hAnsi="Arial" w:cs="Arial"/>
          <w:sz w:val="22"/>
          <w:szCs w:val="22"/>
        </w:rPr>
        <w:t xml:space="preserve"> </w:t>
      </w:r>
      <w:r w:rsidRPr="00096467">
        <w:rPr>
          <w:rFonts w:ascii="Arial" w:hAnsi="Arial" w:cs="Arial"/>
          <w:bCs/>
          <w:iCs/>
          <w:sz w:val="22"/>
          <w:szCs w:val="22"/>
        </w:rPr>
        <w:t>Přitom informace o</w:t>
      </w:r>
      <w:r w:rsidRPr="00096467">
        <w:rPr>
          <w:rFonts w:ascii="Arial" w:hAnsi="Arial" w:cs="Arial"/>
          <w:sz w:val="22"/>
          <w:szCs w:val="22"/>
        </w:rPr>
        <w:t xml:space="preserve"> těchto účetních případech jsou </w:t>
      </w:r>
      <w:r>
        <w:rPr>
          <w:rFonts w:ascii="Arial" w:hAnsi="Arial" w:cs="Arial"/>
          <w:sz w:val="22"/>
          <w:szCs w:val="22"/>
        </w:rPr>
        <w:t>v </w:t>
      </w:r>
      <w:r w:rsidRPr="00096467">
        <w:rPr>
          <w:rFonts w:ascii="Arial" w:hAnsi="Arial" w:cs="Arial"/>
          <w:sz w:val="22"/>
          <w:szCs w:val="22"/>
        </w:rPr>
        <w:t>účetní závěrce M</w:t>
      </w:r>
      <w:r>
        <w:rPr>
          <w:rFonts w:ascii="Arial" w:hAnsi="Arial" w:cs="Arial"/>
          <w:sz w:val="22"/>
          <w:szCs w:val="22"/>
        </w:rPr>
        <w:t>Ze</w:t>
      </w:r>
      <w:r w:rsidRPr="00096467">
        <w:rPr>
          <w:rFonts w:ascii="Arial" w:hAnsi="Arial" w:cs="Arial"/>
          <w:sz w:val="22"/>
          <w:szCs w:val="22"/>
        </w:rPr>
        <w:t xml:space="preserve"> významné</w:t>
      </w:r>
      <w:r>
        <w:rPr>
          <w:rFonts w:ascii="Arial" w:hAnsi="Arial" w:cs="Arial"/>
          <w:sz w:val="22"/>
          <w:szCs w:val="22"/>
        </w:rPr>
        <w:t>.</w:t>
      </w:r>
    </w:p>
    <w:p w:rsidR="00CD7E59" w:rsidRDefault="00CD7E59" w:rsidP="008B1133">
      <w:pPr>
        <w:jc w:val="both"/>
        <w:rPr>
          <w:rFonts w:ascii="Arial" w:hAnsi="Arial" w:cs="Arial"/>
          <w:sz w:val="22"/>
          <w:lang w:eastAsia="hi-IN" w:bidi="hi-IN"/>
        </w:rPr>
      </w:pPr>
    </w:p>
    <w:p w:rsidR="008B1133" w:rsidRDefault="00145653" w:rsidP="008B1133">
      <w:pPr>
        <w:jc w:val="both"/>
        <w:rPr>
          <w:rFonts w:ascii="Arial" w:hAnsi="Arial" w:cs="Arial"/>
          <w:sz w:val="22"/>
          <w:lang w:eastAsia="hi-IN" w:bidi="hi-IN"/>
        </w:rPr>
      </w:pPr>
      <w:r>
        <w:rPr>
          <w:rFonts w:ascii="Arial" w:hAnsi="Arial" w:cs="Arial"/>
          <w:sz w:val="22"/>
          <w:lang w:eastAsia="hi-IN" w:bidi="hi-IN"/>
        </w:rPr>
        <w:t>NKÚ</w:t>
      </w:r>
      <w:r w:rsidR="00CD7E59">
        <w:rPr>
          <w:rFonts w:ascii="Arial" w:hAnsi="Arial" w:cs="Arial"/>
          <w:sz w:val="22"/>
          <w:lang w:eastAsia="hi-IN" w:bidi="hi-IN"/>
        </w:rPr>
        <w:t xml:space="preserve"> se </w:t>
      </w:r>
      <w:r w:rsidR="00F73558">
        <w:rPr>
          <w:rFonts w:ascii="Arial" w:hAnsi="Arial" w:cs="Arial"/>
          <w:sz w:val="22"/>
          <w:lang w:eastAsia="hi-IN" w:bidi="hi-IN"/>
        </w:rPr>
        <w:t>proto</w:t>
      </w:r>
      <w:r w:rsidR="008B1133" w:rsidRPr="0052371E">
        <w:rPr>
          <w:rFonts w:ascii="Arial" w:hAnsi="Arial" w:cs="Arial"/>
          <w:sz w:val="22"/>
          <w:lang w:eastAsia="hi-IN" w:bidi="hi-IN"/>
        </w:rPr>
        <w:t xml:space="preserve"> nevyjadřuje ke správnosti účtování a vyk</w:t>
      </w:r>
      <w:r w:rsidR="006D6873">
        <w:rPr>
          <w:rFonts w:ascii="Arial" w:hAnsi="Arial" w:cs="Arial"/>
          <w:sz w:val="22"/>
          <w:lang w:eastAsia="hi-IN" w:bidi="hi-IN"/>
        </w:rPr>
        <w:t>ázání</w:t>
      </w:r>
      <w:r w:rsidR="0008364F">
        <w:rPr>
          <w:rFonts w:ascii="Arial" w:hAnsi="Arial" w:cs="Arial"/>
          <w:sz w:val="22"/>
          <w:lang w:eastAsia="hi-IN" w:bidi="hi-IN"/>
        </w:rPr>
        <w:t xml:space="preserve"> položek ÚZ, které souvisejí s </w:t>
      </w:r>
      <w:r w:rsidR="008B1133" w:rsidRPr="0052371E">
        <w:rPr>
          <w:rFonts w:ascii="Arial" w:hAnsi="Arial" w:cs="Arial"/>
          <w:sz w:val="22"/>
          <w:lang w:eastAsia="hi-IN" w:bidi="hi-IN"/>
        </w:rPr>
        <w:t>prostředky určenými k refundaci z</w:t>
      </w:r>
      <w:r w:rsidR="00F1271D">
        <w:rPr>
          <w:rFonts w:ascii="Arial" w:hAnsi="Arial" w:cs="Arial"/>
          <w:sz w:val="22"/>
          <w:lang w:eastAsia="hi-IN" w:bidi="hi-IN"/>
        </w:rPr>
        <w:t> EU či</w:t>
      </w:r>
      <w:r w:rsidR="008B1133" w:rsidRPr="0052371E">
        <w:rPr>
          <w:rFonts w:ascii="Arial" w:hAnsi="Arial" w:cs="Arial"/>
          <w:sz w:val="22"/>
          <w:lang w:eastAsia="hi-IN" w:bidi="hi-IN"/>
        </w:rPr>
        <w:t> Národního fondu,</w:t>
      </w:r>
      <w:r w:rsidR="006D6873">
        <w:rPr>
          <w:rFonts w:ascii="Arial" w:hAnsi="Arial" w:cs="Arial"/>
          <w:sz w:val="22"/>
          <w:lang w:eastAsia="hi-IN" w:bidi="hi-IN"/>
        </w:rPr>
        <w:t xml:space="preserve"> </w:t>
      </w:r>
      <w:r w:rsidR="0008364F">
        <w:rPr>
          <w:rFonts w:ascii="Arial" w:hAnsi="Arial" w:cs="Arial"/>
          <w:sz w:val="22"/>
          <w:lang w:eastAsia="hi-IN" w:bidi="hi-IN"/>
        </w:rPr>
        <w:t>ve výkazu zisku a </w:t>
      </w:r>
      <w:r w:rsidR="008B1133" w:rsidRPr="0052371E">
        <w:rPr>
          <w:rFonts w:ascii="Arial" w:hAnsi="Arial" w:cs="Arial"/>
          <w:sz w:val="22"/>
          <w:lang w:eastAsia="hi-IN" w:bidi="hi-IN"/>
        </w:rPr>
        <w:t>ztráty v</w:t>
      </w:r>
      <w:r w:rsidR="00CD7E0C">
        <w:rPr>
          <w:rFonts w:ascii="Arial" w:hAnsi="Arial" w:cs="Arial"/>
          <w:sz w:val="22"/>
          <w:lang w:eastAsia="hi-IN" w:bidi="hi-IN"/>
        </w:rPr>
        <w:t> </w:t>
      </w:r>
      <w:r w:rsidR="008B1133" w:rsidRPr="0052371E">
        <w:rPr>
          <w:rFonts w:ascii="Arial" w:hAnsi="Arial" w:cs="Arial"/>
          <w:sz w:val="22"/>
          <w:lang w:eastAsia="hi-IN" w:bidi="hi-IN"/>
        </w:rPr>
        <w:t>údajích za běžné účetní období. Jedná se o následující případy:</w:t>
      </w:r>
    </w:p>
    <w:p w:rsidR="008B1133" w:rsidRPr="008C65BF" w:rsidRDefault="00E978E0" w:rsidP="00C964C7">
      <w:pPr>
        <w:pStyle w:val="Odstavecseseznamem"/>
        <w:numPr>
          <w:ilvl w:val="0"/>
          <w:numId w:val="5"/>
        </w:numPr>
        <w:suppressAutoHyphens/>
        <w:spacing w:after="120"/>
        <w:ind w:left="284" w:hanging="284"/>
        <w:jc w:val="both"/>
        <w:rPr>
          <w:rFonts w:ascii="Arial" w:hAnsi="Arial" w:cs="Arial"/>
          <w:sz w:val="22"/>
          <w:szCs w:val="22"/>
          <w:shd w:val="clear" w:color="auto" w:fill="FFFF00"/>
          <w:lang w:eastAsia="hi-IN" w:bidi="hi-IN"/>
        </w:rPr>
      </w:pPr>
      <w:r>
        <w:rPr>
          <w:rFonts w:ascii="Arial" w:hAnsi="Arial" w:cs="Arial"/>
          <w:sz w:val="22"/>
          <w:szCs w:val="22"/>
          <w:lang w:eastAsia="hi-IN" w:bidi="hi-IN"/>
        </w:rPr>
        <w:t>V</w:t>
      </w:r>
      <w:r w:rsidR="008B1133" w:rsidRPr="008B1133">
        <w:rPr>
          <w:rFonts w:ascii="Arial" w:hAnsi="Arial" w:cs="Arial"/>
          <w:sz w:val="22"/>
          <w:szCs w:val="22"/>
          <w:lang w:eastAsia="hi-IN" w:bidi="hi-IN"/>
        </w:rPr>
        <w:t xml:space="preserve"> případě částky ve výši 46 381 233 272,48 Kč vykázané na účtu 571 – </w:t>
      </w:r>
      <w:r w:rsidR="008B1133" w:rsidRPr="008B1133">
        <w:rPr>
          <w:rFonts w:ascii="Arial" w:hAnsi="Arial" w:cs="Arial"/>
          <w:i/>
          <w:sz w:val="22"/>
          <w:szCs w:val="22"/>
          <w:lang w:eastAsia="hi-IN" w:bidi="hi-IN"/>
        </w:rPr>
        <w:t>Náklady vybraných ústředních vládních institucí na transfery</w:t>
      </w:r>
      <w:r w:rsidR="008B1133" w:rsidRPr="008B1133">
        <w:rPr>
          <w:rFonts w:ascii="Arial" w:hAnsi="Arial" w:cs="Arial"/>
          <w:sz w:val="22"/>
          <w:szCs w:val="22"/>
          <w:lang w:eastAsia="hi-IN" w:bidi="hi-IN"/>
        </w:rPr>
        <w:t xml:space="preserve"> se </w:t>
      </w:r>
      <w:r w:rsidR="00105B6A">
        <w:rPr>
          <w:rFonts w:ascii="Arial" w:hAnsi="Arial" w:cs="Arial"/>
          <w:sz w:val="22"/>
          <w:szCs w:val="22"/>
          <w:lang w:eastAsia="hi-IN" w:bidi="hi-IN"/>
        </w:rPr>
        <w:t>NKÚ</w:t>
      </w:r>
      <w:r w:rsidR="008B1133" w:rsidRPr="008B1133">
        <w:rPr>
          <w:rFonts w:ascii="Arial" w:hAnsi="Arial" w:cs="Arial"/>
          <w:sz w:val="22"/>
          <w:szCs w:val="22"/>
          <w:lang w:eastAsia="hi-IN" w:bidi="hi-IN"/>
        </w:rPr>
        <w:t xml:space="preserve"> nevyjadřuje k částce ve výši 32 838 205 768,17 Kč</w:t>
      </w:r>
      <w:r>
        <w:rPr>
          <w:rFonts w:ascii="Arial" w:hAnsi="Arial"/>
          <w:sz w:val="22"/>
        </w:rPr>
        <w:t>.</w:t>
      </w:r>
      <w:r w:rsidR="008B1133" w:rsidRPr="008B1133">
        <w:rPr>
          <w:rFonts w:ascii="Arial" w:hAnsi="Arial"/>
          <w:sz w:val="22"/>
        </w:rPr>
        <w:t xml:space="preserve"> </w:t>
      </w:r>
    </w:p>
    <w:p w:rsidR="00F1271D" w:rsidRPr="008C65BF" w:rsidRDefault="00E978E0" w:rsidP="00C964C7">
      <w:pPr>
        <w:pStyle w:val="Odstavecseseznamem"/>
        <w:numPr>
          <w:ilvl w:val="0"/>
          <w:numId w:val="5"/>
        </w:numPr>
        <w:suppressAutoHyphens/>
        <w:spacing w:after="120"/>
        <w:ind w:left="284" w:hanging="284"/>
        <w:jc w:val="both"/>
        <w:rPr>
          <w:rFonts w:ascii="Arial" w:hAnsi="Arial" w:cs="Arial"/>
          <w:sz w:val="22"/>
          <w:szCs w:val="22"/>
          <w:shd w:val="clear" w:color="auto" w:fill="FFFF00"/>
          <w:lang w:eastAsia="hi-IN" w:bidi="hi-IN"/>
        </w:rPr>
      </w:pPr>
      <w:r>
        <w:rPr>
          <w:rFonts w:ascii="Arial" w:hAnsi="Arial" w:cs="Arial"/>
          <w:sz w:val="22"/>
          <w:szCs w:val="22"/>
          <w:lang w:eastAsia="hi-IN" w:bidi="hi-IN"/>
        </w:rPr>
        <w:t>V</w:t>
      </w:r>
      <w:r w:rsidR="008B1133" w:rsidRPr="008C65BF">
        <w:rPr>
          <w:rFonts w:ascii="Arial" w:hAnsi="Arial" w:cs="Arial"/>
          <w:sz w:val="22"/>
          <w:szCs w:val="22"/>
          <w:lang w:eastAsia="hi-IN" w:bidi="hi-IN"/>
        </w:rPr>
        <w:t xml:space="preserve"> případě částky ve výši 32 468 567 746,11 Kč vykázané na účtu 671 – </w:t>
      </w:r>
      <w:r w:rsidR="008B1133" w:rsidRPr="008C65BF">
        <w:rPr>
          <w:rFonts w:ascii="Arial" w:hAnsi="Arial" w:cs="Arial"/>
          <w:i/>
          <w:sz w:val="22"/>
          <w:szCs w:val="22"/>
          <w:lang w:eastAsia="hi-IN" w:bidi="hi-IN"/>
        </w:rPr>
        <w:t>Výnosy vybraných ústředních vládních institucí z transferů</w:t>
      </w:r>
      <w:r w:rsidR="008B1133" w:rsidRPr="008C65BF">
        <w:rPr>
          <w:rFonts w:ascii="Arial" w:hAnsi="Arial" w:cs="Arial"/>
          <w:sz w:val="22"/>
          <w:szCs w:val="22"/>
          <w:lang w:eastAsia="hi-IN" w:bidi="hi-IN"/>
        </w:rPr>
        <w:t xml:space="preserve"> se </w:t>
      </w:r>
      <w:r w:rsidR="00105B6A" w:rsidRPr="008C65BF">
        <w:rPr>
          <w:rFonts w:ascii="Arial" w:hAnsi="Arial" w:cs="Arial"/>
          <w:sz w:val="22"/>
          <w:szCs w:val="22"/>
          <w:lang w:eastAsia="hi-IN" w:bidi="hi-IN"/>
        </w:rPr>
        <w:t>NKÚ</w:t>
      </w:r>
      <w:r w:rsidR="008B1133" w:rsidRPr="008C65BF">
        <w:rPr>
          <w:rFonts w:ascii="Arial" w:hAnsi="Arial" w:cs="Arial"/>
          <w:sz w:val="22"/>
          <w:szCs w:val="22"/>
          <w:lang w:eastAsia="hi-IN" w:bidi="hi-IN"/>
        </w:rPr>
        <w:t xml:space="preserve"> nevyjadřuje k částce ve výši 30 833 610 449,27 Kč</w:t>
      </w:r>
      <w:r w:rsidR="00F1271D">
        <w:rPr>
          <w:rStyle w:val="Znakapoznpodarou"/>
          <w:rFonts w:ascii="Arial" w:hAnsi="Arial" w:cs="Arial"/>
          <w:sz w:val="22"/>
          <w:szCs w:val="22"/>
          <w:lang w:eastAsia="hi-IN" w:bidi="hi-IN"/>
        </w:rPr>
        <w:footnoteReference w:id="4"/>
      </w:r>
      <w:r w:rsidR="00F1271D" w:rsidRPr="008C65BF">
        <w:rPr>
          <w:rFonts w:ascii="Arial" w:hAnsi="Arial" w:cs="Arial"/>
          <w:sz w:val="22"/>
          <w:szCs w:val="22"/>
          <w:lang w:eastAsia="hi-IN" w:bidi="hi-IN"/>
        </w:rPr>
        <w:t>.</w:t>
      </w:r>
    </w:p>
    <w:p w:rsidR="00F1271D" w:rsidRPr="00F1271D" w:rsidRDefault="00F1271D" w:rsidP="00C964C7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eastAsia="hi-IN" w:bidi="hi-IN"/>
        </w:rPr>
      </w:pPr>
    </w:p>
    <w:p w:rsidR="00C2660F" w:rsidRPr="00C964C7" w:rsidRDefault="00C2660F" w:rsidP="00C964C7">
      <w:pPr>
        <w:pStyle w:val="Odstavecseseznamem"/>
        <w:numPr>
          <w:ilvl w:val="0"/>
          <w:numId w:val="18"/>
        </w:numPr>
        <w:ind w:left="284" w:hanging="284"/>
        <w:rPr>
          <w:rFonts w:ascii="Arial" w:eastAsiaTheme="majorEastAsia" w:hAnsi="Arial" w:cs="Arial"/>
          <w:b/>
          <w:i/>
          <w:sz w:val="22"/>
          <w:szCs w:val="22"/>
        </w:rPr>
      </w:pPr>
      <w:r w:rsidRPr="00C964C7">
        <w:rPr>
          <w:rFonts w:ascii="Arial" w:eastAsiaTheme="majorEastAsia" w:hAnsi="Arial" w:cs="Arial"/>
          <w:b/>
          <w:i/>
          <w:sz w:val="22"/>
          <w:szCs w:val="22"/>
        </w:rPr>
        <w:t>Dlouhodobý finanční majetek</w:t>
      </w:r>
    </w:p>
    <w:p w:rsidR="00C2660F" w:rsidRDefault="00C2660F" w:rsidP="00C2660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C2660F" w:rsidRDefault="00C2660F" w:rsidP="00C2660F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313FE2">
        <w:rPr>
          <w:rFonts w:ascii="Arial" w:hAnsi="Arial" w:cs="Arial"/>
          <w:sz w:val="22"/>
          <w:szCs w:val="22"/>
        </w:rPr>
        <w:t>P</w:t>
      </w:r>
      <w:r w:rsidR="002A778E">
        <w:rPr>
          <w:rFonts w:ascii="Arial" w:hAnsi="Arial" w:cs="Arial"/>
          <w:sz w:val="22"/>
          <w:szCs w:val="22"/>
        </w:rPr>
        <w:t>rávní p</w:t>
      </w:r>
      <w:r w:rsidRPr="00313FE2">
        <w:rPr>
          <w:rFonts w:ascii="Arial" w:hAnsi="Arial" w:cs="Arial"/>
          <w:sz w:val="22"/>
          <w:szCs w:val="22"/>
        </w:rPr>
        <w:t>ředpisy regulující účetnictví a výkaznictví OSS v oblasti majetkových účastí státu</w:t>
      </w:r>
      <w:r w:rsidR="006A51C7">
        <w:rPr>
          <w:rFonts w:ascii="Arial" w:hAnsi="Arial" w:cs="Arial"/>
          <w:sz w:val="22"/>
          <w:szCs w:val="22"/>
        </w:rPr>
        <w:t xml:space="preserve"> v obchodních společnostech nebyly ani </w:t>
      </w:r>
      <w:r w:rsidRPr="00313FE2">
        <w:rPr>
          <w:rFonts w:ascii="Arial" w:hAnsi="Arial" w:cs="Arial"/>
          <w:sz w:val="22"/>
          <w:szCs w:val="22"/>
        </w:rPr>
        <w:t>pro rok 2013 dostatečné a jednoznačn</w:t>
      </w:r>
      <w:r w:rsidR="006A51C7">
        <w:rPr>
          <w:rFonts w:ascii="Arial" w:hAnsi="Arial" w:cs="Arial"/>
          <w:sz w:val="22"/>
          <w:szCs w:val="22"/>
        </w:rPr>
        <w:t>ě aplikovatelné.</w:t>
      </w:r>
      <w:r w:rsidR="008C65BF">
        <w:rPr>
          <w:rFonts w:ascii="Arial" w:hAnsi="Arial" w:cs="Arial"/>
          <w:sz w:val="22"/>
          <w:szCs w:val="22"/>
        </w:rPr>
        <w:t xml:space="preserve"> </w:t>
      </w:r>
      <w:r w:rsidR="00E03ADC">
        <w:rPr>
          <w:rFonts w:ascii="Arial" w:hAnsi="Arial" w:cs="Arial"/>
          <w:bCs/>
          <w:sz w:val="22"/>
          <w:szCs w:val="22"/>
          <w:lang w:eastAsia="cs-CZ"/>
        </w:rPr>
        <w:t>OSS má ve svém finančním majetku vykazovat majetkovou účast státu v obchodní společnosti podle vlivu</w:t>
      </w:r>
      <w:r w:rsidR="009842A2">
        <w:rPr>
          <w:rFonts w:ascii="Arial" w:hAnsi="Arial" w:cs="Arial"/>
          <w:bCs/>
          <w:sz w:val="22"/>
          <w:szCs w:val="22"/>
          <w:lang w:eastAsia="cs-CZ"/>
        </w:rPr>
        <w:t xml:space="preserve">, který </w:t>
      </w:r>
      <w:r w:rsidR="00E978E0">
        <w:rPr>
          <w:rFonts w:ascii="Arial" w:hAnsi="Arial" w:cs="Arial"/>
          <w:bCs/>
          <w:sz w:val="22"/>
          <w:szCs w:val="22"/>
          <w:lang w:eastAsia="cs-CZ"/>
        </w:rPr>
        <w:t>má</w:t>
      </w:r>
      <w:r w:rsidR="009842A2">
        <w:rPr>
          <w:rFonts w:ascii="Arial" w:hAnsi="Arial" w:cs="Arial"/>
          <w:bCs/>
          <w:sz w:val="22"/>
          <w:szCs w:val="22"/>
          <w:lang w:eastAsia="cs-CZ"/>
        </w:rPr>
        <w:t xml:space="preserve"> v dané obchodní společnosti</w:t>
      </w:r>
      <w:r w:rsidR="00E03ADC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</w:p>
    <w:p w:rsidR="008C65BF" w:rsidRDefault="008C65BF" w:rsidP="00C2660F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:rsidR="006A51C7" w:rsidRDefault="00E03ADC" w:rsidP="00C2660F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Pokud by měl být vykázán vliv OSS, je nutné vzít v úvahu, že</w:t>
      </w:r>
      <w:r w:rsidR="008C65B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986C67">
        <w:rPr>
          <w:rFonts w:ascii="Arial" w:hAnsi="Arial" w:cs="Arial"/>
          <w:bCs/>
          <w:sz w:val="22"/>
          <w:szCs w:val="22"/>
          <w:lang w:eastAsia="cs-CZ"/>
        </w:rPr>
        <w:t xml:space="preserve">je </w:t>
      </w:r>
      <w:r w:rsidR="00C2660F" w:rsidRPr="005C6553">
        <w:rPr>
          <w:rFonts w:ascii="Arial" w:hAnsi="Arial" w:cs="Arial"/>
          <w:bCs/>
          <w:sz w:val="22"/>
          <w:szCs w:val="22"/>
          <w:lang w:eastAsia="cs-CZ"/>
        </w:rPr>
        <w:t>vždy omezen v rozsahu ustanovení zákona č. 219/2000 Sb.</w:t>
      </w:r>
      <w:r w:rsidR="002A778E">
        <w:rPr>
          <w:rFonts w:ascii="Arial" w:hAnsi="Arial" w:cs="Arial"/>
          <w:bCs/>
          <w:sz w:val="22"/>
          <w:szCs w:val="22"/>
          <w:lang w:eastAsia="cs-CZ"/>
        </w:rPr>
        <w:t>, o majetku České republiky a jejím vystupování v právních vztazích.</w:t>
      </w:r>
      <w:r w:rsidR="00C2660F" w:rsidRPr="005C6553">
        <w:rPr>
          <w:rFonts w:ascii="Arial" w:hAnsi="Arial" w:cs="Arial"/>
          <w:bCs/>
          <w:sz w:val="22"/>
          <w:szCs w:val="22"/>
          <w:lang w:eastAsia="cs-CZ"/>
        </w:rPr>
        <w:t xml:space="preserve"> Práva akcionáře vykonává jménem státu, </w:t>
      </w:r>
      <w:r w:rsidR="00F73558">
        <w:rPr>
          <w:rFonts w:ascii="Arial" w:hAnsi="Arial" w:cs="Arial"/>
          <w:bCs/>
          <w:sz w:val="22"/>
          <w:szCs w:val="22"/>
          <w:lang w:eastAsia="cs-CZ"/>
        </w:rPr>
        <w:t>nikoliv</w:t>
      </w:r>
      <w:r w:rsidR="00C2660F" w:rsidRPr="005C6553">
        <w:rPr>
          <w:rFonts w:ascii="Arial" w:hAnsi="Arial" w:cs="Arial"/>
          <w:bCs/>
          <w:sz w:val="22"/>
          <w:szCs w:val="22"/>
          <w:lang w:eastAsia="cs-CZ"/>
        </w:rPr>
        <w:t xml:space="preserve"> jménem OSS, vládou písemně pověřený zaměstnanec ministerstva. V rozsahu nakládání s právy akcionáře má povinnost postupovat podle právních předpisů a podle písemných pokynů ministra. Některá práva však zákon č. 219/2000 Sb. nedelegoval ani na OSS ani na vládou pověřeného zaměstnance, ale pověřil j</w:t>
      </w:r>
      <w:r w:rsidR="00C2660F">
        <w:rPr>
          <w:rFonts w:ascii="Arial" w:hAnsi="Arial" w:cs="Arial"/>
          <w:bCs/>
          <w:sz w:val="22"/>
          <w:szCs w:val="22"/>
          <w:lang w:eastAsia="cs-CZ"/>
        </w:rPr>
        <w:t>i</w:t>
      </w:r>
      <w:r w:rsidR="00C2660F" w:rsidRPr="005C6553">
        <w:rPr>
          <w:rFonts w:ascii="Arial" w:hAnsi="Arial" w:cs="Arial"/>
          <w:bCs/>
          <w:sz w:val="22"/>
          <w:szCs w:val="22"/>
          <w:lang w:eastAsia="cs-CZ"/>
        </w:rPr>
        <w:t>m</w:t>
      </w:r>
      <w:r w:rsidR="00C2660F">
        <w:rPr>
          <w:rFonts w:ascii="Arial" w:hAnsi="Arial" w:cs="Arial"/>
          <w:bCs/>
          <w:sz w:val="22"/>
          <w:szCs w:val="22"/>
          <w:lang w:eastAsia="cs-CZ"/>
        </w:rPr>
        <w:t>i</w:t>
      </w:r>
      <w:r w:rsidR="00C2660F" w:rsidRPr="005C6553">
        <w:rPr>
          <w:rFonts w:ascii="Arial" w:hAnsi="Arial" w:cs="Arial"/>
          <w:bCs/>
          <w:sz w:val="22"/>
          <w:szCs w:val="22"/>
          <w:lang w:eastAsia="cs-CZ"/>
        </w:rPr>
        <w:t xml:space="preserve"> vládu. O některých úkonech tak rozhoduje vládou pověřený zaměstnanec pouze s předchozím souhlasem vlády. Žádné ministerstvo tedy nemůže svůj vliv uplatňovat ve smyslu § 66a zákona č. 513/1991 Sb., obchodní zákoník, tzn. vykonávat hlasovací práva na základě vlastního uvážení bez ohledu na právní důvody a bez ovlivňování.</w:t>
      </w:r>
      <w:r w:rsidRPr="00E03ADC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5C6553">
        <w:rPr>
          <w:rFonts w:ascii="Arial" w:hAnsi="Arial" w:cs="Arial"/>
          <w:bCs/>
          <w:sz w:val="22"/>
          <w:szCs w:val="22"/>
          <w:lang w:eastAsia="cs-CZ"/>
        </w:rPr>
        <w:t>Ve vztahu k</w:t>
      </w:r>
      <w:r>
        <w:rPr>
          <w:rFonts w:ascii="Arial" w:hAnsi="Arial" w:cs="Arial"/>
          <w:bCs/>
          <w:sz w:val="22"/>
          <w:szCs w:val="22"/>
          <w:lang w:eastAsia="cs-CZ"/>
        </w:rPr>
        <w:t> </w:t>
      </w:r>
      <w:r w:rsidRPr="005C6553">
        <w:rPr>
          <w:rFonts w:ascii="Arial" w:hAnsi="Arial" w:cs="Arial"/>
          <w:bCs/>
          <w:sz w:val="22"/>
          <w:szCs w:val="22"/>
          <w:lang w:eastAsia="cs-CZ"/>
        </w:rPr>
        <w:t>OSS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tak</w:t>
      </w:r>
      <w:r w:rsidRPr="005C6553">
        <w:rPr>
          <w:rFonts w:ascii="Arial" w:hAnsi="Arial" w:cs="Arial"/>
          <w:bCs/>
          <w:sz w:val="22"/>
          <w:szCs w:val="22"/>
          <w:lang w:eastAsia="cs-CZ"/>
        </w:rPr>
        <w:t xml:space="preserve"> nelze hovořit o ovládající osobě</w:t>
      </w:r>
      <w:r>
        <w:rPr>
          <w:rFonts w:ascii="Arial" w:hAnsi="Arial" w:cs="Arial"/>
          <w:bCs/>
          <w:sz w:val="22"/>
          <w:szCs w:val="22"/>
          <w:lang w:eastAsia="cs-CZ"/>
        </w:rPr>
        <w:t>. O</w:t>
      </w:r>
      <w:r w:rsidRPr="005C6553">
        <w:rPr>
          <w:rFonts w:ascii="Arial" w:hAnsi="Arial" w:cs="Arial"/>
          <w:bCs/>
          <w:sz w:val="22"/>
          <w:szCs w:val="22"/>
          <w:lang w:eastAsia="cs-CZ"/>
        </w:rPr>
        <w:t>dkaz na §</w:t>
      </w:r>
      <w:r>
        <w:rPr>
          <w:rFonts w:ascii="Arial" w:hAnsi="Arial" w:cs="Arial"/>
          <w:bCs/>
          <w:sz w:val="22"/>
          <w:szCs w:val="22"/>
          <w:lang w:eastAsia="cs-CZ"/>
        </w:rPr>
        <w:t> </w:t>
      </w:r>
      <w:r w:rsidRPr="005C6553">
        <w:rPr>
          <w:rFonts w:ascii="Arial" w:hAnsi="Arial" w:cs="Arial"/>
          <w:bCs/>
          <w:sz w:val="22"/>
          <w:szCs w:val="22"/>
          <w:lang w:eastAsia="cs-CZ"/>
        </w:rPr>
        <w:t xml:space="preserve">66a obchodního zákoníku v § 17 vyhlášky č. 410/2009 Sb., pokud jde o vymezení rozhodujícího vlivu, je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proto </w:t>
      </w:r>
      <w:r w:rsidRPr="005C6553">
        <w:rPr>
          <w:rFonts w:ascii="Arial" w:hAnsi="Arial" w:cs="Arial"/>
          <w:bCs/>
          <w:sz w:val="22"/>
          <w:szCs w:val="22"/>
          <w:lang w:eastAsia="cs-CZ"/>
        </w:rPr>
        <w:t>nejen zavádějící, ale i nesprávný.</w:t>
      </w:r>
      <w:r w:rsidR="008C65B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C2660F" w:rsidRPr="005C6553">
        <w:rPr>
          <w:rFonts w:ascii="Arial" w:hAnsi="Arial" w:cs="Arial"/>
          <w:bCs/>
          <w:sz w:val="22"/>
          <w:szCs w:val="22"/>
          <w:lang w:eastAsia="cs-CZ"/>
        </w:rPr>
        <w:t xml:space="preserve">Z uvedeného je zřejmé, že OSS je v disponování s těmito </w:t>
      </w:r>
      <w:r w:rsidR="00EF6B4C">
        <w:rPr>
          <w:rFonts w:ascii="Arial" w:hAnsi="Arial" w:cs="Arial"/>
          <w:bCs/>
          <w:sz w:val="22"/>
          <w:szCs w:val="22"/>
          <w:lang w:eastAsia="cs-CZ"/>
        </w:rPr>
        <w:t>majetkovými účastmi státu v obchodních společnostech</w:t>
      </w:r>
      <w:r w:rsidR="00C2660F" w:rsidRPr="005C6553">
        <w:rPr>
          <w:rFonts w:ascii="Arial" w:hAnsi="Arial" w:cs="Arial"/>
          <w:bCs/>
          <w:sz w:val="22"/>
          <w:szCs w:val="22"/>
          <w:lang w:eastAsia="cs-CZ"/>
        </w:rPr>
        <w:t xml:space="preserve"> omezena</w:t>
      </w:r>
      <w:r w:rsidR="00C2660F">
        <w:rPr>
          <w:rFonts w:ascii="Arial" w:hAnsi="Arial" w:cs="Arial"/>
          <w:bCs/>
          <w:sz w:val="22"/>
          <w:szCs w:val="22"/>
          <w:lang w:eastAsia="cs-CZ"/>
        </w:rPr>
        <w:t>,</w:t>
      </w:r>
      <w:r w:rsidR="00C2660F" w:rsidRPr="005C6553">
        <w:rPr>
          <w:rFonts w:ascii="Arial" w:hAnsi="Arial" w:cs="Arial"/>
          <w:bCs/>
          <w:sz w:val="22"/>
          <w:szCs w:val="22"/>
          <w:lang w:eastAsia="cs-CZ"/>
        </w:rPr>
        <w:t xml:space="preserve"> a</w:t>
      </w:r>
      <w:r w:rsidR="00CD7E0C">
        <w:rPr>
          <w:rFonts w:ascii="Arial" w:hAnsi="Arial" w:cs="Arial"/>
          <w:bCs/>
          <w:sz w:val="22"/>
          <w:szCs w:val="22"/>
          <w:lang w:eastAsia="cs-CZ"/>
        </w:rPr>
        <w:t> </w:t>
      </w:r>
      <w:r w:rsidR="00C2660F" w:rsidRPr="005C6553">
        <w:rPr>
          <w:rFonts w:ascii="Arial" w:hAnsi="Arial" w:cs="Arial"/>
          <w:bCs/>
          <w:sz w:val="22"/>
          <w:szCs w:val="22"/>
          <w:lang w:eastAsia="cs-CZ"/>
        </w:rPr>
        <w:t>dle názoru NKÚ toto omezení nelze dostatečně přesně kvantifikovat.</w:t>
      </w:r>
      <w:r w:rsidR="00C2660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</w:p>
    <w:p w:rsidR="006A51C7" w:rsidRDefault="006A51C7" w:rsidP="00C2660F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:rsidR="006A51C7" w:rsidRDefault="00E03ADC" w:rsidP="00C266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by měl být vykázán vliv státu, je to</w:t>
      </w:r>
      <w:r w:rsidR="006A51C7">
        <w:rPr>
          <w:rFonts w:ascii="Arial" w:hAnsi="Arial" w:cs="Arial"/>
          <w:bCs/>
          <w:sz w:val="22"/>
          <w:szCs w:val="22"/>
        </w:rPr>
        <w:t xml:space="preserve"> možné až v součtu za všechny účetní jednotky, jejichž prostřednictvím stát tento vliv vykonává. </w:t>
      </w:r>
      <w:r w:rsidRPr="00E03ADC">
        <w:rPr>
          <w:rFonts w:ascii="Arial" w:hAnsi="Arial" w:cs="Arial"/>
          <w:sz w:val="22"/>
          <w:szCs w:val="22"/>
        </w:rPr>
        <w:t>Roční účetní výkazy za Českou republiku</w:t>
      </w:r>
      <w:r>
        <w:rPr>
          <w:rFonts w:ascii="Arial" w:hAnsi="Arial" w:cs="Arial"/>
          <w:sz w:val="22"/>
          <w:szCs w:val="22"/>
        </w:rPr>
        <w:t xml:space="preserve"> </w:t>
      </w:r>
      <w:r w:rsidRPr="00E03ADC">
        <w:rPr>
          <w:rFonts w:ascii="Arial" w:hAnsi="Arial" w:cs="Arial"/>
          <w:sz w:val="22"/>
          <w:szCs w:val="22"/>
        </w:rPr>
        <w:t xml:space="preserve">zatím sestavovány nejsou, </w:t>
      </w:r>
      <w:r>
        <w:rPr>
          <w:rFonts w:ascii="Arial" w:hAnsi="Arial" w:cs="Arial"/>
          <w:sz w:val="22"/>
          <w:szCs w:val="22"/>
        </w:rPr>
        <w:t>i když</w:t>
      </w:r>
      <w:r w:rsidRPr="00E03ADC">
        <w:rPr>
          <w:rFonts w:ascii="Arial" w:hAnsi="Arial" w:cs="Arial"/>
          <w:sz w:val="22"/>
          <w:szCs w:val="22"/>
        </w:rPr>
        <w:t xml:space="preserve"> je tato povinnost v zákoně </w:t>
      </w:r>
      <w:r w:rsidR="009842A2">
        <w:rPr>
          <w:rFonts w:ascii="Arial" w:hAnsi="Arial" w:cs="Arial"/>
          <w:sz w:val="22"/>
          <w:szCs w:val="22"/>
        </w:rPr>
        <w:t>o účetnictví</w:t>
      </w:r>
      <w:r w:rsidRPr="00E03ADC">
        <w:rPr>
          <w:rFonts w:ascii="Arial" w:hAnsi="Arial" w:cs="Arial"/>
          <w:sz w:val="22"/>
          <w:szCs w:val="22"/>
        </w:rPr>
        <w:t xml:space="preserve"> stanovena</w:t>
      </w:r>
      <w:r w:rsidR="009842A2">
        <w:rPr>
          <w:rFonts w:ascii="Arial" w:hAnsi="Arial" w:cs="Arial"/>
          <w:sz w:val="22"/>
          <w:szCs w:val="22"/>
        </w:rPr>
        <w:t xml:space="preserve"> </w:t>
      </w:r>
      <w:r w:rsidRPr="00E03AD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Pr="00E03ADC">
        <w:rPr>
          <w:rFonts w:ascii="Arial" w:hAnsi="Arial" w:cs="Arial"/>
          <w:sz w:val="22"/>
          <w:szCs w:val="22"/>
        </w:rPr>
        <w:t>účinností</w:t>
      </w:r>
      <w:r>
        <w:rPr>
          <w:rFonts w:ascii="Arial" w:hAnsi="Arial" w:cs="Arial"/>
          <w:sz w:val="22"/>
          <w:szCs w:val="22"/>
        </w:rPr>
        <w:t xml:space="preserve"> </w:t>
      </w:r>
      <w:r w:rsidRPr="00E03ADC">
        <w:rPr>
          <w:rFonts w:ascii="Arial" w:hAnsi="Arial" w:cs="Arial"/>
          <w:sz w:val="22"/>
          <w:szCs w:val="22"/>
        </w:rPr>
        <w:t>od 1. ledna</w:t>
      </w:r>
      <w:r w:rsidR="003C3DCC">
        <w:rPr>
          <w:rFonts w:ascii="Arial" w:hAnsi="Arial" w:cs="Arial"/>
          <w:sz w:val="22"/>
          <w:szCs w:val="22"/>
        </w:rPr>
        <w:t xml:space="preserve"> 2010.</w:t>
      </w:r>
    </w:p>
    <w:p w:rsidR="008C65BF" w:rsidRDefault="008C65BF" w:rsidP="00C2660F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:rsidR="00C2660F" w:rsidRDefault="006A51C7" w:rsidP="00C2660F">
      <w:pPr>
        <w:jc w:val="both"/>
        <w:rPr>
          <w:rFonts w:ascii="Arial" w:hAnsi="Arial" w:cs="Arial"/>
          <w:sz w:val="22"/>
          <w:szCs w:val="22"/>
          <w:lang w:eastAsia="hi-IN" w:bidi="hi-IN"/>
        </w:rPr>
      </w:pPr>
      <w:r>
        <w:rPr>
          <w:rFonts w:ascii="Arial" w:hAnsi="Arial" w:cs="Arial"/>
          <w:bCs/>
          <w:sz w:val="22"/>
          <w:szCs w:val="22"/>
          <w:lang w:eastAsia="cs-CZ"/>
        </w:rPr>
        <w:t>NKÚ</w:t>
      </w:r>
      <w:r w:rsidR="003C3DCC">
        <w:rPr>
          <w:rFonts w:ascii="Arial" w:hAnsi="Arial" w:cs="Arial"/>
          <w:bCs/>
          <w:sz w:val="22"/>
          <w:szCs w:val="22"/>
          <w:lang w:eastAsia="cs-CZ"/>
        </w:rPr>
        <w:t xml:space="preserve"> se proto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nevyjadřuje k vykázaným zůstatkům </w:t>
      </w:r>
      <w:r w:rsidR="00B979A8">
        <w:rPr>
          <w:rFonts w:ascii="Arial" w:hAnsi="Arial" w:cs="Arial"/>
          <w:bCs/>
          <w:sz w:val="22"/>
          <w:szCs w:val="22"/>
          <w:lang w:eastAsia="cs-CZ"/>
        </w:rPr>
        <w:t xml:space="preserve">ve výkazu rozvaha </w:t>
      </w:r>
      <w:r w:rsidR="00C2660F">
        <w:rPr>
          <w:rFonts w:ascii="Arial" w:hAnsi="Arial" w:cs="Arial"/>
          <w:bCs/>
          <w:sz w:val="22"/>
          <w:szCs w:val="22"/>
          <w:lang w:eastAsia="cs-CZ"/>
        </w:rPr>
        <w:t>na účtu</w:t>
      </w:r>
      <w:r w:rsidR="00C2660F" w:rsidRPr="005C6553">
        <w:rPr>
          <w:rFonts w:ascii="Arial" w:hAnsi="Arial" w:cs="Arial"/>
          <w:sz w:val="22"/>
          <w:szCs w:val="22"/>
          <w:lang w:eastAsia="hi-IN" w:bidi="hi-IN"/>
        </w:rPr>
        <w:t xml:space="preserve"> 061</w:t>
      </w:r>
      <w:r w:rsidR="00C2660F">
        <w:rPr>
          <w:rFonts w:ascii="Arial" w:hAnsi="Arial" w:cs="Arial"/>
          <w:sz w:val="22"/>
          <w:szCs w:val="22"/>
          <w:lang w:eastAsia="hi-IN" w:bidi="hi-IN"/>
        </w:rPr>
        <w:t> </w:t>
      </w:r>
      <w:r w:rsidR="00C2660F" w:rsidRPr="005C6553">
        <w:rPr>
          <w:rFonts w:ascii="Arial" w:hAnsi="Arial" w:cs="Arial"/>
          <w:sz w:val="22"/>
          <w:szCs w:val="22"/>
          <w:lang w:eastAsia="hi-IN" w:bidi="hi-IN"/>
        </w:rPr>
        <w:t xml:space="preserve">– </w:t>
      </w:r>
      <w:r w:rsidR="00C2660F" w:rsidRPr="005C6553">
        <w:rPr>
          <w:rFonts w:ascii="Arial" w:hAnsi="Arial" w:cs="Arial"/>
          <w:i/>
          <w:sz w:val="22"/>
          <w:szCs w:val="22"/>
          <w:lang w:eastAsia="hi-IN" w:bidi="hi-IN"/>
        </w:rPr>
        <w:t>Majetkové účasti v osobách s rozhodujícím vlivem</w:t>
      </w:r>
      <w:r w:rsidR="00C2660F">
        <w:rPr>
          <w:rFonts w:ascii="Arial" w:hAnsi="Arial" w:cs="Arial"/>
          <w:sz w:val="22"/>
          <w:szCs w:val="22"/>
          <w:lang w:eastAsia="hi-IN" w:bidi="hi-IN"/>
        </w:rPr>
        <w:t xml:space="preserve"> ve výši 239 661 000</w:t>
      </w:r>
      <w:r w:rsidR="00C2660F" w:rsidRPr="005C6553">
        <w:rPr>
          <w:rFonts w:ascii="Arial" w:hAnsi="Arial" w:cs="Arial"/>
          <w:sz w:val="22"/>
          <w:szCs w:val="22"/>
          <w:lang w:eastAsia="hi-IN" w:bidi="hi-IN"/>
        </w:rPr>
        <w:t> Kč a na účtu 069</w:t>
      </w:r>
      <w:r w:rsidR="00C2660F">
        <w:rPr>
          <w:rFonts w:ascii="Arial" w:hAnsi="Arial" w:cs="Arial"/>
          <w:sz w:val="22"/>
          <w:szCs w:val="22"/>
          <w:lang w:eastAsia="hi-IN" w:bidi="hi-IN"/>
        </w:rPr>
        <w:t> </w:t>
      </w:r>
      <w:r w:rsidR="00C2660F" w:rsidRPr="005C6553">
        <w:rPr>
          <w:rFonts w:ascii="Arial" w:hAnsi="Arial" w:cs="Arial"/>
          <w:sz w:val="22"/>
          <w:szCs w:val="22"/>
          <w:lang w:eastAsia="hi-IN" w:bidi="hi-IN"/>
        </w:rPr>
        <w:t xml:space="preserve">– </w:t>
      </w:r>
      <w:r w:rsidR="00C2660F" w:rsidRPr="005C6553">
        <w:rPr>
          <w:rFonts w:ascii="Arial" w:hAnsi="Arial" w:cs="Arial"/>
          <w:i/>
          <w:sz w:val="22"/>
          <w:szCs w:val="22"/>
          <w:lang w:eastAsia="hi-IN" w:bidi="hi-IN"/>
        </w:rPr>
        <w:t>Ostatní dlouhodobý finanční majetek</w:t>
      </w:r>
      <w:r w:rsidR="00C2660F" w:rsidRPr="005C6553">
        <w:rPr>
          <w:rFonts w:ascii="Arial" w:hAnsi="Arial" w:cs="Arial"/>
          <w:sz w:val="22"/>
          <w:szCs w:val="22"/>
          <w:lang w:eastAsia="hi-IN" w:bidi="hi-IN"/>
        </w:rPr>
        <w:t xml:space="preserve"> ve výši 348 016 930,72 Kč.</w:t>
      </w:r>
    </w:p>
    <w:p w:rsidR="00C2660F" w:rsidRDefault="00C2660F" w:rsidP="00C2660F">
      <w:pPr>
        <w:jc w:val="both"/>
        <w:rPr>
          <w:rFonts w:ascii="Arial" w:hAnsi="Arial" w:cs="Arial"/>
          <w:sz w:val="22"/>
          <w:szCs w:val="22"/>
          <w:lang w:eastAsia="hi-IN" w:bidi="hi-IN"/>
        </w:rPr>
      </w:pPr>
    </w:p>
    <w:p w:rsidR="00C2660F" w:rsidRPr="00C964C7" w:rsidRDefault="00C2660F" w:rsidP="00C964C7">
      <w:pPr>
        <w:pStyle w:val="Odstavecseseznamem"/>
        <w:numPr>
          <w:ilvl w:val="0"/>
          <w:numId w:val="19"/>
        </w:numPr>
        <w:ind w:left="284" w:hanging="284"/>
        <w:rPr>
          <w:rFonts w:ascii="Arial" w:hAnsi="Arial" w:cs="Arial"/>
          <w:b/>
          <w:i/>
          <w:sz w:val="22"/>
          <w:szCs w:val="22"/>
          <w:lang w:eastAsia="cs-CZ"/>
        </w:rPr>
      </w:pPr>
      <w:r w:rsidRPr="00C964C7">
        <w:rPr>
          <w:rFonts w:ascii="Arial" w:hAnsi="Arial" w:cs="Arial"/>
          <w:b/>
          <w:i/>
          <w:sz w:val="22"/>
          <w:szCs w:val="22"/>
          <w:lang w:eastAsia="cs-CZ"/>
        </w:rPr>
        <w:t>Přehled o změnách vlastního kapitálu</w:t>
      </w:r>
    </w:p>
    <w:p w:rsidR="00C2660F" w:rsidRPr="00C964C7" w:rsidRDefault="00C2660F" w:rsidP="00C2660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C2660F" w:rsidRPr="00767246" w:rsidRDefault="00635D67" w:rsidP="00C2660F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Vyhláška č. 410/2009 Sb.</w:t>
      </w:r>
      <w:r w:rsidR="009D0A7A">
        <w:rPr>
          <w:rFonts w:ascii="Arial" w:hAnsi="Arial" w:cs="Arial"/>
          <w:bCs/>
          <w:sz w:val="22"/>
        </w:rPr>
        <w:t xml:space="preserve"> </w:t>
      </w:r>
      <w:r w:rsidR="00674910">
        <w:rPr>
          <w:rFonts w:ascii="Arial" w:hAnsi="Arial" w:cs="Arial"/>
          <w:bCs/>
          <w:sz w:val="22"/>
        </w:rPr>
        <w:t>v tomto</w:t>
      </w:r>
      <w:r w:rsidR="00FB57B8">
        <w:rPr>
          <w:rFonts w:ascii="Arial" w:hAnsi="Arial" w:cs="Arial"/>
          <w:bCs/>
          <w:sz w:val="22"/>
        </w:rPr>
        <w:t xml:space="preserve"> výkaz</w:t>
      </w:r>
      <w:r w:rsidR="00674910">
        <w:rPr>
          <w:rFonts w:ascii="Arial" w:hAnsi="Arial" w:cs="Arial"/>
          <w:bCs/>
          <w:sz w:val="22"/>
        </w:rPr>
        <w:t>u pro</w:t>
      </w:r>
      <w:r w:rsidR="00FB57B8">
        <w:rPr>
          <w:rFonts w:ascii="Arial" w:hAnsi="Arial" w:cs="Arial"/>
          <w:bCs/>
          <w:sz w:val="22"/>
        </w:rPr>
        <w:t xml:space="preserve"> sloupce</w:t>
      </w:r>
      <w:r w:rsidR="00767246">
        <w:rPr>
          <w:rFonts w:ascii="Arial" w:hAnsi="Arial" w:cs="Arial"/>
          <w:bCs/>
          <w:sz w:val="22"/>
        </w:rPr>
        <w:t xml:space="preserve"> „</w:t>
      </w:r>
      <w:r w:rsidR="00767246" w:rsidRPr="00FB57B8">
        <w:rPr>
          <w:rFonts w:ascii="Arial" w:hAnsi="Arial" w:cs="Arial"/>
          <w:bCs/>
          <w:i/>
          <w:sz w:val="22"/>
        </w:rPr>
        <w:t>zvýšení stavu</w:t>
      </w:r>
      <w:r w:rsidR="00767246">
        <w:rPr>
          <w:rFonts w:ascii="Arial" w:hAnsi="Arial" w:cs="Arial"/>
          <w:bCs/>
          <w:sz w:val="22"/>
        </w:rPr>
        <w:t>“ a „</w:t>
      </w:r>
      <w:r w:rsidR="00767246" w:rsidRPr="00FB57B8">
        <w:rPr>
          <w:rFonts w:ascii="Arial" w:hAnsi="Arial" w:cs="Arial"/>
          <w:bCs/>
          <w:i/>
          <w:sz w:val="22"/>
        </w:rPr>
        <w:t>snížení stavu</w:t>
      </w:r>
      <w:r w:rsidR="00767246">
        <w:rPr>
          <w:rFonts w:ascii="Arial" w:hAnsi="Arial" w:cs="Arial"/>
          <w:bCs/>
          <w:sz w:val="22"/>
        </w:rPr>
        <w:t>“</w:t>
      </w:r>
      <w:r w:rsidR="00FB57B8">
        <w:rPr>
          <w:rFonts w:ascii="Arial" w:hAnsi="Arial" w:cs="Arial"/>
          <w:bCs/>
          <w:sz w:val="22"/>
        </w:rPr>
        <w:t xml:space="preserve"> </w:t>
      </w:r>
      <w:r w:rsidR="00674910">
        <w:rPr>
          <w:rFonts w:ascii="Arial" w:hAnsi="Arial" w:cs="Arial"/>
          <w:bCs/>
          <w:sz w:val="22"/>
        </w:rPr>
        <w:t>u</w:t>
      </w:r>
      <w:r w:rsidR="00986C67">
        <w:rPr>
          <w:rFonts w:ascii="Arial" w:hAnsi="Arial" w:cs="Arial"/>
          <w:bCs/>
          <w:sz w:val="22"/>
        </w:rPr>
        <w:t> </w:t>
      </w:r>
      <w:r w:rsidR="00767246">
        <w:rPr>
          <w:rFonts w:ascii="Arial" w:hAnsi="Arial" w:cs="Arial"/>
          <w:bCs/>
          <w:sz w:val="22"/>
        </w:rPr>
        <w:t>jednotliv</w:t>
      </w:r>
      <w:r w:rsidR="00674910">
        <w:rPr>
          <w:rFonts w:ascii="Arial" w:hAnsi="Arial" w:cs="Arial"/>
          <w:bCs/>
          <w:sz w:val="22"/>
        </w:rPr>
        <w:t>ých</w:t>
      </w:r>
      <w:r w:rsidR="00767246">
        <w:rPr>
          <w:rFonts w:ascii="Arial" w:hAnsi="Arial" w:cs="Arial"/>
          <w:bCs/>
          <w:sz w:val="22"/>
        </w:rPr>
        <w:t xml:space="preserve"> polož</w:t>
      </w:r>
      <w:r w:rsidR="00674910">
        <w:rPr>
          <w:rFonts w:ascii="Arial" w:hAnsi="Arial" w:cs="Arial"/>
          <w:bCs/>
          <w:sz w:val="22"/>
        </w:rPr>
        <w:t>e</w:t>
      </w:r>
      <w:r w:rsidR="00767246">
        <w:rPr>
          <w:rFonts w:ascii="Arial" w:hAnsi="Arial" w:cs="Arial"/>
          <w:bCs/>
          <w:sz w:val="22"/>
        </w:rPr>
        <w:t>k</w:t>
      </w:r>
      <w:r w:rsidR="00FB57B8">
        <w:rPr>
          <w:rFonts w:ascii="Arial" w:hAnsi="Arial" w:cs="Arial"/>
          <w:bCs/>
          <w:sz w:val="22"/>
        </w:rPr>
        <w:t xml:space="preserve"> stanovuje, že </w:t>
      </w:r>
      <w:r w:rsidR="00674910">
        <w:rPr>
          <w:rFonts w:ascii="Arial" w:hAnsi="Arial" w:cs="Arial"/>
          <w:bCs/>
          <w:sz w:val="22"/>
        </w:rPr>
        <w:t>zobrazují jejich</w:t>
      </w:r>
      <w:r w:rsidR="00EF6B4C">
        <w:rPr>
          <w:rFonts w:ascii="Arial" w:hAnsi="Arial" w:cs="Arial"/>
          <w:bCs/>
          <w:sz w:val="22"/>
        </w:rPr>
        <w:t xml:space="preserve"> výši</w:t>
      </w:r>
      <w:r w:rsidR="009D0A7A">
        <w:rPr>
          <w:rFonts w:ascii="Arial" w:hAnsi="Arial" w:cs="Arial"/>
          <w:bCs/>
          <w:sz w:val="22"/>
        </w:rPr>
        <w:t xml:space="preserve"> zvýšení </w:t>
      </w:r>
      <w:r w:rsidR="00EF6B4C">
        <w:rPr>
          <w:rFonts w:ascii="Arial" w:hAnsi="Arial" w:cs="Arial"/>
          <w:bCs/>
          <w:sz w:val="22"/>
        </w:rPr>
        <w:t>či</w:t>
      </w:r>
      <w:r w:rsidR="009D0A7A">
        <w:rPr>
          <w:rFonts w:ascii="Arial" w:hAnsi="Arial" w:cs="Arial"/>
          <w:bCs/>
          <w:sz w:val="22"/>
        </w:rPr>
        <w:t xml:space="preserve"> snížení v průběhu </w:t>
      </w:r>
      <w:r w:rsidR="009D0A7A">
        <w:rPr>
          <w:rFonts w:ascii="Arial" w:hAnsi="Arial" w:cs="Arial"/>
          <w:bCs/>
          <w:sz w:val="22"/>
        </w:rPr>
        <w:lastRenderedPageBreak/>
        <w:t>běžného účetního období.</w:t>
      </w:r>
      <w:r w:rsidR="00767246">
        <w:rPr>
          <w:rFonts w:ascii="Arial" w:hAnsi="Arial" w:cs="Arial"/>
          <w:bCs/>
          <w:sz w:val="22"/>
        </w:rPr>
        <w:t xml:space="preserve"> P</w:t>
      </w:r>
      <w:r w:rsidR="00FB57B8">
        <w:rPr>
          <w:rFonts w:ascii="Arial" w:hAnsi="Arial" w:cs="Arial"/>
          <w:bCs/>
          <w:sz w:val="22"/>
        </w:rPr>
        <w:t xml:space="preserve">ři </w:t>
      </w:r>
      <w:r>
        <w:rPr>
          <w:rFonts w:ascii="Arial" w:hAnsi="Arial" w:cs="Arial"/>
          <w:bCs/>
          <w:sz w:val="22"/>
        </w:rPr>
        <w:t>naplňování údajů</w:t>
      </w:r>
      <w:r w:rsidR="00F936FE">
        <w:rPr>
          <w:rFonts w:ascii="Arial" w:hAnsi="Arial" w:cs="Arial"/>
          <w:bCs/>
          <w:sz w:val="22"/>
        </w:rPr>
        <w:t>, které jsou analytickým členěním syntetického účtu vykázaného v rozvaze, je výkaz naplňován</w:t>
      </w:r>
      <w:r w:rsidR="000D705C">
        <w:rPr>
          <w:rFonts w:ascii="Arial" w:hAnsi="Arial" w:cs="Arial"/>
          <w:bCs/>
          <w:sz w:val="22"/>
        </w:rPr>
        <w:t xml:space="preserve"> z účetnictví</w:t>
      </w:r>
      <w:r w:rsidR="00B979A8">
        <w:rPr>
          <w:rFonts w:ascii="Arial" w:hAnsi="Arial" w:cs="Arial"/>
          <w:bCs/>
          <w:sz w:val="22"/>
        </w:rPr>
        <w:t>,</w:t>
      </w:r>
      <w:r w:rsidR="000D705C">
        <w:rPr>
          <w:rFonts w:ascii="Arial" w:hAnsi="Arial" w:cs="Arial"/>
          <w:bCs/>
          <w:sz w:val="22"/>
        </w:rPr>
        <w:t xml:space="preserve"> a to</w:t>
      </w:r>
      <w:r w:rsidR="00F936FE">
        <w:rPr>
          <w:rFonts w:ascii="Arial" w:hAnsi="Arial" w:cs="Arial"/>
          <w:bCs/>
          <w:sz w:val="22"/>
        </w:rPr>
        <w:t xml:space="preserve"> obraty strany </w:t>
      </w:r>
      <w:r w:rsidR="00B979A8">
        <w:rPr>
          <w:rFonts w:ascii="Arial" w:hAnsi="Arial" w:cs="Arial"/>
          <w:bCs/>
          <w:sz w:val="22"/>
        </w:rPr>
        <w:t>„</w:t>
      </w:r>
      <w:r w:rsidR="00B979A8">
        <w:rPr>
          <w:rFonts w:ascii="Arial" w:hAnsi="Arial" w:cs="Arial"/>
          <w:bCs/>
          <w:i/>
          <w:sz w:val="22"/>
        </w:rPr>
        <w:t>má dáti</w:t>
      </w:r>
      <w:r w:rsidR="00B979A8">
        <w:rPr>
          <w:rFonts w:ascii="Arial" w:hAnsi="Arial" w:cs="Arial"/>
          <w:bCs/>
          <w:sz w:val="22"/>
        </w:rPr>
        <w:t>“</w:t>
      </w:r>
      <w:r w:rsidR="00F936FE">
        <w:rPr>
          <w:rFonts w:ascii="Arial" w:hAnsi="Arial" w:cs="Arial"/>
          <w:bCs/>
          <w:sz w:val="22"/>
        </w:rPr>
        <w:t xml:space="preserve"> a </w:t>
      </w:r>
      <w:r w:rsidR="00B979A8">
        <w:rPr>
          <w:rFonts w:ascii="Arial" w:hAnsi="Arial" w:cs="Arial"/>
          <w:bCs/>
          <w:sz w:val="22"/>
        </w:rPr>
        <w:t>„</w:t>
      </w:r>
      <w:r w:rsidR="00B979A8">
        <w:rPr>
          <w:rFonts w:ascii="Arial" w:hAnsi="Arial" w:cs="Arial"/>
          <w:bCs/>
          <w:i/>
          <w:sz w:val="22"/>
        </w:rPr>
        <w:t>dal</w:t>
      </w:r>
      <w:r w:rsidR="00B979A8">
        <w:rPr>
          <w:rFonts w:ascii="Arial" w:hAnsi="Arial" w:cs="Arial"/>
          <w:bCs/>
          <w:sz w:val="22"/>
        </w:rPr>
        <w:t>“</w:t>
      </w:r>
      <w:r w:rsidR="00F936FE">
        <w:rPr>
          <w:rFonts w:ascii="Arial" w:hAnsi="Arial" w:cs="Arial"/>
          <w:bCs/>
          <w:sz w:val="22"/>
        </w:rPr>
        <w:t xml:space="preserve"> </w:t>
      </w:r>
      <w:r w:rsidR="000D705C">
        <w:rPr>
          <w:rFonts w:ascii="Arial" w:hAnsi="Arial" w:cs="Arial"/>
          <w:bCs/>
          <w:sz w:val="22"/>
        </w:rPr>
        <w:t xml:space="preserve">těchto </w:t>
      </w:r>
      <w:r w:rsidR="00F936FE">
        <w:rPr>
          <w:rFonts w:ascii="Arial" w:hAnsi="Arial" w:cs="Arial"/>
          <w:bCs/>
          <w:sz w:val="22"/>
        </w:rPr>
        <w:t>účtů</w:t>
      </w:r>
      <w:r w:rsidR="000D705C">
        <w:rPr>
          <w:rFonts w:ascii="Arial" w:hAnsi="Arial" w:cs="Arial"/>
          <w:bCs/>
          <w:sz w:val="22"/>
        </w:rPr>
        <w:t xml:space="preserve">. </w:t>
      </w:r>
      <w:r w:rsidR="00F936FE">
        <w:rPr>
          <w:rFonts w:ascii="Arial" w:hAnsi="Arial" w:cs="Arial"/>
          <w:bCs/>
          <w:sz w:val="22"/>
        </w:rPr>
        <w:t xml:space="preserve">U </w:t>
      </w:r>
      <w:r w:rsidR="00767246">
        <w:rPr>
          <w:rFonts w:ascii="Arial" w:hAnsi="Arial" w:cs="Arial"/>
          <w:bCs/>
          <w:sz w:val="22"/>
        </w:rPr>
        <w:t xml:space="preserve">údajů </w:t>
      </w:r>
      <w:r>
        <w:rPr>
          <w:rFonts w:ascii="Arial" w:hAnsi="Arial" w:cs="Arial"/>
          <w:bCs/>
          <w:sz w:val="22"/>
        </w:rPr>
        <w:t>polož</w:t>
      </w:r>
      <w:r w:rsidR="00F936FE">
        <w:rPr>
          <w:rFonts w:ascii="Arial" w:hAnsi="Arial" w:cs="Arial"/>
          <w:bCs/>
          <w:sz w:val="22"/>
        </w:rPr>
        <w:t>e</w:t>
      </w:r>
      <w:r>
        <w:rPr>
          <w:rFonts w:ascii="Arial" w:hAnsi="Arial" w:cs="Arial"/>
          <w:bCs/>
          <w:sz w:val="22"/>
        </w:rPr>
        <w:t>k</w:t>
      </w:r>
      <w:r w:rsidR="00F936FE">
        <w:rPr>
          <w:rFonts w:ascii="Arial" w:hAnsi="Arial" w:cs="Arial"/>
          <w:bCs/>
          <w:sz w:val="22"/>
        </w:rPr>
        <w:t xml:space="preserve">, které </w:t>
      </w:r>
      <w:r w:rsidR="000D705C">
        <w:rPr>
          <w:rFonts w:ascii="Arial" w:hAnsi="Arial" w:cs="Arial"/>
          <w:bCs/>
          <w:sz w:val="22"/>
        </w:rPr>
        <w:t>nepředstavují</w:t>
      </w:r>
      <w:r w:rsidR="00F936FE">
        <w:rPr>
          <w:rFonts w:ascii="Arial" w:hAnsi="Arial" w:cs="Arial"/>
          <w:bCs/>
          <w:sz w:val="22"/>
        </w:rPr>
        <w:t xml:space="preserve"> analytick</w:t>
      </w:r>
      <w:r w:rsidR="000D705C">
        <w:rPr>
          <w:rFonts w:ascii="Arial" w:hAnsi="Arial" w:cs="Arial"/>
          <w:bCs/>
          <w:sz w:val="22"/>
        </w:rPr>
        <w:t>é</w:t>
      </w:r>
      <w:r w:rsidR="00F936FE">
        <w:rPr>
          <w:rFonts w:ascii="Arial" w:hAnsi="Arial" w:cs="Arial"/>
          <w:bCs/>
          <w:sz w:val="22"/>
        </w:rPr>
        <w:t xml:space="preserve"> člen</w:t>
      </w:r>
      <w:r w:rsidR="000D705C">
        <w:rPr>
          <w:rFonts w:ascii="Arial" w:hAnsi="Arial" w:cs="Arial"/>
          <w:bCs/>
          <w:sz w:val="22"/>
        </w:rPr>
        <w:t>ění</w:t>
      </w:r>
      <w:r w:rsidR="00F936FE">
        <w:rPr>
          <w:rFonts w:ascii="Arial" w:hAnsi="Arial" w:cs="Arial"/>
          <w:bCs/>
          <w:sz w:val="22"/>
        </w:rPr>
        <w:t xml:space="preserve"> a jsou převzaty ve výši konečných zůstatků syntetických účtů z výkazu rozvaha, nelze z</w:t>
      </w:r>
      <w:r w:rsidR="00767246">
        <w:rPr>
          <w:rFonts w:ascii="Arial" w:hAnsi="Arial" w:cs="Arial"/>
          <w:bCs/>
          <w:sz w:val="22"/>
        </w:rPr>
        <w:t xml:space="preserve"> </w:t>
      </w:r>
      <w:r w:rsidR="00C2660F" w:rsidRPr="008E4A3E">
        <w:rPr>
          <w:rFonts w:ascii="Arial" w:hAnsi="Arial" w:cs="Arial"/>
          <w:bCs/>
          <w:sz w:val="22"/>
        </w:rPr>
        <w:t>ustanovení § 44 odst. 11 vyhlášky č. 410/2009</w:t>
      </w:r>
      <w:r w:rsidR="00C2660F" w:rsidRPr="008E4A3E">
        <w:rPr>
          <w:rFonts w:ascii="Arial" w:hAnsi="Arial" w:cs="Arial"/>
          <w:sz w:val="22"/>
        </w:rPr>
        <w:t xml:space="preserve"> Sb.</w:t>
      </w:r>
      <w:r w:rsidR="00C2660F" w:rsidRPr="008E4A3E">
        <w:rPr>
          <w:rFonts w:ascii="Arial" w:hAnsi="Arial" w:cs="Arial"/>
          <w:bCs/>
          <w:sz w:val="22"/>
        </w:rPr>
        <w:t xml:space="preserve"> jednoznačně vyvodit</w:t>
      </w:r>
      <w:r w:rsidR="00C2660F" w:rsidRPr="008E4A3E">
        <w:rPr>
          <w:rFonts w:ascii="Arial" w:hAnsi="Arial" w:cs="Arial"/>
          <w:sz w:val="22"/>
        </w:rPr>
        <w:t>, jakým konkrétním způsobem m</w:t>
      </w:r>
      <w:r w:rsidR="00767246">
        <w:rPr>
          <w:rFonts w:ascii="Arial" w:hAnsi="Arial" w:cs="Arial"/>
          <w:sz w:val="22"/>
        </w:rPr>
        <w:t>usí</w:t>
      </w:r>
      <w:r w:rsidR="00C2660F" w:rsidRPr="008E4A3E">
        <w:rPr>
          <w:rFonts w:ascii="Arial" w:hAnsi="Arial" w:cs="Arial"/>
          <w:sz w:val="22"/>
        </w:rPr>
        <w:t xml:space="preserve"> účetní jednotka </w:t>
      </w:r>
      <w:r w:rsidR="00F936FE">
        <w:rPr>
          <w:rFonts w:ascii="Arial" w:hAnsi="Arial" w:cs="Arial"/>
          <w:sz w:val="22"/>
        </w:rPr>
        <w:t xml:space="preserve">při jejich naplňování </w:t>
      </w:r>
      <w:r w:rsidR="00C2660F" w:rsidRPr="008E4A3E">
        <w:rPr>
          <w:rFonts w:ascii="Arial" w:hAnsi="Arial" w:cs="Arial"/>
          <w:sz w:val="22"/>
        </w:rPr>
        <w:t>postupovat</w:t>
      </w:r>
      <w:r w:rsidR="00767246">
        <w:rPr>
          <w:rFonts w:ascii="Arial" w:hAnsi="Arial" w:cs="Arial"/>
          <w:sz w:val="22"/>
        </w:rPr>
        <w:t>.</w:t>
      </w:r>
      <w:r w:rsidR="009E5FB6">
        <w:rPr>
          <w:rFonts w:ascii="Arial" w:hAnsi="Arial" w:cs="Arial"/>
          <w:sz w:val="22"/>
        </w:rPr>
        <w:t xml:space="preserve"> </w:t>
      </w:r>
      <w:r w:rsidR="00767246">
        <w:rPr>
          <w:rFonts w:ascii="Arial" w:hAnsi="Arial" w:cs="Arial"/>
          <w:sz w:val="22"/>
        </w:rPr>
        <w:t>Z</w:t>
      </w:r>
      <w:r w:rsidR="00B979A8">
        <w:rPr>
          <w:rFonts w:ascii="Arial" w:hAnsi="Arial" w:cs="Arial"/>
          <w:sz w:val="22"/>
        </w:rPr>
        <w:t>da mají být u </w:t>
      </w:r>
      <w:r w:rsidR="00767246">
        <w:rPr>
          <w:rFonts w:ascii="Arial" w:hAnsi="Arial" w:cs="Arial"/>
          <w:sz w:val="22"/>
        </w:rPr>
        <w:t>těchto</w:t>
      </w:r>
      <w:r w:rsidR="00C2660F" w:rsidRPr="008E4A3E">
        <w:rPr>
          <w:rFonts w:ascii="Arial" w:hAnsi="Arial" w:cs="Arial"/>
          <w:sz w:val="22"/>
        </w:rPr>
        <w:t xml:space="preserve"> položek</w:t>
      </w:r>
      <w:r w:rsidR="00F936FE">
        <w:rPr>
          <w:rFonts w:ascii="Arial" w:hAnsi="Arial" w:cs="Arial"/>
          <w:sz w:val="22"/>
        </w:rPr>
        <w:t xml:space="preserve"> také</w:t>
      </w:r>
      <w:r w:rsidR="00C2660F" w:rsidRPr="008E4A3E">
        <w:rPr>
          <w:rFonts w:ascii="Arial" w:hAnsi="Arial" w:cs="Arial"/>
          <w:sz w:val="22"/>
        </w:rPr>
        <w:t xml:space="preserve"> naplněny oba sloupce, tj. jak „</w:t>
      </w:r>
      <w:r w:rsidR="00C2660F" w:rsidRPr="004E4ECD">
        <w:rPr>
          <w:rFonts w:ascii="Arial" w:hAnsi="Arial" w:cs="Arial"/>
          <w:i/>
          <w:sz w:val="22"/>
        </w:rPr>
        <w:t>zvýšení stavu</w:t>
      </w:r>
      <w:r w:rsidR="00C2660F" w:rsidRPr="008E4A3E">
        <w:rPr>
          <w:rFonts w:ascii="Arial" w:hAnsi="Arial" w:cs="Arial"/>
          <w:sz w:val="22"/>
        </w:rPr>
        <w:t>“, tak „</w:t>
      </w:r>
      <w:r w:rsidR="00C2660F" w:rsidRPr="004E4ECD">
        <w:rPr>
          <w:rFonts w:ascii="Arial" w:hAnsi="Arial" w:cs="Arial"/>
          <w:i/>
          <w:sz w:val="22"/>
        </w:rPr>
        <w:t>snížení stavu</w:t>
      </w:r>
      <w:r w:rsidR="00C2660F" w:rsidRPr="008E4A3E">
        <w:rPr>
          <w:rFonts w:ascii="Arial" w:hAnsi="Arial" w:cs="Arial"/>
          <w:sz w:val="22"/>
        </w:rPr>
        <w:t xml:space="preserve">“, či zda má být uveden jen rozdíl mezi </w:t>
      </w:r>
      <w:r w:rsidR="00F936FE">
        <w:rPr>
          <w:rFonts w:ascii="Arial" w:hAnsi="Arial" w:cs="Arial"/>
          <w:sz w:val="22"/>
        </w:rPr>
        <w:t>těmito</w:t>
      </w:r>
      <w:r w:rsidR="00C2660F" w:rsidRPr="008E4A3E">
        <w:rPr>
          <w:rFonts w:ascii="Arial" w:hAnsi="Arial" w:cs="Arial"/>
          <w:sz w:val="22"/>
        </w:rPr>
        <w:t xml:space="preserve"> sloupci</w:t>
      </w:r>
      <w:r w:rsidR="00B979A8">
        <w:rPr>
          <w:rFonts w:ascii="Arial" w:hAnsi="Arial" w:cs="Arial"/>
          <w:sz w:val="22"/>
        </w:rPr>
        <w:t>,</w:t>
      </w:r>
      <w:r w:rsidR="00767246">
        <w:rPr>
          <w:rFonts w:ascii="Arial" w:hAnsi="Arial" w:cs="Arial"/>
          <w:sz w:val="22"/>
        </w:rPr>
        <w:t xml:space="preserve"> tzn. rozdíl konečných zůstatků těchto účt</w:t>
      </w:r>
      <w:r w:rsidR="00D05F35">
        <w:rPr>
          <w:rFonts w:ascii="Arial" w:hAnsi="Arial" w:cs="Arial"/>
          <w:sz w:val="22"/>
        </w:rPr>
        <w:t>ů</w:t>
      </w:r>
      <w:r w:rsidR="00767246">
        <w:rPr>
          <w:rFonts w:ascii="Arial" w:hAnsi="Arial" w:cs="Arial"/>
          <w:sz w:val="22"/>
        </w:rPr>
        <w:t xml:space="preserve"> </w:t>
      </w:r>
      <w:r w:rsidR="00D05F35">
        <w:rPr>
          <w:rFonts w:ascii="Arial" w:hAnsi="Arial" w:cs="Arial"/>
          <w:sz w:val="22"/>
        </w:rPr>
        <w:t>z</w:t>
      </w:r>
      <w:r w:rsidR="00B979A8">
        <w:rPr>
          <w:rFonts w:ascii="Arial" w:hAnsi="Arial" w:cs="Arial"/>
          <w:sz w:val="22"/>
        </w:rPr>
        <w:t> </w:t>
      </w:r>
      <w:r w:rsidR="00767246">
        <w:rPr>
          <w:rFonts w:ascii="Arial" w:hAnsi="Arial" w:cs="Arial"/>
          <w:sz w:val="22"/>
        </w:rPr>
        <w:t>výkazu rozvaha.</w:t>
      </w:r>
    </w:p>
    <w:p w:rsidR="00635D67" w:rsidRDefault="00635D67" w:rsidP="00C2660F">
      <w:pPr>
        <w:jc w:val="both"/>
        <w:rPr>
          <w:rFonts w:ascii="Arial" w:hAnsi="Arial" w:cs="Arial"/>
          <w:sz w:val="22"/>
        </w:rPr>
      </w:pPr>
    </w:p>
    <w:p w:rsidR="00C2660F" w:rsidRPr="008E4A3E" w:rsidRDefault="00635D67" w:rsidP="00C2660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9E5FB6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e naplnilo</w:t>
      </w:r>
      <w:r w:rsidR="008C73BF">
        <w:rPr>
          <w:rFonts w:ascii="Arial" w:hAnsi="Arial" w:cs="Arial"/>
          <w:sz w:val="22"/>
        </w:rPr>
        <w:t xml:space="preserve"> ve výkazu položky </w:t>
      </w:r>
      <w:r w:rsidR="008C73BF" w:rsidRPr="00B979A8">
        <w:rPr>
          <w:rFonts w:ascii="Arial" w:hAnsi="Arial" w:cs="Arial"/>
          <w:i/>
          <w:sz w:val="22"/>
        </w:rPr>
        <w:t xml:space="preserve">B. </w:t>
      </w:r>
      <w:r w:rsidR="008C73BF" w:rsidRPr="00F936FE">
        <w:rPr>
          <w:rFonts w:ascii="Arial" w:hAnsi="Arial" w:cs="Arial"/>
          <w:i/>
          <w:sz w:val="22"/>
        </w:rPr>
        <w:t>Fondy účetní jednotky</w:t>
      </w:r>
      <w:r w:rsidR="008C73BF" w:rsidRPr="008E4A3E">
        <w:rPr>
          <w:rFonts w:ascii="Arial" w:hAnsi="Arial" w:cs="Arial"/>
          <w:sz w:val="22"/>
        </w:rPr>
        <w:t xml:space="preserve">, </w:t>
      </w:r>
      <w:r w:rsidR="008C73BF" w:rsidRPr="00B979A8">
        <w:rPr>
          <w:rFonts w:ascii="Arial" w:hAnsi="Arial" w:cs="Arial"/>
          <w:i/>
          <w:sz w:val="22"/>
        </w:rPr>
        <w:t xml:space="preserve">C. </w:t>
      </w:r>
      <w:r w:rsidR="008C73BF" w:rsidRPr="00F936FE">
        <w:rPr>
          <w:rFonts w:ascii="Arial" w:hAnsi="Arial" w:cs="Arial"/>
          <w:i/>
          <w:sz w:val="22"/>
        </w:rPr>
        <w:t>Výsledek hospodaření</w:t>
      </w:r>
      <w:r w:rsidR="008C73BF">
        <w:rPr>
          <w:rFonts w:ascii="Arial" w:hAnsi="Arial" w:cs="Arial"/>
          <w:sz w:val="22"/>
        </w:rPr>
        <w:t xml:space="preserve"> </w:t>
      </w:r>
      <w:r w:rsidR="008C73BF" w:rsidRPr="008E4A3E">
        <w:rPr>
          <w:rFonts w:ascii="Arial" w:hAnsi="Arial" w:cs="Arial"/>
          <w:sz w:val="22"/>
        </w:rPr>
        <w:t>a</w:t>
      </w:r>
      <w:r w:rsidR="00CD7E0C">
        <w:rPr>
          <w:rFonts w:ascii="Arial" w:hAnsi="Arial" w:cs="Arial"/>
          <w:sz w:val="22"/>
        </w:rPr>
        <w:t> </w:t>
      </w:r>
      <w:r w:rsidR="008C73BF" w:rsidRPr="00B979A8">
        <w:rPr>
          <w:rFonts w:ascii="Arial" w:hAnsi="Arial" w:cs="Arial"/>
          <w:i/>
          <w:sz w:val="22"/>
        </w:rPr>
        <w:t>D.</w:t>
      </w:r>
      <w:r w:rsidR="00CD7E0C" w:rsidRPr="00B979A8">
        <w:rPr>
          <w:rFonts w:ascii="Arial" w:hAnsi="Arial" w:cs="Arial"/>
          <w:i/>
          <w:sz w:val="22"/>
        </w:rPr>
        <w:t> </w:t>
      </w:r>
      <w:r w:rsidR="008C73BF" w:rsidRPr="00F936FE">
        <w:rPr>
          <w:rFonts w:ascii="Arial" w:hAnsi="Arial" w:cs="Arial"/>
          <w:i/>
          <w:sz w:val="22"/>
        </w:rPr>
        <w:t>Příjmový a výdajový účet rozpočtového hospodaření</w:t>
      </w:r>
      <w:r w:rsidR="008C73BF">
        <w:rPr>
          <w:rFonts w:ascii="Arial" w:hAnsi="Arial" w:cs="Arial"/>
          <w:sz w:val="22"/>
        </w:rPr>
        <w:t xml:space="preserve"> v uvedených sloupcích sumou obratů zachycenou v účetnictví na stranách </w:t>
      </w:r>
      <w:r w:rsidR="00B979A8">
        <w:rPr>
          <w:rFonts w:ascii="Arial" w:hAnsi="Arial" w:cs="Arial"/>
          <w:bCs/>
          <w:sz w:val="22"/>
        </w:rPr>
        <w:t>„</w:t>
      </w:r>
      <w:r w:rsidR="00B979A8">
        <w:rPr>
          <w:rFonts w:ascii="Arial" w:hAnsi="Arial" w:cs="Arial"/>
          <w:bCs/>
          <w:i/>
          <w:sz w:val="22"/>
        </w:rPr>
        <w:t>má dáti</w:t>
      </w:r>
      <w:r w:rsidR="00B979A8">
        <w:rPr>
          <w:rFonts w:ascii="Arial" w:hAnsi="Arial" w:cs="Arial"/>
          <w:bCs/>
          <w:sz w:val="22"/>
        </w:rPr>
        <w:t>“</w:t>
      </w:r>
      <w:r w:rsidR="008C73BF">
        <w:rPr>
          <w:rFonts w:ascii="Arial" w:hAnsi="Arial" w:cs="Arial"/>
          <w:sz w:val="22"/>
        </w:rPr>
        <w:t xml:space="preserve"> a </w:t>
      </w:r>
      <w:r w:rsidR="00B979A8">
        <w:rPr>
          <w:rFonts w:ascii="Arial" w:hAnsi="Arial" w:cs="Arial"/>
          <w:bCs/>
          <w:sz w:val="22"/>
        </w:rPr>
        <w:t>„</w:t>
      </w:r>
      <w:r w:rsidR="00B979A8">
        <w:rPr>
          <w:rFonts w:ascii="Arial" w:hAnsi="Arial" w:cs="Arial"/>
          <w:bCs/>
          <w:i/>
          <w:sz w:val="22"/>
        </w:rPr>
        <w:t>dal</w:t>
      </w:r>
      <w:r w:rsidR="00B979A8">
        <w:rPr>
          <w:rFonts w:ascii="Arial" w:hAnsi="Arial" w:cs="Arial"/>
          <w:bCs/>
          <w:sz w:val="22"/>
        </w:rPr>
        <w:t>“</w:t>
      </w:r>
      <w:r w:rsidR="008C73BF">
        <w:rPr>
          <w:rFonts w:ascii="Arial" w:hAnsi="Arial" w:cs="Arial"/>
          <w:sz w:val="22"/>
        </w:rPr>
        <w:t xml:space="preserve"> příslušných účtů.</w:t>
      </w:r>
      <w:r w:rsidR="00F73558">
        <w:rPr>
          <w:rFonts w:ascii="Arial" w:hAnsi="Arial" w:cs="Arial"/>
          <w:sz w:val="22"/>
        </w:rPr>
        <w:t xml:space="preserve"> </w:t>
      </w:r>
      <w:r w:rsidR="00C2660F" w:rsidRPr="008E4A3E">
        <w:rPr>
          <w:rFonts w:ascii="Arial" w:hAnsi="Arial" w:cs="Arial"/>
          <w:sz w:val="22"/>
        </w:rPr>
        <w:t xml:space="preserve">Nejasnost aplikace § 44 odst. 11 vyhlášky č. 410/2009 Sb. vede k závěru, že postup MZe použitý při naplňování položek </w:t>
      </w:r>
      <w:r w:rsidR="00C2660F" w:rsidRPr="00B979A8">
        <w:rPr>
          <w:rFonts w:ascii="Arial" w:hAnsi="Arial" w:cs="Arial"/>
          <w:i/>
          <w:sz w:val="22"/>
        </w:rPr>
        <w:t>B</w:t>
      </w:r>
      <w:r w:rsidR="00F936FE" w:rsidRPr="00B979A8">
        <w:rPr>
          <w:rFonts w:ascii="Arial" w:hAnsi="Arial" w:cs="Arial"/>
          <w:i/>
          <w:sz w:val="22"/>
        </w:rPr>
        <w:t>.</w:t>
      </w:r>
      <w:r w:rsidR="004E4ECD" w:rsidRPr="00B979A8">
        <w:rPr>
          <w:rFonts w:ascii="Arial" w:hAnsi="Arial" w:cs="Arial"/>
          <w:i/>
          <w:sz w:val="22"/>
        </w:rPr>
        <w:t xml:space="preserve"> </w:t>
      </w:r>
      <w:r w:rsidR="00F936FE" w:rsidRPr="00F936FE">
        <w:rPr>
          <w:rFonts w:ascii="Arial" w:hAnsi="Arial" w:cs="Arial"/>
          <w:i/>
          <w:sz w:val="22"/>
        </w:rPr>
        <w:t>Fondy účetní jednotky</w:t>
      </w:r>
      <w:r w:rsidR="00C2660F" w:rsidRPr="008E4A3E">
        <w:rPr>
          <w:rFonts w:ascii="Arial" w:hAnsi="Arial" w:cs="Arial"/>
          <w:sz w:val="22"/>
        </w:rPr>
        <w:t xml:space="preserve">, </w:t>
      </w:r>
      <w:r w:rsidR="00C2660F" w:rsidRPr="00B979A8">
        <w:rPr>
          <w:rFonts w:ascii="Arial" w:hAnsi="Arial" w:cs="Arial"/>
          <w:i/>
          <w:sz w:val="22"/>
        </w:rPr>
        <w:t xml:space="preserve">C. </w:t>
      </w:r>
      <w:r w:rsidR="00F936FE" w:rsidRPr="00F936FE">
        <w:rPr>
          <w:rFonts w:ascii="Arial" w:hAnsi="Arial" w:cs="Arial"/>
          <w:i/>
          <w:sz w:val="22"/>
        </w:rPr>
        <w:t>Výsledek hospodaření</w:t>
      </w:r>
      <w:r w:rsidR="00F936FE">
        <w:rPr>
          <w:rFonts w:ascii="Arial" w:hAnsi="Arial" w:cs="Arial"/>
          <w:sz w:val="22"/>
        </w:rPr>
        <w:t xml:space="preserve"> </w:t>
      </w:r>
      <w:r w:rsidR="00986C67">
        <w:rPr>
          <w:rFonts w:ascii="Arial" w:hAnsi="Arial" w:cs="Arial"/>
          <w:sz w:val="22"/>
        </w:rPr>
        <w:t>a </w:t>
      </w:r>
      <w:r w:rsidR="00C2660F" w:rsidRPr="00B979A8">
        <w:rPr>
          <w:rFonts w:ascii="Arial" w:hAnsi="Arial" w:cs="Arial"/>
          <w:i/>
          <w:sz w:val="22"/>
        </w:rPr>
        <w:t>D.</w:t>
      </w:r>
      <w:r w:rsidR="00105B6A" w:rsidRPr="00B979A8">
        <w:rPr>
          <w:rFonts w:ascii="Arial" w:hAnsi="Arial" w:cs="Arial"/>
          <w:i/>
          <w:sz w:val="22"/>
        </w:rPr>
        <w:t> </w:t>
      </w:r>
      <w:r w:rsidR="00F936FE" w:rsidRPr="00F936FE">
        <w:rPr>
          <w:rFonts w:ascii="Arial" w:hAnsi="Arial" w:cs="Arial"/>
          <w:i/>
          <w:sz w:val="22"/>
        </w:rPr>
        <w:t>Příjmový a</w:t>
      </w:r>
      <w:r w:rsidR="00997F1A">
        <w:rPr>
          <w:rFonts w:ascii="Arial" w:hAnsi="Arial" w:cs="Arial"/>
          <w:i/>
          <w:sz w:val="22"/>
        </w:rPr>
        <w:t> </w:t>
      </w:r>
      <w:r w:rsidR="00F936FE" w:rsidRPr="00F936FE">
        <w:rPr>
          <w:rFonts w:ascii="Arial" w:hAnsi="Arial" w:cs="Arial"/>
          <w:i/>
          <w:sz w:val="22"/>
        </w:rPr>
        <w:t>výdajový účet rozpočtového hospodaření</w:t>
      </w:r>
      <w:r w:rsidR="00C2660F" w:rsidRPr="008E4A3E">
        <w:rPr>
          <w:rFonts w:ascii="Arial" w:hAnsi="Arial" w:cs="Arial"/>
          <w:sz w:val="22"/>
        </w:rPr>
        <w:t xml:space="preserve"> v údajích o „</w:t>
      </w:r>
      <w:r w:rsidR="00C2660F" w:rsidRPr="004E4ECD">
        <w:rPr>
          <w:rFonts w:ascii="Arial" w:hAnsi="Arial" w:cs="Arial"/>
          <w:i/>
          <w:sz w:val="22"/>
        </w:rPr>
        <w:t>zvýšení stavu</w:t>
      </w:r>
      <w:r w:rsidR="00986C67">
        <w:rPr>
          <w:rFonts w:ascii="Arial" w:hAnsi="Arial" w:cs="Arial"/>
          <w:sz w:val="22"/>
        </w:rPr>
        <w:t>“ a </w:t>
      </w:r>
      <w:r w:rsidR="00C2660F" w:rsidRPr="008E4A3E">
        <w:rPr>
          <w:rFonts w:ascii="Arial" w:hAnsi="Arial" w:cs="Arial"/>
          <w:sz w:val="22"/>
        </w:rPr>
        <w:t>„</w:t>
      </w:r>
      <w:r w:rsidR="00C2660F" w:rsidRPr="004E4ECD">
        <w:rPr>
          <w:rFonts w:ascii="Arial" w:hAnsi="Arial" w:cs="Arial"/>
          <w:i/>
          <w:sz w:val="22"/>
        </w:rPr>
        <w:t>snížení stavu</w:t>
      </w:r>
      <w:r w:rsidR="00C2660F" w:rsidRPr="00B979A8">
        <w:rPr>
          <w:rFonts w:ascii="Arial" w:hAnsi="Arial" w:cs="Arial"/>
          <w:sz w:val="22"/>
        </w:rPr>
        <w:t>“</w:t>
      </w:r>
      <w:r w:rsidR="00C2660F" w:rsidRPr="004E4ECD">
        <w:rPr>
          <w:rFonts w:ascii="Arial" w:hAnsi="Arial" w:cs="Arial"/>
          <w:i/>
          <w:sz w:val="22"/>
        </w:rPr>
        <w:t xml:space="preserve"> </w:t>
      </w:r>
      <w:r w:rsidR="00C2660F" w:rsidRPr="004E4ECD">
        <w:rPr>
          <w:rFonts w:ascii="Arial" w:hAnsi="Arial" w:cs="Arial"/>
          <w:sz w:val="22"/>
        </w:rPr>
        <w:t>ne</w:t>
      </w:r>
      <w:r w:rsidR="00C2660F" w:rsidRPr="008E4A3E">
        <w:rPr>
          <w:rFonts w:ascii="Arial" w:hAnsi="Arial" w:cs="Arial"/>
          <w:sz w:val="22"/>
        </w:rPr>
        <w:t xml:space="preserve">lze považovat za nesprávný.  </w:t>
      </w:r>
    </w:p>
    <w:p w:rsidR="00C2660F" w:rsidRPr="008E4A3E" w:rsidRDefault="00C2660F" w:rsidP="00C2660F">
      <w:pPr>
        <w:jc w:val="both"/>
        <w:rPr>
          <w:rFonts w:ascii="Arial" w:hAnsi="Arial" w:cs="Arial"/>
          <w:sz w:val="22"/>
        </w:rPr>
      </w:pPr>
    </w:p>
    <w:p w:rsidR="00C2660F" w:rsidRPr="0052371E" w:rsidRDefault="00C2660F" w:rsidP="00C2660F">
      <w:pPr>
        <w:jc w:val="both"/>
        <w:rPr>
          <w:rFonts w:ascii="Arial" w:hAnsi="Arial" w:cs="Arial"/>
          <w:sz w:val="22"/>
        </w:rPr>
      </w:pPr>
      <w:r w:rsidRPr="008E4A3E">
        <w:rPr>
          <w:rFonts w:ascii="Arial" w:hAnsi="Arial" w:cs="Arial"/>
          <w:sz w:val="22"/>
        </w:rPr>
        <w:t>Nejasnost aplikace právních předpisů fakticky ved</w:t>
      </w:r>
      <w:r w:rsidR="00B979A8">
        <w:rPr>
          <w:rFonts w:ascii="Arial" w:hAnsi="Arial" w:cs="Arial"/>
          <w:sz w:val="22"/>
        </w:rPr>
        <w:t>e</w:t>
      </w:r>
      <w:r w:rsidRPr="008E4A3E">
        <w:rPr>
          <w:rFonts w:ascii="Arial" w:hAnsi="Arial" w:cs="Arial"/>
          <w:sz w:val="22"/>
        </w:rPr>
        <w:t xml:space="preserve"> k možnému používání různých způsobů pro naplnění údajů o „</w:t>
      </w:r>
      <w:r w:rsidRPr="000D705C">
        <w:rPr>
          <w:rFonts w:ascii="Arial" w:hAnsi="Arial" w:cs="Arial"/>
          <w:i/>
          <w:sz w:val="22"/>
        </w:rPr>
        <w:t>zvýšení stavu</w:t>
      </w:r>
      <w:r w:rsidRPr="008E4A3E">
        <w:rPr>
          <w:rFonts w:ascii="Arial" w:hAnsi="Arial" w:cs="Arial"/>
          <w:sz w:val="22"/>
        </w:rPr>
        <w:t>“ a „</w:t>
      </w:r>
      <w:r w:rsidRPr="000D705C">
        <w:rPr>
          <w:rFonts w:ascii="Arial" w:hAnsi="Arial" w:cs="Arial"/>
          <w:i/>
          <w:sz w:val="22"/>
        </w:rPr>
        <w:t>snížení stavu</w:t>
      </w:r>
      <w:r w:rsidRPr="008E4A3E">
        <w:rPr>
          <w:rFonts w:ascii="Arial" w:hAnsi="Arial" w:cs="Arial"/>
          <w:sz w:val="22"/>
        </w:rPr>
        <w:t xml:space="preserve">“ </w:t>
      </w:r>
      <w:r w:rsidR="00F936FE">
        <w:rPr>
          <w:rFonts w:ascii="Arial" w:hAnsi="Arial" w:cs="Arial"/>
          <w:sz w:val="22"/>
        </w:rPr>
        <w:t xml:space="preserve">takových </w:t>
      </w:r>
      <w:r w:rsidRPr="008E4A3E">
        <w:rPr>
          <w:rFonts w:ascii="Arial" w:hAnsi="Arial" w:cs="Arial"/>
          <w:sz w:val="22"/>
        </w:rPr>
        <w:t xml:space="preserve">položek </w:t>
      </w:r>
      <w:r w:rsidR="00F936FE">
        <w:rPr>
          <w:rFonts w:ascii="Arial" w:hAnsi="Arial" w:cs="Arial"/>
          <w:sz w:val="22"/>
        </w:rPr>
        <w:t>v</w:t>
      </w:r>
      <w:r w:rsidRPr="008E4A3E">
        <w:rPr>
          <w:rFonts w:ascii="Arial" w:hAnsi="Arial" w:cs="Arial"/>
          <w:sz w:val="22"/>
        </w:rPr>
        <w:t xml:space="preserve"> přehledu o změnách vlastního kapitálu</w:t>
      </w:r>
      <w:r w:rsidR="00B979A8">
        <w:rPr>
          <w:rFonts w:ascii="Arial" w:hAnsi="Arial" w:cs="Arial"/>
          <w:sz w:val="22"/>
        </w:rPr>
        <w:t xml:space="preserve"> a</w:t>
      </w:r>
      <w:r w:rsidRPr="008E4A3E">
        <w:rPr>
          <w:rFonts w:ascii="Arial" w:hAnsi="Arial" w:cs="Arial"/>
          <w:sz w:val="22"/>
        </w:rPr>
        <w:t xml:space="preserve"> způsobuje riziko nesrovnatelnosti údajů</w:t>
      </w:r>
      <w:r w:rsidR="000D3BF9">
        <w:rPr>
          <w:rFonts w:ascii="Arial" w:hAnsi="Arial" w:cs="Arial"/>
          <w:sz w:val="22"/>
        </w:rPr>
        <w:t>.</w:t>
      </w:r>
    </w:p>
    <w:p w:rsidR="00C2660F" w:rsidRPr="0052371E" w:rsidRDefault="00C2660F" w:rsidP="00C964C7">
      <w:pPr>
        <w:jc w:val="both"/>
        <w:rPr>
          <w:rFonts w:ascii="Arial" w:hAnsi="Arial" w:cs="Arial"/>
          <w:color w:val="000000"/>
          <w:sz w:val="22"/>
          <w:szCs w:val="22"/>
          <w:highlight w:val="cyan"/>
        </w:rPr>
      </w:pPr>
    </w:p>
    <w:p w:rsidR="0052371E" w:rsidRDefault="00DC38C1" w:rsidP="005237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38C1">
        <w:rPr>
          <w:rFonts w:ascii="Arial" w:hAnsi="Arial" w:cs="Arial"/>
          <w:b/>
          <w:bCs/>
          <w:iCs/>
          <w:sz w:val="22"/>
          <w:szCs w:val="22"/>
        </w:rPr>
        <w:t>1.2 Nesprávnosti v účetní závěrce a hlavní příčiny těchto nesprávností</w:t>
      </w:r>
    </w:p>
    <w:p w:rsidR="00DC38C1" w:rsidRDefault="00DC38C1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C38C1" w:rsidRDefault="00DC38C1" w:rsidP="00DC38C1">
      <w:pPr>
        <w:pStyle w:val="NormlnKZ"/>
        <w:spacing w:after="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Cs/>
          <w:spacing w:val="-2"/>
          <w:szCs w:val="22"/>
        </w:rPr>
        <w:t>V účetní závěrce MZe</w:t>
      </w:r>
      <w:r w:rsidRPr="00810578">
        <w:rPr>
          <w:rFonts w:ascii="Arial" w:hAnsi="Arial" w:cs="Arial"/>
          <w:bCs/>
          <w:spacing w:val="-2"/>
          <w:szCs w:val="22"/>
        </w:rPr>
        <w:t xml:space="preserve"> </w:t>
      </w:r>
      <w:r>
        <w:rPr>
          <w:rFonts w:ascii="Arial" w:hAnsi="Arial" w:cs="Arial"/>
          <w:bCs/>
          <w:spacing w:val="-2"/>
          <w:szCs w:val="22"/>
        </w:rPr>
        <w:t>k </w:t>
      </w:r>
      <w:r w:rsidRPr="00810578">
        <w:rPr>
          <w:rFonts w:ascii="Arial" w:hAnsi="Arial" w:cs="Arial"/>
          <w:bCs/>
          <w:spacing w:val="-2"/>
          <w:szCs w:val="22"/>
        </w:rPr>
        <w:t>31. prosinci 201</w:t>
      </w:r>
      <w:r>
        <w:rPr>
          <w:rFonts w:ascii="Arial" w:hAnsi="Arial" w:cs="Arial"/>
          <w:bCs/>
          <w:spacing w:val="-2"/>
          <w:szCs w:val="22"/>
        </w:rPr>
        <w:t>3</w:t>
      </w:r>
      <w:r w:rsidRPr="00810578">
        <w:rPr>
          <w:rFonts w:ascii="Arial" w:hAnsi="Arial" w:cs="Arial"/>
          <w:bCs/>
          <w:spacing w:val="-2"/>
          <w:szCs w:val="22"/>
        </w:rPr>
        <w:t xml:space="preserve"> </w:t>
      </w:r>
      <w:r>
        <w:rPr>
          <w:rFonts w:ascii="Arial" w:hAnsi="Arial" w:cs="Arial"/>
          <w:bCs/>
          <w:spacing w:val="-2"/>
          <w:szCs w:val="22"/>
        </w:rPr>
        <w:t>v </w:t>
      </w:r>
      <w:r w:rsidRPr="00810578">
        <w:rPr>
          <w:rFonts w:ascii="Arial" w:hAnsi="Arial" w:cs="Arial"/>
          <w:bCs/>
          <w:spacing w:val="-2"/>
          <w:szCs w:val="22"/>
        </w:rPr>
        <w:t xml:space="preserve">údajích za běžné </w:t>
      </w:r>
      <w:r>
        <w:rPr>
          <w:rFonts w:ascii="Arial" w:hAnsi="Arial" w:cs="Arial"/>
          <w:bCs/>
          <w:spacing w:val="-2"/>
          <w:szCs w:val="22"/>
        </w:rPr>
        <w:t xml:space="preserve">účetní </w:t>
      </w:r>
      <w:r w:rsidRPr="00810578">
        <w:rPr>
          <w:rFonts w:ascii="Arial" w:hAnsi="Arial" w:cs="Arial"/>
          <w:bCs/>
          <w:spacing w:val="-2"/>
          <w:szCs w:val="22"/>
        </w:rPr>
        <w:t xml:space="preserve">období byla zjištěna celková nesprávnost ve výši </w:t>
      </w:r>
      <w:r>
        <w:rPr>
          <w:rFonts w:ascii="Arial" w:hAnsi="Arial" w:cs="Arial"/>
          <w:bCs/>
          <w:spacing w:val="-2"/>
          <w:szCs w:val="22"/>
        </w:rPr>
        <w:t>14 322 390,71 Kč</w:t>
      </w:r>
      <w:r w:rsidRPr="00810578">
        <w:rPr>
          <w:rFonts w:ascii="Arial" w:hAnsi="Arial" w:cs="Arial"/>
          <w:bCs/>
          <w:spacing w:val="-2"/>
          <w:szCs w:val="22"/>
        </w:rPr>
        <w:t xml:space="preserve">. </w:t>
      </w:r>
      <w:r w:rsidRPr="00810578">
        <w:rPr>
          <w:rFonts w:ascii="Arial" w:hAnsi="Arial" w:cs="Arial"/>
          <w:szCs w:val="22"/>
        </w:rPr>
        <w:t xml:space="preserve">Na celkové nesprávnosti se podílelo nadhodnocení a podhodnocení zůstatků </w:t>
      </w:r>
      <w:r w:rsidR="008C73BF">
        <w:rPr>
          <w:rFonts w:ascii="Arial" w:hAnsi="Arial" w:cs="Arial"/>
          <w:szCs w:val="22"/>
        </w:rPr>
        <w:t>některých</w:t>
      </w:r>
      <w:r w:rsidRPr="00810578">
        <w:rPr>
          <w:rFonts w:ascii="Arial" w:hAnsi="Arial" w:cs="Arial"/>
          <w:szCs w:val="22"/>
        </w:rPr>
        <w:t xml:space="preserve"> účtů výkazu rozvaha</w:t>
      </w:r>
      <w:r w:rsidR="00EF6B4C">
        <w:rPr>
          <w:rFonts w:ascii="Arial" w:hAnsi="Arial" w:cs="Arial"/>
          <w:szCs w:val="22"/>
        </w:rPr>
        <w:t>,</w:t>
      </w:r>
      <w:r w:rsidR="00717B4D">
        <w:rPr>
          <w:rFonts w:ascii="Arial" w:hAnsi="Arial" w:cs="Arial"/>
          <w:szCs w:val="22"/>
        </w:rPr>
        <w:t xml:space="preserve"> výkazu zisku a </w:t>
      </w:r>
      <w:r w:rsidRPr="00810578">
        <w:rPr>
          <w:rFonts w:ascii="Arial" w:hAnsi="Arial" w:cs="Arial"/>
          <w:szCs w:val="22"/>
        </w:rPr>
        <w:t>ztráty</w:t>
      </w:r>
      <w:r w:rsidR="00EF6B4C">
        <w:rPr>
          <w:rFonts w:ascii="Arial" w:hAnsi="Arial" w:cs="Arial"/>
          <w:szCs w:val="22"/>
        </w:rPr>
        <w:t xml:space="preserve"> a položek přehledu o peněžních tocích</w:t>
      </w:r>
      <w:r w:rsidR="00C35020">
        <w:rPr>
          <w:rFonts w:ascii="Arial" w:hAnsi="Arial" w:cs="Arial"/>
          <w:szCs w:val="22"/>
        </w:rPr>
        <w:t>, a to</w:t>
      </w:r>
      <w:r w:rsidRPr="0081057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</w:t>
      </w:r>
      <w:r w:rsidR="000E66D3">
        <w:rPr>
          <w:rFonts w:ascii="Arial" w:hAnsi="Arial" w:cs="Arial"/>
          <w:szCs w:val="22"/>
        </w:rPr>
        <w:t>důsledku toho, že MZe</w:t>
      </w:r>
      <w:r w:rsidRPr="00810578">
        <w:rPr>
          <w:rFonts w:ascii="Arial" w:hAnsi="Arial" w:cs="Arial"/>
          <w:szCs w:val="22"/>
        </w:rPr>
        <w:t xml:space="preserve"> porušilo </w:t>
      </w:r>
      <w:r>
        <w:rPr>
          <w:rFonts w:ascii="Arial" w:hAnsi="Arial" w:cs="Arial"/>
          <w:szCs w:val="22"/>
        </w:rPr>
        <w:t>v </w:t>
      </w:r>
      <w:r w:rsidRPr="00810578">
        <w:rPr>
          <w:rFonts w:ascii="Arial" w:hAnsi="Arial" w:cs="Arial"/>
          <w:szCs w:val="22"/>
        </w:rPr>
        <w:t>roce 201</w:t>
      </w:r>
      <w:r w:rsidR="000E66D3">
        <w:rPr>
          <w:rFonts w:ascii="Arial" w:hAnsi="Arial" w:cs="Arial"/>
          <w:szCs w:val="22"/>
        </w:rPr>
        <w:t>3</w:t>
      </w:r>
      <w:r w:rsidRPr="00810578">
        <w:rPr>
          <w:rFonts w:ascii="Arial" w:hAnsi="Arial" w:cs="Arial"/>
          <w:szCs w:val="22"/>
        </w:rPr>
        <w:t xml:space="preserve"> </w:t>
      </w:r>
      <w:r w:rsidR="000D705C">
        <w:rPr>
          <w:rFonts w:ascii="Arial" w:hAnsi="Arial" w:cs="Arial"/>
          <w:szCs w:val="22"/>
        </w:rPr>
        <w:t xml:space="preserve">některá ustanovení </w:t>
      </w:r>
      <w:r w:rsidRPr="00810578">
        <w:rPr>
          <w:rFonts w:ascii="Arial" w:hAnsi="Arial" w:cs="Arial"/>
          <w:szCs w:val="22"/>
        </w:rPr>
        <w:t>právní</w:t>
      </w:r>
      <w:r w:rsidR="000D705C">
        <w:rPr>
          <w:rFonts w:ascii="Arial" w:hAnsi="Arial" w:cs="Arial"/>
          <w:szCs w:val="22"/>
        </w:rPr>
        <w:t>ch</w:t>
      </w:r>
      <w:r w:rsidRPr="00810578">
        <w:rPr>
          <w:rFonts w:ascii="Arial" w:hAnsi="Arial" w:cs="Arial"/>
          <w:szCs w:val="22"/>
        </w:rPr>
        <w:t xml:space="preserve"> předpis</w:t>
      </w:r>
      <w:r w:rsidR="000D705C">
        <w:rPr>
          <w:rFonts w:ascii="Arial" w:hAnsi="Arial" w:cs="Arial"/>
          <w:szCs w:val="22"/>
        </w:rPr>
        <w:t>ů</w:t>
      </w:r>
      <w:r w:rsidRPr="00810578">
        <w:rPr>
          <w:rFonts w:ascii="Arial" w:hAnsi="Arial" w:cs="Arial"/>
          <w:szCs w:val="22"/>
        </w:rPr>
        <w:t xml:space="preserve"> upravující</w:t>
      </w:r>
      <w:r w:rsidR="000D705C">
        <w:rPr>
          <w:rFonts w:ascii="Arial" w:hAnsi="Arial" w:cs="Arial"/>
          <w:szCs w:val="22"/>
        </w:rPr>
        <w:t>ch</w:t>
      </w:r>
      <w:r w:rsidRPr="00810578">
        <w:rPr>
          <w:rFonts w:ascii="Arial" w:hAnsi="Arial" w:cs="Arial"/>
          <w:szCs w:val="22"/>
        </w:rPr>
        <w:t xml:space="preserve"> účetnictví a účetní výkaznictví OSS. </w:t>
      </w:r>
      <w:r w:rsidRPr="00810578">
        <w:rPr>
          <w:rFonts w:ascii="Arial" w:hAnsi="Arial" w:cs="Arial"/>
          <w:spacing w:val="-2"/>
          <w:szCs w:val="22"/>
        </w:rPr>
        <w:t xml:space="preserve">Nesprávnosti byly identifikovány dle jednotlivých položek ÚZ </w:t>
      </w:r>
      <w:r>
        <w:rPr>
          <w:rFonts w:ascii="Arial" w:hAnsi="Arial" w:cs="Arial"/>
          <w:spacing w:val="-2"/>
          <w:szCs w:val="22"/>
        </w:rPr>
        <w:t>s </w:t>
      </w:r>
      <w:r w:rsidRPr="00810578">
        <w:rPr>
          <w:rFonts w:ascii="Arial" w:hAnsi="Arial" w:cs="Arial"/>
          <w:spacing w:val="-2"/>
          <w:szCs w:val="22"/>
        </w:rPr>
        <w:t>ohledem na jejich obsahové</w:t>
      </w:r>
      <w:r w:rsidRPr="00810578">
        <w:rPr>
          <w:rFonts w:ascii="Arial" w:hAnsi="Arial" w:cs="Arial"/>
          <w:szCs w:val="22"/>
        </w:rPr>
        <w:t xml:space="preserve"> vymezení podle ustanovení § 4 zákona o účetnictví a podle vyhlášky č. 410/2009 Sb.</w:t>
      </w:r>
    </w:p>
    <w:p w:rsidR="000E66D3" w:rsidRPr="000E66D3" w:rsidRDefault="000E66D3" w:rsidP="00DC38C1">
      <w:pPr>
        <w:pStyle w:val="NormlnKZ"/>
        <w:spacing w:after="0"/>
        <w:ind w:firstLine="0"/>
        <w:rPr>
          <w:rFonts w:ascii="Arial" w:hAnsi="Arial" w:cs="Arial"/>
          <w:szCs w:val="22"/>
        </w:rPr>
      </w:pPr>
    </w:p>
    <w:p w:rsidR="000E66D3" w:rsidRDefault="000E66D3" w:rsidP="00DC38C1">
      <w:pPr>
        <w:pStyle w:val="NormlnKZ"/>
        <w:spacing w:after="0"/>
        <w:ind w:firstLine="0"/>
        <w:rPr>
          <w:rFonts w:ascii="Arial" w:hAnsi="Arial" w:cs="Arial"/>
          <w:szCs w:val="22"/>
        </w:rPr>
      </w:pPr>
      <w:r w:rsidRPr="000E66D3">
        <w:rPr>
          <w:rFonts w:ascii="Arial" w:hAnsi="Arial" w:cs="Arial"/>
          <w:szCs w:val="22"/>
        </w:rPr>
        <w:t>MZe</w:t>
      </w:r>
      <w:r w:rsidR="002B6F92">
        <w:rPr>
          <w:rFonts w:ascii="Arial" w:hAnsi="Arial" w:cs="Arial"/>
          <w:szCs w:val="22"/>
        </w:rPr>
        <w:t xml:space="preserve"> tak</w:t>
      </w:r>
      <w:r>
        <w:rPr>
          <w:rFonts w:ascii="Arial" w:hAnsi="Arial" w:cs="Arial"/>
          <w:szCs w:val="22"/>
        </w:rPr>
        <w:t xml:space="preserve"> v některých případech nevedlo v roce 2013 správné a úplné účetnictví ve smyslu zákona o účetnictví a dalších právních předpisů. Nedostatky byly zjištěny </w:t>
      </w:r>
      <w:r w:rsidR="00FF0BC1">
        <w:rPr>
          <w:rFonts w:ascii="Arial" w:hAnsi="Arial" w:cs="Arial"/>
          <w:szCs w:val="22"/>
        </w:rPr>
        <w:t>například</w:t>
      </w:r>
      <w:r>
        <w:rPr>
          <w:rFonts w:ascii="Arial" w:hAnsi="Arial" w:cs="Arial"/>
          <w:szCs w:val="22"/>
        </w:rPr>
        <w:t xml:space="preserve"> v následujících případech</w:t>
      </w:r>
      <w:r w:rsidR="00F73558">
        <w:rPr>
          <w:rFonts w:ascii="Arial" w:hAnsi="Arial" w:cs="Arial"/>
          <w:szCs w:val="22"/>
        </w:rPr>
        <w:t>:</w:t>
      </w:r>
    </w:p>
    <w:p w:rsidR="000E66D3" w:rsidRPr="00C964C7" w:rsidRDefault="000E66D3" w:rsidP="00DC38C1">
      <w:pPr>
        <w:pStyle w:val="NormlnKZ"/>
        <w:spacing w:after="0"/>
        <w:ind w:firstLine="0"/>
        <w:rPr>
          <w:rFonts w:ascii="Arial" w:hAnsi="Arial" w:cs="Arial"/>
          <w:szCs w:val="22"/>
        </w:rPr>
      </w:pPr>
    </w:p>
    <w:p w:rsidR="000E66D3" w:rsidRPr="00C964C7" w:rsidRDefault="00D222BD" w:rsidP="00C964C7">
      <w:pPr>
        <w:pStyle w:val="Odstavecseseznamem"/>
        <w:numPr>
          <w:ilvl w:val="0"/>
          <w:numId w:val="20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C964C7">
        <w:rPr>
          <w:rFonts w:ascii="Arial" w:hAnsi="Arial" w:cs="Arial"/>
          <w:b/>
          <w:i/>
          <w:sz w:val="22"/>
          <w:szCs w:val="22"/>
        </w:rPr>
        <w:t>Aktualizace informačního systému</w:t>
      </w:r>
    </w:p>
    <w:p w:rsidR="00DC38C1" w:rsidRDefault="00DC38C1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222BD" w:rsidRDefault="00717B4D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MZe v letech 2009–</w:t>
      </w:r>
      <w:r w:rsidR="00D222BD">
        <w:rPr>
          <w:rFonts w:ascii="Arial" w:hAnsi="Arial" w:cs="Arial"/>
          <w:bCs/>
          <w:iCs/>
          <w:sz w:val="22"/>
          <w:szCs w:val="22"/>
        </w:rPr>
        <w:t xml:space="preserve">2013 účtovalo o aktualizacích informačního systému </w:t>
      </w:r>
      <w:r w:rsidR="00B62BC7">
        <w:rPr>
          <w:rFonts w:ascii="Arial" w:hAnsi="Arial" w:cs="Arial"/>
          <w:bCs/>
          <w:iCs/>
          <w:sz w:val="22"/>
          <w:szCs w:val="22"/>
        </w:rPr>
        <w:t>nekonzistentně</w:t>
      </w:r>
      <w:r w:rsidR="00F73558">
        <w:rPr>
          <w:rFonts w:ascii="Arial" w:hAnsi="Arial" w:cs="Arial"/>
          <w:bCs/>
          <w:iCs/>
          <w:sz w:val="22"/>
          <w:szCs w:val="22"/>
        </w:rPr>
        <w:t>,</w:t>
      </w:r>
      <w:r w:rsidR="00B62BC7">
        <w:rPr>
          <w:rFonts w:ascii="Arial" w:hAnsi="Arial" w:cs="Arial"/>
          <w:bCs/>
          <w:iCs/>
          <w:sz w:val="22"/>
          <w:szCs w:val="22"/>
        </w:rPr>
        <w:t xml:space="preserve"> a to</w:t>
      </w:r>
      <w:r w:rsidR="00D222BD">
        <w:rPr>
          <w:rFonts w:ascii="Arial" w:hAnsi="Arial" w:cs="Arial"/>
          <w:bCs/>
          <w:iCs/>
          <w:sz w:val="22"/>
          <w:szCs w:val="22"/>
        </w:rPr>
        <w:t xml:space="preserve"> jako o drobném dlouhodobém nehmotném majetku, o dlouhodobém nehmotném majetku </w:t>
      </w:r>
      <w:r w:rsidR="00105B6A">
        <w:rPr>
          <w:rFonts w:ascii="Arial" w:hAnsi="Arial" w:cs="Arial"/>
          <w:bCs/>
          <w:iCs/>
          <w:sz w:val="22"/>
          <w:szCs w:val="22"/>
        </w:rPr>
        <w:t>nebo</w:t>
      </w:r>
      <w:r>
        <w:rPr>
          <w:rFonts w:ascii="Arial" w:hAnsi="Arial" w:cs="Arial"/>
          <w:bCs/>
          <w:iCs/>
          <w:sz w:val="22"/>
          <w:szCs w:val="22"/>
        </w:rPr>
        <w:t> o </w:t>
      </w:r>
      <w:r w:rsidR="00D222BD">
        <w:rPr>
          <w:rFonts w:ascii="Arial" w:hAnsi="Arial" w:cs="Arial"/>
          <w:bCs/>
          <w:iCs/>
          <w:sz w:val="22"/>
          <w:szCs w:val="22"/>
        </w:rPr>
        <w:t>službě. Uvedené aktualizace informačního systému nebyly dlouhodobým majetkem, měly být zaúčtovány jako služba do nákladů. V důsledku toho MZe ve výkazu rozvaha nadhodnotilo</w:t>
      </w:r>
      <w:r w:rsidR="002215D0">
        <w:rPr>
          <w:rFonts w:ascii="Arial" w:hAnsi="Arial" w:cs="Arial"/>
          <w:bCs/>
          <w:iCs/>
          <w:sz w:val="22"/>
          <w:szCs w:val="22"/>
        </w:rPr>
        <w:t xml:space="preserve"> zůstatek účtu 013 – </w:t>
      </w:r>
      <w:r w:rsidR="002215D0" w:rsidRPr="002215D0">
        <w:rPr>
          <w:rFonts w:ascii="Arial" w:hAnsi="Arial" w:cs="Arial"/>
          <w:bCs/>
          <w:i/>
          <w:iCs/>
          <w:sz w:val="22"/>
          <w:szCs w:val="22"/>
        </w:rPr>
        <w:t>Software</w:t>
      </w:r>
      <w:r w:rsidR="002215D0">
        <w:rPr>
          <w:rFonts w:ascii="Arial" w:hAnsi="Arial" w:cs="Arial"/>
          <w:bCs/>
          <w:iCs/>
          <w:sz w:val="22"/>
          <w:szCs w:val="22"/>
        </w:rPr>
        <w:t xml:space="preserve"> o 2 402 500 Kč, nadhodnotilo zůstatek účtu 432 – </w:t>
      </w:r>
      <w:r w:rsidR="002215D0" w:rsidRPr="002215D0">
        <w:rPr>
          <w:rFonts w:ascii="Arial" w:hAnsi="Arial" w:cs="Arial"/>
          <w:bCs/>
          <w:i/>
          <w:iCs/>
          <w:sz w:val="22"/>
          <w:szCs w:val="22"/>
        </w:rPr>
        <w:t>Výsledek hospodaření minulých účetních období</w:t>
      </w:r>
      <w:r w:rsidR="002215D0">
        <w:rPr>
          <w:rFonts w:ascii="Arial" w:hAnsi="Arial" w:cs="Arial"/>
          <w:bCs/>
          <w:iCs/>
          <w:sz w:val="22"/>
          <w:szCs w:val="22"/>
        </w:rPr>
        <w:t xml:space="preserve"> o 5 440 500 Kč, p</w:t>
      </w:r>
      <w:r>
        <w:rPr>
          <w:rFonts w:ascii="Arial" w:hAnsi="Arial" w:cs="Arial"/>
          <w:bCs/>
          <w:iCs/>
          <w:sz w:val="22"/>
          <w:szCs w:val="22"/>
        </w:rPr>
        <w:t>odhodnotilo zůstatek účtu 493 – </w:t>
      </w:r>
      <w:r w:rsidR="002215D0" w:rsidRPr="002215D0">
        <w:rPr>
          <w:rFonts w:ascii="Arial" w:hAnsi="Arial" w:cs="Arial"/>
          <w:bCs/>
          <w:i/>
          <w:iCs/>
          <w:sz w:val="22"/>
          <w:szCs w:val="22"/>
        </w:rPr>
        <w:t>Výsledek hospodaření běžného účetního období</w:t>
      </w:r>
      <w:r w:rsidR="002215D0">
        <w:rPr>
          <w:rFonts w:ascii="Arial" w:hAnsi="Arial" w:cs="Arial"/>
          <w:bCs/>
          <w:iCs/>
          <w:sz w:val="22"/>
          <w:szCs w:val="22"/>
        </w:rPr>
        <w:t xml:space="preserve"> o 1 674 000 Kč, p</w:t>
      </w:r>
      <w:r>
        <w:rPr>
          <w:rFonts w:ascii="Arial" w:hAnsi="Arial" w:cs="Arial"/>
          <w:bCs/>
          <w:iCs/>
          <w:sz w:val="22"/>
          <w:szCs w:val="22"/>
        </w:rPr>
        <w:t>odhodnotilo zůstatek účtu 406 – </w:t>
      </w:r>
      <w:r w:rsidR="002215D0" w:rsidRPr="002215D0">
        <w:rPr>
          <w:rFonts w:ascii="Arial" w:hAnsi="Arial" w:cs="Arial"/>
          <w:bCs/>
          <w:i/>
          <w:iCs/>
          <w:sz w:val="22"/>
          <w:szCs w:val="22"/>
        </w:rPr>
        <w:t xml:space="preserve">Oceňovací rozdíly při prvotním použití metody </w:t>
      </w:r>
      <w:r w:rsidR="002215D0">
        <w:rPr>
          <w:rFonts w:ascii="Arial" w:hAnsi="Arial" w:cs="Arial"/>
          <w:bCs/>
          <w:iCs/>
          <w:sz w:val="22"/>
          <w:szCs w:val="22"/>
        </w:rPr>
        <w:t>o 1 364 000 Kč a ve výkazu zisku a ztráty</w:t>
      </w:r>
      <w:r>
        <w:rPr>
          <w:rFonts w:ascii="Arial" w:hAnsi="Arial" w:cs="Arial"/>
          <w:bCs/>
          <w:iCs/>
          <w:sz w:val="22"/>
          <w:szCs w:val="22"/>
        </w:rPr>
        <w:t xml:space="preserve"> nadhodnotilo zůstatek účtu 551 – </w:t>
      </w:r>
      <w:r w:rsidR="002215D0" w:rsidRPr="002215D0">
        <w:rPr>
          <w:rFonts w:ascii="Arial" w:hAnsi="Arial" w:cs="Arial"/>
          <w:bCs/>
          <w:i/>
          <w:iCs/>
          <w:sz w:val="22"/>
          <w:szCs w:val="22"/>
        </w:rPr>
        <w:t>Odpisy dlouhodobého majetku</w:t>
      </w:r>
      <w:r>
        <w:rPr>
          <w:rFonts w:ascii="Arial" w:hAnsi="Arial" w:cs="Arial"/>
          <w:bCs/>
          <w:iCs/>
          <w:sz w:val="22"/>
          <w:szCs w:val="22"/>
        </w:rPr>
        <w:t xml:space="preserve"> o </w:t>
      </w:r>
      <w:r w:rsidR="002215D0">
        <w:rPr>
          <w:rFonts w:ascii="Arial" w:hAnsi="Arial" w:cs="Arial"/>
          <w:bCs/>
          <w:iCs/>
          <w:sz w:val="22"/>
          <w:szCs w:val="22"/>
        </w:rPr>
        <w:t>1 674 000 Kč.</w:t>
      </w:r>
    </w:p>
    <w:p w:rsidR="002215D0" w:rsidRDefault="002215D0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215D0" w:rsidRPr="00C964C7" w:rsidRDefault="002215D0" w:rsidP="00C964C7">
      <w:pPr>
        <w:pStyle w:val="Odstavecseseznamem"/>
        <w:numPr>
          <w:ilvl w:val="0"/>
          <w:numId w:val="21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C964C7">
        <w:rPr>
          <w:rFonts w:ascii="Arial" w:hAnsi="Arial" w:cs="Arial"/>
          <w:b/>
          <w:i/>
          <w:sz w:val="22"/>
          <w:szCs w:val="22"/>
        </w:rPr>
        <w:t>Zaměření skutečného stavu (pasportizace) části budovy</w:t>
      </w:r>
    </w:p>
    <w:p w:rsidR="00145653" w:rsidRDefault="00145653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215D0" w:rsidRDefault="002215D0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MZe pasportizaci části budovy zaúčtovalo jako technické zhodnocení stavby. Zaměření skutečného stavu stavby</w:t>
      </w:r>
      <w:r w:rsidR="00D058C1">
        <w:rPr>
          <w:rFonts w:ascii="Arial" w:hAnsi="Arial" w:cs="Arial"/>
          <w:bCs/>
          <w:iCs/>
          <w:sz w:val="22"/>
          <w:szCs w:val="22"/>
        </w:rPr>
        <w:t xml:space="preserve"> ale</w:t>
      </w:r>
      <w:r>
        <w:rPr>
          <w:rFonts w:ascii="Arial" w:hAnsi="Arial" w:cs="Arial"/>
          <w:bCs/>
          <w:iCs/>
          <w:sz w:val="22"/>
          <w:szCs w:val="22"/>
        </w:rPr>
        <w:t xml:space="preserve"> k technickému zhodnocen</w:t>
      </w:r>
      <w:r w:rsidR="00B14269">
        <w:rPr>
          <w:rFonts w:ascii="Arial" w:hAnsi="Arial" w:cs="Arial"/>
          <w:bCs/>
          <w:iCs/>
          <w:sz w:val="22"/>
          <w:szCs w:val="22"/>
        </w:rPr>
        <w:t xml:space="preserve">í </w:t>
      </w:r>
      <w:r w:rsidR="00C35020">
        <w:rPr>
          <w:rFonts w:ascii="Arial" w:hAnsi="Arial" w:cs="Arial"/>
          <w:bCs/>
          <w:iCs/>
          <w:sz w:val="22"/>
          <w:szCs w:val="22"/>
        </w:rPr>
        <w:t>nevedlo</w:t>
      </w:r>
      <w:r w:rsidR="00B14269">
        <w:rPr>
          <w:rFonts w:ascii="Arial" w:hAnsi="Arial" w:cs="Arial"/>
          <w:bCs/>
          <w:iCs/>
          <w:sz w:val="22"/>
          <w:szCs w:val="22"/>
        </w:rPr>
        <w:t>, neboť se nejednalo o </w:t>
      </w:r>
      <w:r>
        <w:rPr>
          <w:rFonts w:ascii="Arial" w:hAnsi="Arial" w:cs="Arial"/>
          <w:bCs/>
          <w:iCs/>
          <w:sz w:val="22"/>
          <w:szCs w:val="22"/>
        </w:rPr>
        <w:t>modernizaci, rekonstrukci, přístavbu ani nástavbu stávající stavby</w:t>
      </w:r>
      <w:r w:rsidR="00DE1D91">
        <w:rPr>
          <w:rFonts w:ascii="Arial" w:hAnsi="Arial" w:cs="Arial"/>
          <w:bCs/>
          <w:iCs/>
          <w:sz w:val="22"/>
          <w:szCs w:val="22"/>
        </w:rPr>
        <w:t>, ale o technickou inventuru stavu</w:t>
      </w:r>
      <w:r w:rsidR="00E94C5B">
        <w:rPr>
          <w:rFonts w:ascii="Arial" w:hAnsi="Arial" w:cs="Arial"/>
          <w:bCs/>
          <w:iCs/>
          <w:sz w:val="22"/>
          <w:szCs w:val="22"/>
        </w:rPr>
        <w:t>. Pasportizace byla službou a měla být z</w:t>
      </w:r>
      <w:r w:rsidR="00D058C1">
        <w:rPr>
          <w:rFonts w:ascii="Arial" w:hAnsi="Arial" w:cs="Arial"/>
          <w:bCs/>
          <w:iCs/>
          <w:sz w:val="22"/>
          <w:szCs w:val="22"/>
        </w:rPr>
        <w:t>a</w:t>
      </w:r>
      <w:r w:rsidR="00E94C5B">
        <w:rPr>
          <w:rFonts w:ascii="Arial" w:hAnsi="Arial" w:cs="Arial"/>
          <w:bCs/>
          <w:iCs/>
          <w:sz w:val="22"/>
          <w:szCs w:val="22"/>
        </w:rPr>
        <w:t xml:space="preserve">účtována do nákladů. V důsledku toho MZe ve výkazu rozvaha nadhodnotilo zůstatek účtu 021 – </w:t>
      </w:r>
      <w:r w:rsidR="00E94C5B" w:rsidRPr="00E94C5B">
        <w:rPr>
          <w:rFonts w:ascii="Arial" w:hAnsi="Arial" w:cs="Arial"/>
          <w:bCs/>
          <w:i/>
          <w:iCs/>
          <w:sz w:val="22"/>
          <w:szCs w:val="22"/>
        </w:rPr>
        <w:t>Stavby</w:t>
      </w:r>
      <w:r w:rsidR="00DE1D91">
        <w:rPr>
          <w:rFonts w:ascii="Arial" w:hAnsi="Arial" w:cs="Arial"/>
          <w:bCs/>
          <w:iCs/>
          <w:sz w:val="22"/>
          <w:szCs w:val="22"/>
        </w:rPr>
        <w:t xml:space="preserve"> o 599 196,50 Kč </w:t>
      </w:r>
      <w:r w:rsidR="00DE1D91">
        <w:rPr>
          <w:rFonts w:ascii="Arial" w:hAnsi="Arial" w:cs="Arial"/>
          <w:bCs/>
          <w:iCs/>
          <w:sz w:val="22"/>
          <w:szCs w:val="22"/>
        </w:rPr>
        <w:lastRenderedPageBreak/>
        <w:t>a </w:t>
      </w:r>
      <w:r w:rsidR="00E94C5B">
        <w:rPr>
          <w:rFonts w:ascii="Arial" w:hAnsi="Arial" w:cs="Arial"/>
          <w:bCs/>
          <w:iCs/>
          <w:sz w:val="22"/>
          <w:szCs w:val="22"/>
        </w:rPr>
        <w:t>o</w:t>
      </w:r>
      <w:r w:rsidR="00DE1D91">
        <w:rPr>
          <w:rFonts w:ascii="Arial" w:hAnsi="Arial" w:cs="Arial"/>
          <w:bCs/>
          <w:iCs/>
          <w:sz w:val="22"/>
          <w:szCs w:val="22"/>
        </w:rPr>
        <w:t> </w:t>
      </w:r>
      <w:r w:rsidR="00E94C5B">
        <w:rPr>
          <w:rFonts w:ascii="Arial" w:hAnsi="Arial" w:cs="Arial"/>
          <w:bCs/>
          <w:iCs/>
          <w:sz w:val="22"/>
          <w:szCs w:val="22"/>
        </w:rPr>
        <w:t>stejnou částku</w:t>
      </w:r>
      <w:r w:rsidR="00B14269">
        <w:rPr>
          <w:rFonts w:ascii="Arial" w:hAnsi="Arial" w:cs="Arial"/>
          <w:bCs/>
          <w:iCs/>
          <w:sz w:val="22"/>
          <w:szCs w:val="22"/>
        </w:rPr>
        <w:t xml:space="preserve"> nadhodnotilo zůstatek účtu 493 – </w:t>
      </w:r>
      <w:r w:rsidR="00E94C5B" w:rsidRPr="00E94C5B">
        <w:rPr>
          <w:rFonts w:ascii="Arial" w:hAnsi="Arial" w:cs="Arial"/>
          <w:bCs/>
          <w:i/>
          <w:iCs/>
          <w:sz w:val="22"/>
          <w:szCs w:val="22"/>
        </w:rPr>
        <w:t>Výsledek hospodaření běžného účetního období</w:t>
      </w:r>
      <w:r w:rsidR="00B14269">
        <w:rPr>
          <w:rFonts w:ascii="Arial" w:hAnsi="Arial" w:cs="Arial"/>
          <w:bCs/>
          <w:iCs/>
          <w:sz w:val="22"/>
          <w:szCs w:val="22"/>
        </w:rPr>
        <w:t>. Ve výkazu zisku a </w:t>
      </w:r>
      <w:r w:rsidR="00E94C5B">
        <w:rPr>
          <w:rFonts w:ascii="Arial" w:hAnsi="Arial" w:cs="Arial"/>
          <w:bCs/>
          <w:iCs/>
          <w:sz w:val="22"/>
          <w:szCs w:val="22"/>
        </w:rPr>
        <w:t>ztráty</w:t>
      </w:r>
      <w:r w:rsidR="00B14269">
        <w:rPr>
          <w:rFonts w:ascii="Arial" w:hAnsi="Arial" w:cs="Arial"/>
          <w:bCs/>
          <w:iCs/>
          <w:sz w:val="22"/>
          <w:szCs w:val="22"/>
        </w:rPr>
        <w:t xml:space="preserve"> nadhodnotilo zůstatek účtu 551 – </w:t>
      </w:r>
      <w:r w:rsidR="00E94C5B" w:rsidRPr="00E94C5B">
        <w:rPr>
          <w:rFonts w:ascii="Arial" w:hAnsi="Arial" w:cs="Arial"/>
          <w:bCs/>
          <w:i/>
          <w:iCs/>
          <w:sz w:val="22"/>
          <w:szCs w:val="22"/>
        </w:rPr>
        <w:t>Odpisy dlouhodobého majetku</w:t>
      </w:r>
      <w:r w:rsidR="00C35020">
        <w:rPr>
          <w:rFonts w:ascii="Arial" w:hAnsi="Arial" w:cs="Arial"/>
          <w:bCs/>
          <w:iCs/>
          <w:sz w:val="22"/>
          <w:szCs w:val="22"/>
        </w:rPr>
        <w:t xml:space="preserve"> o </w:t>
      </w:r>
      <w:r w:rsidR="00B14269">
        <w:rPr>
          <w:rFonts w:ascii="Arial" w:hAnsi="Arial" w:cs="Arial"/>
          <w:bCs/>
          <w:iCs/>
          <w:sz w:val="22"/>
          <w:szCs w:val="22"/>
        </w:rPr>
        <w:t>2 476 Kč a </w:t>
      </w:r>
      <w:r w:rsidR="00E94C5B">
        <w:rPr>
          <w:rFonts w:ascii="Arial" w:hAnsi="Arial" w:cs="Arial"/>
          <w:bCs/>
          <w:iCs/>
          <w:sz w:val="22"/>
          <w:szCs w:val="22"/>
        </w:rPr>
        <w:t xml:space="preserve">podhodnotilo zůstatek účtu 518 – </w:t>
      </w:r>
      <w:r w:rsidR="00E94C5B" w:rsidRPr="00E94C5B">
        <w:rPr>
          <w:rFonts w:ascii="Arial" w:hAnsi="Arial" w:cs="Arial"/>
          <w:bCs/>
          <w:i/>
          <w:iCs/>
          <w:sz w:val="22"/>
          <w:szCs w:val="22"/>
        </w:rPr>
        <w:t>Ostatní služby</w:t>
      </w:r>
      <w:r w:rsidR="00DE1D91">
        <w:rPr>
          <w:rFonts w:ascii="Arial" w:hAnsi="Arial" w:cs="Arial"/>
          <w:bCs/>
          <w:iCs/>
          <w:sz w:val="22"/>
          <w:szCs w:val="22"/>
        </w:rPr>
        <w:t xml:space="preserve"> o </w:t>
      </w:r>
      <w:r w:rsidR="00E94C5B">
        <w:rPr>
          <w:rFonts w:ascii="Arial" w:hAnsi="Arial" w:cs="Arial"/>
          <w:bCs/>
          <w:iCs/>
          <w:sz w:val="22"/>
          <w:szCs w:val="22"/>
        </w:rPr>
        <w:t>601 672,50 Kč.</w:t>
      </w:r>
    </w:p>
    <w:p w:rsidR="00E94C5B" w:rsidRDefault="00E94C5B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94C5B" w:rsidRPr="00C964C7" w:rsidRDefault="006D5403" w:rsidP="00C964C7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C964C7">
        <w:rPr>
          <w:rFonts w:ascii="Arial" w:hAnsi="Arial" w:cs="Arial"/>
          <w:b/>
          <w:i/>
          <w:sz w:val="22"/>
          <w:szCs w:val="22"/>
        </w:rPr>
        <w:t>Smluvní pokuta</w:t>
      </w:r>
    </w:p>
    <w:p w:rsidR="006D5403" w:rsidRPr="006D5403" w:rsidRDefault="006D5403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6D1169" w:rsidRPr="00656175" w:rsidRDefault="00381DE9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MZe předepsalo svému dodavateli smluvní pokutu za nedodržení smluvně dohodnutého termínu předání díla. Smluvní pokutu vykázalo na nesprávném </w:t>
      </w:r>
      <w:r w:rsidR="00C35020">
        <w:rPr>
          <w:rFonts w:ascii="Arial" w:hAnsi="Arial" w:cs="Arial"/>
          <w:bCs/>
          <w:iCs/>
          <w:sz w:val="22"/>
          <w:szCs w:val="22"/>
        </w:rPr>
        <w:t>(</w:t>
      </w:r>
      <w:r>
        <w:rPr>
          <w:rFonts w:ascii="Arial" w:hAnsi="Arial" w:cs="Arial"/>
          <w:bCs/>
          <w:iCs/>
          <w:sz w:val="22"/>
          <w:szCs w:val="22"/>
        </w:rPr>
        <w:t>pohledávkovém</w:t>
      </w:r>
      <w:r w:rsidR="00C35020">
        <w:rPr>
          <w:rFonts w:ascii="Arial" w:hAnsi="Arial" w:cs="Arial"/>
          <w:bCs/>
          <w:iCs/>
          <w:sz w:val="22"/>
          <w:szCs w:val="22"/>
        </w:rPr>
        <w:t>)</w:t>
      </w:r>
      <w:r>
        <w:rPr>
          <w:rFonts w:ascii="Arial" w:hAnsi="Arial" w:cs="Arial"/>
          <w:bCs/>
          <w:iCs/>
          <w:sz w:val="22"/>
          <w:szCs w:val="22"/>
        </w:rPr>
        <w:t xml:space="preserve"> účtu. V důsledku toho ve výkazu rozvaha nadhodnotilo zůstatek účtu 311 – </w:t>
      </w:r>
      <w:r w:rsidRPr="00381DE9">
        <w:rPr>
          <w:rFonts w:ascii="Arial" w:hAnsi="Arial" w:cs="Arial"/>
          <w:bCs/>
          <w:i/>
          <w:iCs/>
          <w:sz w:val="22"/>
          <w:szCs w:val="22"/>
        </w:rPr>
        <w:t>Odběratelé</w:t>
      </w:r>
      <w:r>
        <w:rPr>
          <w:rFonts w:ascii="Arial" w:hAnsi="Arial" w:cs="Arial"/>
          <w:bCs/>
          <w:iCs/>
          <w:sz w:val="22"/>
          <w:szCs w:val="22"/>
        </w:rPr>
        <w:t xml:space="preserve"> o</w:t>
      </w:r>
      <w:r w:rsidR="00636DDB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702</w:t>
      </w:r>
      <w:r w:rsidR="00636DDB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000</w:t>
      </w:r>
      <w:r w:rsidR="00636DDB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 xml:space="preserve">Kč a o stejnou částku podhodnotilo zůstatek účtu 315 – </w:t>
      </w:r>
      <w:r w:rsidRPr="00381DE9">
        <w:rPr>
          <w:rFonts w:ascii="Arial" w:hAnsi="Arial" w:cs="Arial"/>
          <w:bCs/>
          <w:i/>
          <w:iCs/>
          <w:sz w:val="22"/>
          <w:szCs w:val="22"/>
        </w:rPr>
        <w:t>Jiné pohledávky z hlavní činnosti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11722B" w:rsidRDefault="0011722B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2087F" w:rsidRPr="00C964C7" w:rsidRDefault="00B2087F" w:rsidP="00C964C7">
      <w:pPr>
        <w:pStyle w:val="Odstavecseseznamem"/>
        <w:numPr>
          <w:ilvl w:val="0"/>
          <w:numId w:val="23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C964C7">
        <w:rPr>
          <w:rFonts w:ascii="Arial" w:hAnsi="Arial" w:cs="Arial"/>
          <w:b/>
          <w:i/>
          <w:sz w:val="22"/>
          <w:szCs w:val="22"/>
        </w:rPr>
        <w:t>Odcizený automobil</w:t>
      </w:r>
    </w:p>
    <w:p w:rsidR="00B2087F" w:rsidRDefault="00B2087F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D7083" w:rsidRDefault="005D7083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Kontrolou předložených inventurních soupisů bylo zjištěno, že dne 22.</w:t>
      </w:r>
      <w:r w:rsidR="00B14269">
        <w:rPr>
          <w:rFonts w:ascii="Arial" w:hAnsi="Arial" w:cs="Arial"/>
          <w:bCs/>
          <w:iCs/>
          <w:sz w:val="22"/>
          <w:szCs w:val="22"/>
        </w:rPr>
        <w:t xml:space="preserve"> </w:t>
      </w:r>
      <w:r w:rsidR="001C3230">
        <w:rPr>
          <w:rFonts w:ascii="Arial" w:hAnsi="Arial" w:cs="Arial"/>
          <w:bCs/>
          <w:iCs/>
          <w:sz w:val="22"/>
          <w:szCs w:val="22"/>
        </w:rPr>
        <w:t>března</w:t>
      </w:r>
      <w:r>
        <w:rPr>
          <w:rFonts w:ascii="Arial" w:hAnsi="Arial" w:cs="Arial"/>
          <w:bCs/>
          <w:iCs/>
          <w:sz w:val="22"/>
          <w:szCs w:val="22"/>
        </w:rPr>
        <w:t xml:space="preserve"> 2013 došlo k odcizení služebního vozidla. MZe toto vozidlo nevyřadilo ze svého majetku a pokračovalo v jeho odpisování. V důsledku toho MZe ve výkazu rozvaha</w:t>
      </w:r>
      <w:r w:rsidR="00325FAC">
        <w:rPr>
          <w:rFonts w:ascii="Arial" w:hAnsi="Arial" w:cs="Arial"/>
          <w:bCs/>
          <w:iCs/>
          <w:sz w:val="22"/>
          <w:szCs w:val="22"/>
        </w:rPr>
        <w:t xml:space="preserve"> nadhodnotilo zůstatek účtu 022 </w:t>
      </w:r>
      <w:r>
        <w:rPr>
          <w:rFonts w:ascii="Arial" w:hAnsi="Arial" w:cs="Arial"/>
          <w:bCs/>
          <w:iCs/>
          <w:sz w:val="22"/>
          <w:szCs w:val="22"/>
        </w:rPr>
        <w:t xml:space="preserve">– </w:t>
      </w:r>
      <w:r w:rsidRPr="005D7083">
        <w:rPr>
          <w:rFonts w:ascii="Arial" w:hAnsi="Arial" w:cs="Arial"/>
          <w:bCs/>
          <w:i/>
          <w:iCs/>
          <w:sz w:val="22"/>
          <w:szCs w:val="22"/>
        </w:rPr>
        <w:t>Samostatné movité věci a soubory movitých věcí</w:t>
      </w:r>
      <w:r>
        <w:rPr>
          <w:rFonts w:ascii="Arial" w:hAnsi="Arial" w:cs="Arial"/>
          <w:bCs/>
          <w:iCs/>
          <w:sz w:val="22"/>
          <w:szCs w:val="22"/>
        </w:rPr>
        <w:t xml:space="preserve"> o 449 236 Kč a o stejnou částku</w:t>
      </w:r>
      <w:r w:rsidR="00B14269">
        <w:rPr>
          <w:rFonts w:ascii="Arial" w:hAnsi="Arial" w:cs="Arial"/>
          <w:bCs/>
          <w:iCs/>
          <w:sz w:val="22"/>
          <w:szCs w:val="22"/>
        </w:rPr>
        <w:t xml:space="preserve"> nadhodnotilo zůstatek účtu 493 – </w:t>
      </w:r>
      <w:r w:rsidRPr="005D7083">
        <w:rPr>
          <w:rFonts w:ascii="Arial" w:hAnsi="Arial" w:cs="Arial"/>
          <w:bCs/>
          <w:i/>
          <w:iCs/>
          <w:sz w:val="22"/>
          <w:szCs w:val="22"/>
        </w:rPr>
        <w:t>Výsledek hospodaření běžného účetního období</w:t>
      </w:r>
      <w:r>
        <w:rPr>
          <w:rFonts w:ascii="Arial" w:hAnsi="Arial" w:cs="Arial"/>
          <w:bCs/>
          <w:iCs/>
          <w:sz w:val="22"/>
          <w:szCs w:val="22"/>
        </w:rPr>
        <w:t xml:space="preserve">. Ve výkazu zisku a ztráty MZe nadhodnotilo zůstatek účtu 551 – </w:t>
      </w:r>
      <w:r w:rsidRPr="005D7083">
        <w:rPr>
          <w:rFonts w:ascii="Arial" w:hAnsi="Arial" w:cs="Arial"/>
          <w:bCs/>
          <w:i/>
          <w:iCs/>
          <w:sz w:val="22"/>
          <w:szCs w:val="22"/>
        </w:rPr>
        <w:t>Odpisy dlouhodobého majetku</w:t>
      </w:r>
      <w:r>
        <w:rPr>
          <w:rFonts w:ascii="Arial" w:hAnsi="Arial" w:cs="Arial"/>
          <w:bCs/>
          <w:iCs/>
          <w:sz w:val="22"/>
          <w:szCs w:val="22"/>
        </w:rPr>
        <w:t xml:space="preserve"> o</w:t>
      </w:r>
      <w:r w:rsidR="004379DF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 xml:space="preserve">22 152 Kč a podhodnotilo zůstatek účtu 547 – </w:t>
      </w:r>
      <w:r w:rsidRPr="005D7083">
        <w:rPr>
          <w:rFonts w:ascii="Arial" w:hAnsi="Arial" w:cs="Arial"/>
          <w:bCs/>
          <w:i/>
          <w:iCs/>
          <w:sz w:val="22"/>
          <w:szCs w:val="22"/>
        </w:rPr>
        <w:t>Manka a škody</w:t>
      </w:r>
      <w:r>
        <w:rPr>
          <w:rFonts w:ascii="Arial" w:hAnsi="Arial" w:cs="Arial"/>
          <w:bCs/>
          <w:iCs/>
          <w:sz w:val="22"/>
          <w:szCs w:val="22"/>
        </w:rPr>
        <w:t xml:space="preserve"> o 471 388 Kč.</w:t>
      </w:r>
    </w:p>
    <w:p w:rsidR="00A3395D" w:rsidRDefault="00A3395D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A3395D" w:rsidRPr="00325FAC" w:rsidRDefault="00A3395D" w:rsidP="00325FAC">
      <w:pPr>
        <w:pStyle w:val="Odstavecseseznamem"/>
        <w:numPr>
          <w:ilvl w:val="0"/>
          <w:numId w:val="24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>Drobný dlouhodobý majetek</w:t>
      </w:r>
    </w:p>
    <w:p w:rsidR="00C35020" w:rsidRDefault="00C35020" w:rsidP="00A3395D">
      <w:pPr>
        <w:jc w:val="both"/>
        <w:rPr>
          <w:rFonts w:ascii="Arial" w:hAnsi="Arial" w:cs="Arial"/>
          <w:iCs/>
          <w:sz w:val="22"/>
          <w:szCs w:val="22"/>
        </w:rPr>
      </w:pPr>
    </w:p>
    <w:p w:rsidR="008E01DB" w:rsidRDefault="00A3395D" w:rsidP="00A3395D">
      <w:pPr>
        <w:jc w:val="both"/>
        <w:rPr>
          <w:rFonts w:ascii="Arial" w:hAnsi="Arial" w:cs="Arial"/>
          <w:iCs/>
          <w:sz w:val="22"/>
          <w:szCs w:val="22"/>
        </w:rPr>
      </w:pPr>
      <w:r w:rsidRPr="00A3395D">
        <w:rPr>
          <w:rFonts w:ascii="Arial" w:hAnsi="Arial" w:cs="Arial"/>
          <w:iCs/>
          <w:sz w:val="22"/>
          <w:szCs w:val="22"/>
        </w:rPr>
        <w:t xml:space="preserve">MZe na položce </w:t>
      </w:r>
      <w:r w:rsidRPr="00A3395D">
        <w:rPr>
          <w:rFonts w:ascii="Arial" w:hAnsi="Arial" w:cs="Arial"/>
          <w:i/>
          <w:iCs/>
          <w:sz w:val="22"/>
          <w:szCs w:val="22"/>
        </w:rPr>
        <w:t>B.I. Výdaje na pořízení dlouhodobých aktiv</w:t>
      </w:r>
      <w:r w:rsidRPr="00A3395D">
        <w:rPr>
          <w:rFonts w:ascii="Arial" w:hAnsi="Arial" w:cs="Arial"/>
          <w:iCs/>
          <w:sz w:val="22"/>
          <w:szCs w:val="22"/>
        </w:rPr>
        <w:t xml:space="preserve"> v přehledu o peněžních tocích vykázalo i výdaje na pořízení drobného dlouhodobého majetku, které na ni dle obsahové náplně položky </w:t>
      </w:r>
      <w:r w:rsidRPr="00A3395D">
        <w:rPr>
          <w:rFonts w:ascii="Arial" w:hAnsi="Arial" w:cs="Arial"/>
          <w:i/>
          <w:iCs/>
          <w:sz w:val="22"/>
          <w:szCs w:val="22"/>
        </w:rPr>
        <w:t>B. Peněžní toky z dlouhodobých aktiv</w:t>
      </w:r>
      <w:r w:rsidRPr="00A3395D">
        <w:rPr>
          <w:rFonts w:ascii="Arial" w:hAnsi="Arial" w:cs="Arial"/>
          <w:iCs/>
          <w:sz w:val="22"/>
          <w:szCs w:val="22"/>
        </w:rPr>
        <w:t xml:space="preserve"> stanovené vyhláškou č. 410/2009 Sb. nepatří, neboť jsou vykázány v nákladech jako součást položky </w:t>
      </w:r>
      <w:r w:rsidRPr="00A3395D">
        <w:rPr>
          <w:rFonts w:ascii="Arial" w:hAnsi="Arial" w:cs="Arial"/>
          <w:i/>
          <w:iCs/>
          <w:sz w:val="22"/>
          <w:szCs w:val="22"/>
        </w:rPr>
        <w:t>Z. Výsledek hospodaření před zdaněním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A3395D">
        <w:rPr>
          <w:rFonts w:ascii="Arial" w:hAnsi="Arial" w:cs="Arial"/>
          <w:iCs/>
          <w:sz w:val="22"/>
          <w:szCs w:val="22"/>
        </w:rPr>
        <w:t xml:space="preserve"> V důsledku toho byla položka </w:t>
      </w:r>
      <w:r w:rsidRPr="00A3395D">
        <w:rPr>
          <w:rFonts w:ascii="Arial" w:hAnsi="Arial" w:cs="Arial"/>
          <w:i/>
          <w:iCs/>
          <w:sz w:val="22"/>
          <w:szCs w:val="22"/>
        </w:rPr>
        <w:t>B.I. Výdaje na pořízení dlouhodobých aktiv</w:t>
      </w:r>
      <w:r w:rsidRPr="00A3395D">
        <w:rPr>
          <w:rFonts w:ascii="Arial" w:hAnsi="Arial" w:cs="Arial"/>
          <w:iCs/>
          <w:sz w:val="22"/>
          <w:szCs w:val="22"/>
        </w:rPr>
        <w:t xml:space="preserve"> podhodnocena o 6 443 330,21 Kč</w:t>
      </w:r>
      <w:r>
        <w:rPr>
          <w:rFonts w:ascii="Arial" w:hAnsi="Arial" w:cs="Arial"/>
          <w:iCs/>
          <w:sz w:val="22"/>
          <w:szCs w:val="22"/>
        </w:rPr>
        <w:t xml:space="preserve"> a o</w:t>
      </w:r>
      <w:r w:rsidRPr="00A3395D">
        <w:rPr>
          <w:rFonts w:ascii="Arial" w:hAnsi="Arial" w:cs="Arial"/>
          <w:iCs/>
          <w:sz w:val="22"/>
          <w:szCs w:val="22"/>
        </w:rPr>
        <w:t xml:space="preserve"> stejnou částku byla nadhodnocena položka </w:t>
      </w:r>
      <w:r w:rsidRPr="00A3395D">
        <w:rPr>
          <w:rFonts w:ascii="Arial" w:hAnsi="Arial" w:cs="Arial"/>
          <w:i/>
          <w:iCs/>
          <w:sz w:val="22"/>
          <w:szCs w:val="22"/>
        </w:rPr>
        <w:t>A.I.6. Ostatní úpravy o nepeněžní operace</w:t>
      </w:r>
      <w:r w:rsidRPr="00A3395D">
        <w:rPr>
          <w:rFonts w:ascii="Arial" w:hAnsi="Arial" w:cs="Arial"/>
          <w:iCs/>
          <w:sz w:val="22"/>
          <w:szCs w:val="22"/>
        </w:rPr>
        <w:t>.</w:t>
      </w:r>
    </w:p>
    <w:p w:rsidR="00355F91" w:rsidRPr="00A3395D" w:rsidRDefault="00355F91" w:rsidP="00A3395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11722B" w:rsidRDefault="005D7083" w:rsidP="005237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D7083">
        <w:rPr>
          <w:rFonts w:ascii="Arial" w:hAnsi="Arial" w:cs="Arial"/>
          <w:b/>
          <w:bCs/>
          <w:iCs/>
          <w:sz w:val="22"/>
          <w:szCs w:val="22"/>
        </w:rPr>
        <w:t>2. Finanční výkazy MZe za rok 2013</w:t>
      </w:r>
    </w:p>
    <w:p w:rsidR="005D7083" w:rsidRPr="005D7083" w:rsidRDefault="005D7083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D7083" w:rsidRPr="005D7083" w:rsidRDefault="006E00CE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 průběhu kontroly byl prověřován také výkaz pro hodnocení plnění rozpočtu správců kapitol, organizačních složek státu a státních fondů (dále také „výkaz pro hodnocení plnění rozpočtu“).</w:t>
      </w:r>
    </w:p>
    <w:p w:rsidR="00B75E61" w:rsidRDefault="00B75E61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6E00CE" w:rsidRPr="000D57B1" w:rsidRDefault="006E00CE" w:rsidP="006E00CE">
      <w:pPr>
        <w:tabs>
          <w:tab w:val="left" w:pos="8364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57B1">
        <w:rPr>
          <w:rFonts w:ascii="Arial" w:hAnsi="Arial" w:cs="Arial"/>
          <w:b/>
          <w:sz w:val="22"/>
          <w:szCs w:val="22"/>
        </w:rPr>
        <w:t xml:space="preserve">Tabulka č. 5 – Údaje </w:t>
      </w:r>
      <w:r>
        <w:rPr>
          <w:rFonts w:ascii="Arial" w:hAnsi="Arial" w:cs="Arial"/>
          <w:b/>
          <w:sz w:val="22"/>
          <w:szCs w:val="22"/>
        </w:rPr>
        <w:t>z </w:t>
      </w:r>
      <w:r w:rsidRPr="000D57B1">
        <w:rPr>
          <w:rFonts w:ascii="Arial" w:hAnsi="Arial" w:cs="Arial"/>
          <w:b/>
          <w:sz w:val="22"/>
          <w:szCs w:val="22"/>
        </w:rPr>
        <w:t>výkazu pro hodnocení plnění rozpočtu za rok</w:t>
      </w:r>
      <w:r>
        <w:rPr>
          <w:rFonts w:ascii="Arial" w:hAnsi="Arial" w:cs="Arial"/>
          <w:b/>
          <w:sz w:val="22"/>
          <w:szCs w:val="22"/>
        </w:rPr>
        <w:t xml:space="preserve"> 2013</w:t>
      </w:r>
      <w:r w:rsidRPr="000D57B1">
        <w:rPr>
          <w:rFonts w:ascii="Arial" w:hAnsi="Arial" w:cs="Arial"/>
          <w:b/>
          <w:sz w:val="22"/>
          <w:szCs w:val="22"/>
        </w:rPr>
        <w:t xml:space="preserve"> </w:t>
      </w:r>
      <w:r w:rsidRPr="000D57B1">
        <w:rPr>
          <w:rFonts w:ascii="Arial" w:hAnsi="Arial" w:cs="Arial"/>
          <w:b/>
          <w:sz w:val="22"/>
          <w:szCs w:val="22"/>
        </w:rPr>
        <w:tab/>
      </w:r>
      <w:r w:rsidRPr="000D57B1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v </w:t>
      </w:r>
      <w:r w:rsidRPr="000D57B1">
        <w:rPr>
          <w:rFonts w:ascii="Arial" w:hAnsi="Arial" w:cs="Arial"/>
          <w:b/>
          <w:bCs/>
          <w:sz w:val="22"/>
          <w:szCs w:val="22"/>
        </w:rPr>
        <w:t>Kč)</w:t>
      </w:r>
    </w:p>
    <w:tbl>
      <w:tblPr>
        <w:tblW w:w="9007" w:type="dxa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2344"/>
        <w:gridCol w:w="2138"/>
        <w:gridCol w:w="2539"/>
      </w:tblGrid>
      <w:tr w:rsidR="006E00CE" w:rsidRPr="0015047E" w:rsidTr="006E00CE">
        <w:trPr>
          <w:cantSplit/>
          <w:trHeight w:val="283"/>
          <w:jc w:val="center"/>
        </w:trPr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0CE" w:rsidRPr="00325FAC" w:rsidRDefault="006E00CE" w:rsidP="00F42D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5FA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Rozpočtové příjmy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0CE" w:rsidRPr="00325FAC" w:rsidRDefault="006E00CE" w:rsidP="00F42D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5FA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Rozpočtové výdaje</w:t>
            </w:r>
          </w:p>
        </w:tc>
      </w:tr>
      <w:tr w:rsidR="006E00CE" w:rsidRPr="0015047E" w:rsidTr="006E00CE">
        <w:trPr>
          <w:cantSplit/>
          <w:trHeight w:val="283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0CE" w:rsidRPr="00325FAC" w:rsidRDefault="006E00CE" w:rsidP="00F42D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5FA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Rozpočet</w:t>
            </w:r>
            <w:r w:rsidRPr="00325FA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po změnách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0CE" w:rsidRPr="00325FAC" w:rsidRDefault="006E00CE" w:rsidP="00F42D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5FA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Výsledek </w:t>
            </w:r>
            <w:r w:rsidRPr="00325FA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od počátku roku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0CE" w:rsidRPr="00325FAC" w:rsidRDefault="006E00CE" w:rsidP="00F42D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5FA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Konečný rozpočet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00CE" w:rsidRPr="00325FAC" w:rsidRDefault="006E00CE" w:rsidP="00F42D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5FA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Výsledek </w:t>
            </w:r>
            <w:r w:rsidRPr="00325FA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od počátku roku</w:t>
            </w:r>
          </w:p>
        </w:tc>
      </w:tr>
      <w:tr w:rsidR="006E00CE" w:rsidRPr="0015047E" w:rsidTr="00F42D18">
        <w:trPr>
          <w:cantSplit/>
          <w:trHeight w:val="283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CE" w:rsidRPr="00325FAC" w:rsidRDefault="006E00CE" w:rsidP="00325FAC">
            <w:pPr>
              <w:tabs>
                <w:tab w:val="left" w:pos="1714"/>
              </w:tabs>
              <w:ind w:right="104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highlight w:val="green"/>
              </w:rPr>
            </w:pPr>
            <w:r w:rsidRPr="00325FAC">
              <w:rPr>
                <w:rFonts w:ascii="Arial" w:hAnsi="Arial" w:cs="Arial"/>
                <w:color w:val="000000" w:themeColor="text1"/>
                <w:sz w:val="18"/>
                <w:szCs w:val="18"/>
              </w:rPr>
              <w:t>32 978 108 000,00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CE" w:rsidRPr="00325FAC" w:rsidRDefault="006E00CE" w:rsidP="00325FAC">
            <w:pPr>
              <w:tabs>
                <w:tab w:val="left" w:pos="1714"/>
              </w:tabs>
              <w:ind w:right="104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highlight w:val="green"/>
              </w:rPr>
            </w:pPr>
            <w:r w:rsidRPr="00325FAC">
              <w:rPr>
                <w:rFonts w:ascii="Arial" w:hAnsi="Arial" w:cs="Arial"/>
                <w:color w:val="000000" w:themeColor="text1"/>
                <w:sz w:val="18"/>
                <w:szCs w:val="18"/>
              </w:rPr>
              <w:t>39 406 260 070,60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CE" w:rsidRPr="00325FAC" w:rsidRDefault="006E00CE" w:rsidP="00325FAC">
            <w:pPr>
              <w:tabs>
                <w:tab w:val="left" w:pos="1714"/>
              </w:tabs>
              <w:ind w:right="104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5FAC">
              <w:rPr>
                <w:rFonts w:ascii="Arial" w:hAnsi="Arial" w:cs="Arial"/>
                <w:color w:val="000000" w:themeColor="text1"/>
                <w:sz w:val="18"/>
                <w:szCs w:val="18"/>
              </w:rPr>
              <w:t>58 103 247 954,68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CE" w:rsidRPr="00325FAC" w:rsidRDefault="006E00CE" w:rsidP="00325FAC">
            <w:pPr>
              <w:tabs>
                <w:tab w:val="left" w:pos="1714"/>
              </w:tabs>
              <w:ind w:right="104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5FAC">
              <w:rPr>
                <w:rFonts w:ascii="Arial" w:hAnsi="Arial" w:cs="Arial"/>
                <w:color w:val="000000" w:themeColor="text1"/>
                <w:sz w:val="18"/>
                <w:szCs w:val="18"/>
                <w:lang w:eastAsia="cs-CZ"/>
              </w:rPr>
              <w:t>47 998 526 901,54</w:t>
            </w:r>
          </w:p>
        </w:tc>
      </w:tr>
    </w:tbl>
    <w:p w:rsidR="006E00CE" w:rsidRPr="000D57B1" w:rsidRDefault="006E00CE" w:rsidP="006E00CE">
      <w:pPr>
        <w:spacing w:before="40"/>
        <w:rPr>
          <w:rFonts w:ascii="Arial" w:hAnsi="Arial" w:cs="Arial"/>
          <w:sz w:val="18"/>
          <w:szCs w:val="18"/>
          <w:lang w:eastAsia="cs-CZ"/>
        </w:rPr>
      </w:pPr>
      <w:r w:rsidRPr="000D57B1">
        <w:rPr>
          <w:rFonts w:ascii="Arial" w:hAnsi="Arial" w:cs="Arial"/>
          <w:b/>
          <w:sz w:val="18"/>
          <w:szCs w:val="18"/>
          <w:lang w:eastAsia="cs-CZ"/>
        </w:rPr>
        <w:t>Zdroj:</w:t>
      </w:r>
      <w:r w:rsidRPr="000D57B1">
        <w:rPr>
          <w:rFonts w:ascii="Arial" w:hAnsi="Arial" w:cs="Arial"/>
          <w:sz w:val="18"/>
          <w:szCs w:val="18"/>
          <w:lang w:eastAsia="cs-CZ"/>
        </w:rPr>
        <w:t xml:space="preserve"> </w:t>
      </w:r>
      <w:r w:rsidR="00C35020">
        <w:rPr>
          <w:rFonts w:ascii="Arial" w:hAnsi="Arial" w:cs="Arial"/>
          <w:sz w:val="18"/>
          <w:szCs w:val="18"/>
          <w:lang w:eastAsia="cs-CZ"/>
        </w:rPr>
        <w:t>v</w:t>
      </w:r>
      <w:r w:rsidRPr="000D57B1">
        <w:rPr>
          <w:rFonts w:ascii="Arial" w:hAnsi="Arial" w:cs="Arial"/>
          <w:sz w:val="18"/>
          <w:szCs w:val="18"/>
          <w:lang w:eastAsia="cs-CZ"/>
        </w:rPr>
        <w:t>ýkaz pro hodnocení plnění rozpočtu</w:t>
      </w:r>
      <w:r>
        <w:rPr>
          <w:rFonts w:ascii="Arial" w:hAnsi="Arial" w:cs="Arial"/>
          <w:sz w:val="18"/>
          <w:szCs w:val="18"/>
          <w:lang w:eastAsia="cs-CZ"/>
        </w:rPr>
        <w:t xml:space="preserve"> MZe</w:t>
      </w:r>
      <w:r w:rsidRPr="000D57B1">
        <w:rPr>
          <w:rFonts w:ascii="Arial" w:hAnsi="Arial" w:cs="Arial"/>
          <w:sz w:val="18"/>
          <w:szCs w:val="18"/>
          <w:lang w:eastAsia="cs-CZ"/>
        </w:rPr>
        <w:t xml:space="preserve"> za rok 201</w:t>
      </w:r>
      <w:r>
        <w:rPr>
          <w:rFonts w:ascii="Arial" w:hAnsi="Arial" w:cs="Arial"/>
          <w:sz w:val="18"/>
          <w:szCs w:val="18"/>
          <w:lang w:eastAsia="cs-CZ"/>
        </w:rPr>
        <w:t>3</w:t>
      </w:r>
      <w:r w:rsidRPr="000D57B1">
        <w:rPr>
          <w:rFonts w:ascii="Arial" w:hAnsi="Arial" w:cs="Arial"/>
          <w:sz w:val="18"/>
          <w:szCs w:val="18"/>
          <w:lang w:eastAsia="cs-CZ"/>
        </w:rPr>
        <w:t>.</w:t>
      </w:r>
    </w:p>
    <w:p w:rsidR="006E00CE" w:rsidRDefault="006E00CE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6E00CE" w:rsidRPr="00762CA8" w:rsidRDefault="006E00CE" w:rsidP="006E00CE">
      <w:pPr>
        <w:pStyle w:val="NormlnKZ"/>
        <w:spacing w:after="0"/>
        <w:ind w:firstLine="0"/>
        <w:rPr>
          <w:rFonts w:ascii="Arial" w:hAnsi="Arial" w:cs="Arial"/>
          <w:b/>
          <w:szCs w:val="22"/>
        </w:rPr>
      </w:pPr>
      <w:r w:rsidRPr="00762CA8">
        <w:rPr>
          <w:rFonts w:ascii="Arial" w:hAnsi="Arial" w:cs="Arial"/>
          <w:b/>
          <w:szCs w:val="22"/>
        </w:rPr>
        <w:t xml:space="preserve">2.1 Regulace účinná </w:t>
      </w:r>
      <w:r>
        <w:rPr>
          <w:rFonts w:ascii="Arial" w:hAnsi="Arial" w:cs="Arial"/>
          <w:b/>
          <w:szCs w:val="22"/>
        </w:rPr>
        <w:t>v </w:t>
      </w:r>
      <w:r w:rsidRPr="00762CA8">
        <w:rPr>
          <w:rFonts w:ascii="Arial" w:hAnsi="Arial" w:cs="Arial"/>
          <w:b/>
          <w:szCs w:val="22"/>
        </w:rPr>
        <w:t>roce 201</w:t>
      </w:r>
      <w:r>
        <w:rPr>
          <w:rFonts w:ascii="Arial" w:hAnsi="Arial" w:cs="Arial"/>
          <w:b/>
          <w:szCs w:val="22"/>
        </w:rPr>
        <w:t>3</w:t>
      </w:r>
      <w:r w:rsidRPr="00762CA8">
        <w:rPr>
          <w:rFonts w:ascii="Arial" w:hAnsi="Arial" w:cs="Arial"/>
          <w:b/>
          <w:szCs w:val="22"/>
        </w:rPr>
        <w:t xml:space="preserve"> pro oblast finančního výkaznictví OSS</w:t>
      </w:r>
    </w:p>
    <w:p w:rsidR="006E00CE" w:rsidRPr="0015047E" w:rsidRDefault="006E00CE" w:rsidP="006E00CE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6E00CE" w:rsidRPr="00CD4A1C" w:rsidRDefault="006E00CE" w:rsidP="006E00CE">
      <w:pPr>
        <w:jc w:val="both"/>
        <w:rPr>
          <w:rFonts w:ascii="Arial" w:hAnsi="Arial" w:cs="Arial"/>
          <w:bCs/>
          <w:sz w:val="22"/>
          <w:szCs w:val="22"/>
        </w:rPr>
      </w:pPr>
      <w:r w:rsidRPr="00762CA8">
        <w:rPr>
          <w:rFonts w:ascii="Arial" w:hAnsi="Arial" w:cs="Arial"/>
          <w:sz w:val="22"/>
          <w:szCs w:val="22"/>
        </w:rPr>
        <w:t xml:space="preserve">Finanční výkazy byly </w:t>
      </w:r>
      <w:r>
        <w:rPr>
          <w:rFonts w:ascii="Arial" w:hAnsi="Arial" w:cs="Arial"/>
          <w:sz w:val="22"/>
          <w:szCs w:val="22"/>
        </w:rPr>
        <w:t>v </w:t>
      </w:r>
      <w:r w:rsidRPr="00762CA8">
        <w:rPr>
          <w:rFonts w:ascii="Arial" w:hAnsi="Arial" w:cs="Arial"/>
          <w:sz w:val="22"/>
          <w:szCs w:val="22"/>
        </w:rPr>
        <w:t>roce 201</w:t>
      </w:r>
      <w:r>
        <w:rPr>
          <w:rFonts w:ascii="Arial" w:hAnsi="Arial" w:cs="Arial"/>
          <w:sz w:val="22"/>
          <w:szCs w:val="22"/>
        </w:rPr>
        <w:t>3</w:t>
      </w:r>
      <w:r w:rsidRPr="00762CA8">
        <w:rPr>
          <w:rFonts w:ascii="Arial" w:hAnsi="Arial" w:cs="Arial"/>
          <w:sz w:val="22"/>
          <w:szCs w:val="22"/>
        </w:rPr>
        <w:t xml:space="preserve"> upraveny zejména zákonem č. 218/2000 Sb., o rozpočtových pravidlech a o změně některých souvisejících zákonů (rozpočtová pravidla), vyhláškou č. 323/2002 Sb., o rozpočtové skladbě</w:t>
      </w:r>
      <w:r>
        <w:rPr>
          <w:rFonts w:ascii="Arial" w:hAnsi="Arial" w:cs="Arial"/>
          <w:sz w:val="22"/>
          <w:szCs w:val="22"/>
        </w:rPr>
        <w:t>,</w:t>
      </w:r>
      <w:r w:rsidRPr="00762CA8">
        <w:rPr>
          <w:rFonts w:ascii="Arial" w:hAnsi="Arial" w:cs="Arial"/>
          <w:sz w:val="22"/>
          <w:szCs w:val="22"/>
        </w:rPr>
        <w:t xml:space="preserve"> a vyhláškou č. 449/2009 Sb., o způsobu, termínech a rozsahu údajů předkládaných pro hodnocení plnění státního rozpočtu, rozpočtů státních fondů, rozpočtů územních samosprávn</w:t>
      </w:r>
      <w:r>
        <w:rPr>
          <w:rFonts w:ascii="Arial" w:hAnsi="Arial" w:cs="Arial"/>
          <w:sz w:val="22"/>
          <w:szCs w:val="22"/>
        </w:rPr>
        <w:t>ý</w:t>
      </w:r>
      <w:r w:rsidRPr="00762CA8">
        <w:rPr>
          <w:rFonts w:ascii="Arial" w:hAnsi="Arial" w:cs="Arial"/>
          <w:sz w:val="22"/>
          <w:szCs w:val="22"/>
        </w:rPr>
        <w:t xml:space="preserve">ch celků, rozpočtů dobrovolných svazků obcí a rozpočtů </w:t>
      </w:r>
      <w:r w:rsidR="00BD229E">
        <w:rPr>
          <w:rFonts w:ascii="Arial" w:hAnsi="Arial" w:cs="Arial"/>
          <w:sz w:val="22"/>
          <w:szCs w:val="22"/>
        </w:rPr>
        <w:t>R</w:t>
      </w:r>
      <w:r w:rsidRPr="00762CA8">
        <w:rPr>
          <w:rFonts w:ascii="Arial" w:hAnsi="Arial" w:cs="Arial"/>
          <w:sz w:val="22"/>
          <w:szCs w:val="22"/>
        </w:rPr>
        <w:t xml:space="preserve">egionálních rad regionů soudržnosti. </w:t>
      </w:r>
    </w:p>
    <w:p w:rsidR="006E00CE" w:rsidRPr="0015047E" w:rsidRDefault="006E00CE" w:rsidP="006E00CE">
      <w:pPr>
        <w:pStyle w:val="NormlnKZ"/>
        <w:spacing w:after="0"/>
        <w:ind w:firstLine="0"/>
        <w:rPr>
          <w:rFonts w:ascii="Arial" w:hAnsi="Arial" w:cs="Arial"/>
          <w:szCs w:val="22"/>
          <w:highlight w:val="green"/>
        </w:rPr>
      </w:pPr>
    </w:p>
    <w:p w:rsidR="006E00CE" w:rsidRPr="000D57B1" w:rsidRDefault="006E00CE" w:rsidP="006E00CE">
      <w:pPr>
        <w:pStyle w:val="NormlnKZ"/>
        <w:spacing w:after="0"/>
        <w:ind w:firstLine="0"/>
        <w:rPr>
          <w:rFonts w:ascii="Arial" w:hAnsi="Arial" w:cs="Arial"/>
          <w:b/>
          <w:szCs w:val="22"/>
        </w:rPr>
      </w:pPr>
      <w:r w:rsidRPr="000D57B1">
        <w:rPr>
          <w:rFonts w:ascii="Arial" w:hAnsi="Arial" w:cs="Arial"/>
          <w:b/>
          <w:szCs w:val="22"/>
        </w:rPr>
        <w:lastRenderedPageBreak/>
        <w:t>2.2 Nesprávnosti ve výkazu pro hodnocení plnění rozpočtu</w:t>
      </w:r>
    </w:p>
    <w:p w:rsidR="006E00CE" w:rsidRDefault="006E00CE" w:rsidP="006E00C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6E00CE" w:rsidRDefault="006E00CE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E00CE">
        <w:rPr>
          <w:rFonts w:ascii="Arial" w:hAnsi="Arial" w:cs="Arial"/>
          <w:bCs/>
          <w:iCs/>
          <w:sz w:val="22"/>
          <w:szCs w:val="22"/>
        </w:rPr>
        <w:t>Ve výkazu pro hodnocení plnění rozpočtu byly identifikovány nesprávnosti dle jednotlivých položek rozpočtové skladby</w:t>
      </w:r>
      <w:r w:rsidR="008520AD">
        <w:rPr>
          <w:rFonts w:ascii="Arial" w:hAnsi="Arial" w:cs="Arial"/>
          <w:bCs/>
          <w:iCs/>
          <w:sz w:val="22"/>
          <w:szCs w:val="22"/>
        </w:rPr>
        <w:t>.</w:t>
      </w:r>
      <w:r w:rsidR="00B72DDA">
        <w:rPr>
          <w:rFonts w:ascii="Arial" w:hAnsi="Arial" w:cs="Arial"/>
          <w:bCs/>
          <w:iCs/>
          <w:sz w:val="22"/>
          <w:szCs w:val="22"/>
        </w:rPr>
        <w:t xml:space="preserve"> C</w:t>
      </w:r>
      <w:r w:rsidRPr="006E00CE">
        <w:rPr>
          <w:rFonts w:ascii="Arial" w:hAnsi="Arial" w:cs="Arial"/>
          <w:bCs/>
          <w:iCs/>
          <w:sz w:val="22"/>
          <w:szCs w:val="22"/>
        </w:rPr>
        <w:t>elková nesprávnost</w:t>
      </w:r>
      <w:r w:rsidR="00B72DDA">
        <w:rPr>
          <w:rFonts w:ascii="Arial" w:hAnsi="Arial" w:cs="Arial"/>
          <w:bCs/>
          <w:iCs/>
          <w:sz w:val="22"/>
          <w:szCs w:val="22"/>
        </w:rPr>
        <w:t xml:space="preserve"> byla zjištěna</w:t>
      </w:r>
      <w:r w:rsidRPr="006E00CE">
        <w:rPr>
          <w:rFonts w:ascii="Arial" w:hAnsi="Arial" w:cs="Arial"/>
          <w:bCs/>
          <w:iCs/>
          <w:sz w:val="22"/>
          <w:szCs w:val="22"/>
        </w:rPr>
        <w:t xml:space="preserve"> ve výši </w:t>
      </w:r>
      <w:r w:rsidR="00053C40">
        <w:rPr>
          <w:rFonts w:ascii="Arial" w:hAnsi="Arial" w:cs="Arial"/>
          <w:bCs/>
          <w:iCs/>
          <w:sz w:val="22"/>
          <w:szCs w:val="22"/>
        </w:rPr>
        <w:t>66 136 572,22 Kč.</w:t>
      </w:r>
      <w:r w:rsidRPr="006E00CE">
        <w:rPr>
          <w:rFonts w:ascii="Arial" w:hAnsi="Arial" w:cs="Arial"/>
          <w:bCs/>
          <w:iCs/>
          <w:sz w:val="22"/>
          <w:szCs w:val="22"/>
        </w:rPr>
        <w:t xml:space="preserve"> </w:t>
      </w:r>
      <w:r w:rsidR="00A22C08">
        <w:rPr>
          <w:rFonts w:ascii="Arial" w:hAnsi="Arial" w:cs="Arial"/>
          <w:bCs/>
          <w:iCs/>
          <w:sz w:val="22"/>
          <w:szCs w:val="22"/>
        </w:rPr>
        <w:t>Nedostatky byly zjištěny například v následujících případech.</w:t>
      </w:r>
    </w:p>
    <w:p w:rsidR="008E01DB" w:rsidRDefault="008E01DB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8E01DB" w:rsidRPr="00325FAC" w:rsidRDefault="008E01DB" w:rsidP="00325FAC">
      <w:pPr>
        <w:pStyle w:val="Odstavecseseznamem"/>
        <w:numPr>
          <w:ilvl w:val="0"/>
          <w:numId w:val="25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>Opravy a udržování</w:t>
      </w:r>
    </w:p>
    <w:p w:rsidR="008E01DB" w:rsidRDefault="008E01DB" w:rsidP="008E01D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8E01DB" w:rsidRDefault="008E01DB" w:rsidP="008E01DB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MZe výdaje na pořízení služeb vztahujících se k informačním systémům v celkové výši 61 409 269,06 Kč </w:t>
      </w:r>
      <w:r w:rsidR="00B72DDA">
        <w:rPr>
          <w:rFonts w:ascii="Arial" w:hAnsi="Arial" w:cs="Arial"/>
          <w:bCs/>
          <w:iCs/>
          <w:sz w:val="22"/>
          <w:szCs w:val="22"/>
        </w:rPr>
        <w:t xml:space="preserve">vykázalo </w:t>
      </w:r>
      <w:r>
        <w:rPr>
          <w:rFonts w:ascii="Arial" w:hAnsi="Arial" w:cs="Arial"/>
          <w:bCs/>
          <w:iCs/>
          <w:sz w:val="22"/>
          <w:szCs w:val="22"/>
        </w:rPr>
        <w:t xml:space="preserve">nesprávně na rozpočtové položce 5171 – </w:t>
      </w:r>
      <w:r w:rsidRPr="00911642">
        <w:rPr>
          <w:rFonts w:ascii="Arial" w:hAnsi="Arial" w:cs="Arial"/>
          <w:bCs/>
          <w:i/>
          <w:iCs/>
          <w:sz w:val="22"/>
          <w:szCs w:val="22"/>
        </w:rPr>
        <w:t>Opravy a udržování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="00B72DDA">
        <w:rPr>
          <w:rFonts w:ascii="Arial" w:hAnsi="Arial" w:cs="Arial"/>
          <w:bCs/>
          <w:iCs/>
          <w:sz w:val="22"/>
          <w:szCs w:val="22"/>
        </w:rPr>
        <w:t>V</w:t>
      </w:r>
      <w:r>
        <w:rPr>
          <w:rFonts w:ascii="Arial" w:hAnsi="Arial" w:cs="Arial"/>
          <w:bCs/>
          <w:iCs/>
          <w:sz w:val="22"/>
          <w:szCs w:val="22"/>
        </w:rPr>
        <w:t>ýdaje</w:t>
      </w:r>
      <w:r w:rsidR="00B72DDA">
        <w:rPr>
          <w:rFonts w:ascii="Arial" w:hAnsi="Arial" w:cs="Arial"/>
          <w:bCs/>
          <w:iCs/>
          <w:sz w:val="22"/>
          <w:szCs w:val="22"/>
        </w:rPr>
        <w:t xml:space="preserve"> ale nesplňují</w:t>
      </w:r>
      <w:r>
        <w:rPr>
          <w:rFonts w:ascii="Arial" w:hAnsi="Arial" w:cs="Arial"/>
          <w:bCs/>
          <w:iCs/>
          <w:sz w:val="22"/>
          <w:szCs w:val="22"/>
        </w:rPr>
        <w:t xml:space="preserve"> obsahové vymezení </w:t>
      </w:r>
      <w:r w:rsidR="00B72DDA">
        <w:rPr>
          <w:rFonts w:ascii="Arial" w:hAnsi="Arial" w:cs="Arial"/>
          <w:bCs/>
          <w:iCs/>
          <w:sz w:val="22"/>
          <w:szCs w:val="22"/>
        </w:rPr>
        <w:t xml:space="preserve">této </w:t>
      </w:r>
      <w:r>
        <w:rPr>
          <w:rFonts w:ascii="Arial" w:hAnsi="Arial" w:cs="Arial"/>
          <w:bCs/>
          <w:iCs/>
          <w:sz w:val="22"/>
          <w:szCs w:val="22"/>
        </w:rPr>
        <w:t xml:space="preserve">rozpočtové položky </w:t>
      </w:r>
      <w:r w:rsidR="00B72DDA">
        <w:rPr>
          <w:rFonts w:ascii="Arial" w:hAnsi="Arial" w:cs="Arial"/>
          <w:bCs/>
          <w:iCs/>
          <w:sz w:val="22"/>
          <w:szCs w:val="22"/>
        </w:rPr>
        <w:t>a</w:t>
      </w:r>
      <w:r>
        <w:rPr>
          <w:rFonts w:ascii="Arial" w:hAnsi="Arial" w:cs="Arial"/>
          <w:bCs/>
          <w:iCs/>
          <w:sz w:val="22"/>
          <w:szCs w:val="22"/>
        </w:rPr>
        <w:t xml:space="preserve"> měly být </w:t>
      </w:r>
      <w:r w:rsidR="00B72DDA">
        <w:rPr>
          <w:rFonts w:ascii="Arial" w:hAnsi="Arial" w:cs="Arial"/>
          <w:bCs/>
          <w:iCs/>
          <w:sz w:val="22"/>
          <w:szCs w:val="22"/>
        </w:rPr>
        <w:t>vykázány na</w:t>
      </w:r>
      <w:r>
        <w:rPr>
          <w:rFonts w:ascii="Arial" w:hAnsi="Arial" w:cs="Arial"/>
          <w:bCs/>
          <w:iCs/>
          <w:sz w:val="22"/>
          <w:szCs w:val="22"/>
        </w:rPr>
        <w:t xml:space="preserve"> rozpočtov</w:t>
      </w:r>
      <w:r w:rsidR="00B72DDA">
        <w:rPr>
          <w:rFonts w:ascii="Arial" w:hAnsi="Arial" w:cs="Arial"/>
          <w:bCs/>
          <w:iCs/>
          <w:sz w:val="22"/>
          <w:szCs w:val="22"/>
        </w:rPr>
        <w:t>é</w:t>
      </w:r>
      <w:r>
        <w:rPr>
          <w:rFonts w:ascii="Arial" w:hAnsi="Arial" w:cs="Arial"/>
          <w:bCs/>
          <w:iCs/>
          <w:sz w:val="22"/>
          <w:szCs w:val="22"/>
        </w:rPr>
        <w:t xml:space="preserve"> polož</w:t>
      </w:r>
      <w:r w:rsidR="00B72DDA">
        <w:rPr>
          <w:rFonts w:ascii="Arial" w:hAnsi="Arial" w:cs="Arial"/>
          <w:bCs/>
          <w:iCs/>
          <w:sz w:val="22"/>
          <w:szCs w:val="22"/>
        </w:rPr>
        <w:t>ce</w:t>
      </w:r>
      <w:r>
        <w:rPr>
          <w:rFonts w:ascii="Arial" w:hAnsi="Arial" w:cs="Arial"/>
          <w:bCs/>
          <w:iCs/>
          <w:sz w:val="22"/>
          <w:szCs w:val="22"/>
        </w:rPr>
        <w:t xml:space="preserve"> 5169 – </w:t>
      </w:r>
      <w:r w:rsidRPr="00911642">
        <w:rPr>
          <w:rFonts w:ascii="Arial" w:hAnsi="Arial" w:cs="Arial"/>
          <w:bCs/>
          <w:i/>
          <w:iCs/>
          <w:sz w:val="22"/>
          <w:szCs w:val="22"/>
        </w:rPr>
        <w:t>Nákup ostatních služeb.</w:t>
      </w:r>
    </w:p>
    <w:p w:rsidR="006D4720" w:rsidRDefault="006D4720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6D4720" w:rsidRPr="00325FAC" w:rsidRDefault="006D4720" w:rsidP="00325FAC">
      <w:pPr>
        <w:pStyle w:val="Odstavecseseznamem"/>
        <w:numPr>
          <w:ilvl w:val="0"/>
          <w:numId w:val="26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>Podpůrné služby</w:t>
      </w:r>
    </w:p>
    <w:p w:rsidR="006D4720" w:rsidRDefault="006D4720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6D4720" w:rsidRPr="00325FAC" w:rsidRDefault="006D4720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MZe ve výdajích</w:t>
      </w:r>
      <w:r w:rsidR="00A36BAB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nesprávně na rozpočtové položce 5166 – </w:t>
      </w:r>
      <w:r w:rsidRPr="006D4720">
        <w:rPr>
          <w:rFonts w:ascii="Arial" w:hAnsi="Arial" w:cs="Arial"/>
          <w:bCs/>
          <w:i/>
          <w:iCs/>
          <w:sz w:val="22"/>
          <w:szCs w:val="22"/>
        </w:rPr>
        <w:t>Konzultační, poradenské a právní služby</w:t>
      </w:r>
      <w:r w:rsidR="008520A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8520AD" w:rsidRPr="008520AD">
        <w:rPr>
          <w:rFonts w:ascii="Arial" w:hAnsi="Arial" w:cs="Arial"/>
          <w:bCs/>
          <w:iCs/>
          <w:sz w:val="22"/>
          <w:szCs w:val="22"/>
        </w:rPr>
        <w:t>vykázalo</w:t>
      </w:r>
      <w:r w:rsidR="008520A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různé služby v celkové výši 4 352 382,18 Kč. Jednalo se například o služby zajištění chodu podatelny, koordinace rozvoje registrů či podporu projektového řízení. Tyto výdaje nesplňovaly obsahové vymezení rozpočtové položky 5166 – </w:t>
      </w:r>
      <w:r w:rsidRPr="006D4720">
        <w:rPr>
          <w:rFonts w:ascii="Arial" w:hAnsi="Arial" w:cs="Arial"/>
          <w:bCs/>
          <w:i/>
          <w:iCs/>
          <w:sz w:val="22"/>
          <w:szCs w:val="22"/>
        </w:rPr>
        <w:t>Konzultační, poradenské a právní služby</w:t>
      </w:r>
      <w:r w:rsidR="00A36BAB">
        <w:rPr>
          <w:rFonts w:ascii="Arial" w:hAnsi="Arial" w:cs="Arial"/>
          <w:bCs/>
          <w:iCs/>
          <w:sz w:val="22"/>
          <w:szCs w:val="22"/>
        </w:rPr>
        <w:t xml:space="preserve"> a měly být vykázány na</w:t>
      </w:r>
      <w:r w:rsidR="00911642">
        <w:rPr>
          <w:rFonts w:ascii="Arial" w:hAnsi="Arial" w:cs="Arial"/>
          <w:bCs/>
          <w:iCs/>
          <w:sz w:val="22"/>
          <w:szCs w:val="22"/>
        </w:rPr>
        <w:t xml:space="preserve"> rozpočtov</w:t>
      </w:r>
      <w:r w:rsidR="00A36BAB">
        <w:rPr>
          <w:rFonts w:ascii="Arial" w:hAnsi="Arial" w:cs="Arial"/>
          <w:bCs/>
          <w:iCs/>
          <w:sz w:val="22"/>
          <w:szCs w:val="22"/>
        </w:rPr>
        <w:t>é</w:t>
      </w:r>
      <w:r w:rsidR="00911642">
        <w:rPr>
          <w:rFonts w:ascii="Arial" w:hAnsi="Arial" w:cs="Arial"/>
          <w:bCs/>
          <w:iCs/>
          <w:sz w:val="22"/>
          <w:szCs w:val="22"/>
        </w:rPr>
        <w:t xml:space="preserve"> polož</w:t>
      </w:r>
      <w:r w:rsidR="00A36BAB">
        <w:rPr>
          <w:rFonts w:ascii="Arial" w:hAnsi="Arial" w:cs="Arial"/>
          <w:bCs/>
          <w:iCs/>
          <w:sz w:val="22"/>
          <w:szCs w:val="22"/>
        </w:rPr>
        <w:t>ce</w:t>
      </w:r>
      <w:r w:rsidR="00911642">
        <w:rPr>
          <w:rFonts w:ascii="Arial" w:hAnsi="Arial" w:cs="Arial"/>
          <w:bCs/>
          <w:iCs/>
          <w:sz w:val="22"/>
          <w:szCs w:val="22"/>
        </w:rPr>
        <w:t xml:space="preserve"> 5169 – </w:t>
      </w:r>
      <w:r w:rsidR="00911642" w:rsidRPr="00911642">
        <w:rPr>
          <w:rFonts w:ascii="Arial" w:hAnsi="Arial" w:cs="Arial"/>
          <w:bCs/>
          <w:i/>
          <w:iCs/>
          <w:sz w:val="22"/>
          <w:szCs w:val="22"/>
        </w:rPr>
        <w:t>Nákup ostatních služeb</w:t>
      </w:r>
      <w:r w:rsidR="00911642" w:rsidRPr="00325FAC">
        <w:rPr>
          <w:rFonts w:ascii="Arial" w:hAnsi="Arial" w:cs="Arial"/>
          <w:bCs/>
          <w:iCs/>
          <w:sz w:val="22"/>
          <w:szCs w:val="22"/>
        </w:rPr>
        <w:t>.</w:t>
      </w:r>
    </w:p>
    <w:p w:rsidR="00911642" w:rsidRDefault="00911642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8E01DB" w:rsidRPr="00325FAC" w:rsidRDefault="008E01DB" w:rsidP="00325FAC">
      <w:pPr>
        <w:pStyle w:val="Odstavecseseznamem"/>
        <w:numPr>
          <w:ilvl w:val="0"/>
          <w:numId w:val="27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>Úroky z prodlení</w:t>
      </w:r>
    </w:p>
    <w:p w:rsidR="008E01DB" w:rsidRDefault="008E01DB" w:rsidP="008E01D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8E01DB" w:rsidRDefault="008E01DB" w:rsidP="008E01DB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MZe ve výdajích</w:t>
      </w:r>
      <w:r w:rsidR="00A36BAB">
        <w:rPr>
          <w:rFonts w:ascii="Arial" w:hAnsi="Arial" w:cs="Arial"/>
          <w:bCs/>
          <w:iCs/>
          <w:sz w:val="22"/>
          <w:szCs w:val="22"/>
        </w:rPr>
        <w:t xml:space="preserve"> vykázalo</w:t>
      </w:r>
      <w:r>
        <w:rPr>
          <w:rFonts w:ascii="Arial" w:hAnsi="Arial" w:cs="Arial"/>
          <w:bCs/>
          <w:iCs/>
          <w:sz w:val="22"/>
          <w:szCs w:val="22"/>
        </w:rPr>
        <w:t xml:space="preserve"> nesprávně úroky z prodlení ve výši 374 102,98 </w:t>
      </w:r>
      <w:r w:rsidR="00B14269">
        <w:rPr>
          <w:rFonts w:ascii="Arial" w:hAnsi="Arial" w:cs="Arial"/>
          <w:bCs/>
          <w:iCs/>
          <w:sz w:val="22"/>
          <w:szCs w:val="22"/>
        </w:rPr>
        <w:t>Kč na rozpočtové položce 5149 – </w:t>
      </w:r>
      <w:r w:rsidRPr="006D4720">
        <w:rPr>
          <w:rFonts w:ascii="Arial" w:hAnsi="Arial" w:cs="Arial"/>
          <w:bCs/>
          <w:i/>
          <w:iCs/>
          <w:sz w:val="22"/>
          <w:szCs w:val="22"/>
        </w:rPr>
        <w:t>Ostatní úroky a ostatní finanční výdaje</w:t>
      </w:r>
      <w:r>
        <w:rPr>
          <w:rFonts w:ascii="Arial" w:hAnsi="Arial" w:cs="Arial"/>
          <w:bCs/>
          <w:iCs/>
          <w:sz w:val="22"/>
          <w:szCs w:val="22"/>
        </w:rPr>
        <w:t xml:space="preserve">. Správně měly být </w:t>
      </w:r>
      <w:r w:rsidR="00A36BAB">
        <w:rPr>
          <w:rFonts w:ascii="Arial" w:hAnsi="Arial" w:cs="Arial"/>
          <w:bCs/>
          <w:iCs/>
          <w:sz w:val="22"/>
          <w:szCs w:val="22"/>
        </w:rPr>
        <w:t xml:space="preserve">tyto </w:t>
      </w:r>
      <w:r>
        <w:rPr>
          <w:rFonts w:ascii="Arial" w:hAnsi="Arial" w:cs="Arial"/>
          <w:bCs/>
          <w:iCs/>
          <w:sz w:val="22"/>
          <w:szCs w:val="22"/>
        </w:rPr>
        <w:t xml:space="preserve">výdaje </w:t>
      </w:r>
      <w:r w:rsidR="00A36BAB">
        <w:rPr>
          <w:rFonts w:ascii="Arial" w:hAnsi="Arial" w:cs="Arial"/>
          <w:bCs/>
          <w:iCs/>
          <w:sz w:val="22"/>
          <w:szCs w:val="22"/>
        </w:rPr>
        <w:t>vykázány na</w:t>
      </w:r>
      <w:r>
        <w:rPr>
          <w:rFonts w:ascii="Arial" w:hAnsi="Arial" w:cs="Arial"/>
          <w:bCs/>
          <w:iCs/>
          <w:sz w:val="22"/>
          <w:szCs w:val="22"/>
        </w:rPr>
        <w:t xml:space="preserve"> rozpočtov</w:t>
      </w:r>
      <w:r w:rsidR="00A36BAB">
        <w:rPr>
          <w:rFonts w:ascii="Arial" w:hAnsi="Arial" w:cs="Arial"/>
          <w:bCs/>
          <w:iCs/>
          <w:sz w:val="22"/>
          <w:szCs w:val="22"/>
        </w:rPr>
        <w:t>é</w:t>
      </w:r>
      <w:r>
        <w:rPr>
          <w:rFonts w:ascii="Arial" w:hAnsi="Arial" w:cs="Arial"/>
          <w:bCs/>
          <w:iCs/>
          <w:sz w:val="22"/>
          <w:szCs w:val="22"/>
        </w:rPr>
        <w:t xml:space="preserve"> polož</w:t>
      </w:r>
      <w:r w:rsidR="00A36BAB">
        <w:rPr>
          <w:rFonts w:ascii="Arial" w:hAnsi="Arial" w:cs="Arial"/>
          <w:bCs/>
          <w:iCs/>
          <w:sz w:val="22"/>
          <w:szCs w:val="22"/>
        </w:rPr>
        <w:t>ce</w:t>
      </w:r>
      <w:r>
        <w:rPr>
          <w:rFonts w:ascii="Arial" w:hAnsi="Arial" w:cs="Arial"/>
          <w:bCs/>
          <w:iCs/>
          <w:sz w:val="22"/>
          <w:szCs w:val="22"/>
        </w:rPr>
        <w:t xml:space="preserve"> 5191 – </w:t>
      </w:r>
      <w:r w:rsidRPr="006D4720">
        <w:rPr>
          <w:rFonts w:ascii="Arial" w:hAnsi="Arial" w:cs="Arial"/>
          <w:bCs/>
          <w:i/>
          <w:iCs/>
          <w:sz w:val="22"/>
          <w:szCs w:val="22"/>
        </w:rPr>
        <w:t>Zaplacené sankce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6E00CE" w:rsidRDefault="006E00CE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42D18" w:rsidRPr="00F42D18" w:rsidRDefault="00F42D18" w:rsidP="005237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42D18">
        <w:rPr>
          <w:rFonts w:ascii="Arial" w:hAnsi="Arial" w:cs="Arial"/>
          <w:b/>
          <w:bCs/>
          <w:iCs/>
          <w:sz w:val="22"/>
          <w:szCs w:val="22"/>
        </w:rPr>
        <w:t>3. Závěrečný účet</w:t>
      </w:r>
    </w:p>
    <w:p w:rsidR="00F42D18" w:rsidRDefault="00F42D18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6D0C57" w:rsidRDefault="00696451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96451">
        <w:rPr>
          <w:rFonts w:ascii="Arial" w:hAnsi="Arial" w:cs="Arial"/>
          <w:bCs/>
          <w:iCs/>
          <w:sz w:val="22"/>
          <w:szCs w:val="22"/>
        </w:rPr>
        <w:t>Při kontrole závěrečného účtu kapitoly 329</w:t>
      </w:r>
      <w:r w:rsidR="00DE1D91">
        <w:rPr>
          <w:rFonts w:ascii="Arial" w:hAnsi="Arial" w:cs="Arial"/>
          <w:bCs/>
          <w:iCs/>
          <w:sz w:val="22"/>
          <w:szCs w:val="22"/>
        </w:rPr>
        <w:t> –</w:t>
      </w:r>
      <w:r w:rsidRPr="0069645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E1D91">
        <w:rPr>
          <w:rFonts w:ascii="Arial" w:hAnsi="Arial" w:cs="Arial"/>
          <w:bCs/>
          <w:i/>
          <w:iCs/>
          <w:sz w:val="22"/>
          <w:szCs w:val="22"/>
        </w:rPr>
        <w:t>Ministerstvo zemědělství</w:t>
      </w:r>
      <w:r w:rsidR="003378A9">
        <w:rPr>
          <w:rFonts w:ascii="Arial" w:hAnsi="Arial" w:cs="Arial"/>
          <w:bCs/>
          <w:iCs/>
          <w:sz w:val="22"/>
          <w:szCs w:val="22"/>
        </w:rPr>
        <w:t xml:space="preserve"> za rok 2013</w:t>
      </w:r>
      <w:r w:rsidRPr="00696451">
        <w:rPr>
          <w:rFonts w:ascii="Arial" w:hAnsi="Arial" w:cs="Arial"/>
          <w:bCs/>
          <w:iCs/>
          <w:sz w:val="22"/>
          <w:szCs w:val="22"/>
        </w:rPr>
        <w:t xml:space="preserve"> (dále také „ZÚ 2013“) se </w:t>
      </w:r>
      <w:r w:rsidR="00C40D70">
        <w:rPr>
          <w:rFonts w:ascii="Arial" w:hAnsi="Arial" w:cs="Arial"/>
          <w:bCs/>
          <w:iCs/>
          <w:sz w:val="22"/>
          <w:szCs w:val="22"/>
        </w:rPr>
        <w:t>kontrola</w:t>
      </w:r>
      <w:r w:rsidRPr="00696451">
        <w:rPr>
          <w:rFonts w:ascii="Arial" w:hAnsi="Arial" w:cs="Arial"/>
          <w:bCs/>
          <w:iCs/>
          <w:sz w:val="22"/>
          <w:szCs w:val="22"/>
        </w:rPr>
        <w:t xml:space="preserve"> zaměřila zejména na dodržení soul</w:t>
      </w:r>
      <w:r w:rsidR="00C40D70">
        <w:rPr>
          <w:rFonts w:ascii="Arial" w:hAnsi="Arial" w:cs="Arial"/>
          <w:bCs/>
          <w:iCs/>
          <w:sz w:val="22"/>
          <w:szCs w:val="22"/>
        </w:rPr>
        <w:t>adu s vyhláškou č. 419/2001 Sb., o rozsahu, struktuře a termínech údajů předkládaných pro vypracování návrhu státního závěrečného účtu a o rozsahu a termínech sestavení návrhů závěrečných účtů kapitol státního rozpočtu,</w:t>
      </w:r>
      <w:r w:rsidRPr="00696451">
        <w:rPr>
          <w:rFonts w:ascii="Arial" w:hAnsi="Arial" w:cs="Arial"/>
          <w:bCs/>
          <w:iCs/>
          <w:sz w:val="22"/>
          <w:szCs w:val="22"/>
        </w:rPr>
        <w:t xml:space="preserve"> a dále na vybrané oblasti, kterými byly transfery, návratné finanční výpomoci, majetkové účasti</w:t>
      </w:r>
      <w:r w:rsidR="00D87EFA">
        <w:rPr>
          <w:rFonts w:ascii="Arial" w:hAnsi="Arial" w:cs="Arial"/>
          <w:bCs/>
          <w:iCs/>
          <w:sz w:val="22"/>
          <w:szCs w:val="22"/>
        </w:rPr>
        <w:t xml:space="preserve"> státu v obchodních společnostech</w:t>
      </w:r>
      <w:r w:rsidRPr="00696451">
        <w:rPr>
          <w:rFonts w:ascii="Arial" w:hAnsi="Arial" w:cs="Arial"/>
          <w:bCs/>
          <w:iCs/>
          <w:sz w:val="22"/>
          <w:szCs w:val="22"/>
        </w:rPr>
        <w:t xml:space="preserve">, bezúplatné převody a zálohy. </w:t>
      </w:r>
    </w:p>
    <w:p w:rsidR="009E5FB6" w:rsidRDefault="009E5FB6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B102E" w:rsidRPr="000B102E" w:rsidRDefault="009E5FB6" w:rsidP="005237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3.1 </w:t>
      </w:r>
      <w:r w:rsidR="000B102E" w:rsidRPr="000B102E">
        <w:rPr>
          <w:rFonts w:ascii="Arial" w:hAnsi="Arial" w:cs="Arial"/>
          <w:b/>
          <w:bCs/>
          <w:iCs/>
          <w:sz w:val="22"/>
          <w:szCs w:val="22"/>
        </w:rPr>
        <w:t>Soulad ZÚ 2013 s vyhláškou č. 419/2001 Sb.</w:t>
      </w:r>
    </w:p>
    <w:p w:rsidR="000B102E" w:rsidRDefault="000B102E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40D70" w:rsidRDefault="00C40D70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Předložený ZÚ 2013 obsahoval průvodní zprávu, povinné číselné sestavy a tabulkové přílohy. I přes přijatá opatření k</w:t>
      </w:r>
      <w:r w:rsidR="002E762B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nápravě</w:t>
      </w:r>
      <w:r w:rsidR="002E762B">
        <w:rPr>
          <w:rFonts w:ascii="Arial" w:hAnsi="Arial" w:cs="Arial"/>
          <w:bCs/>
          <w:iCs/>
          <w:sz w:val="22"/>
          <w:szCs w:val="22"/>
        </w:rPr>
        <w:t xml:space="preserve"> nedostatků zjištěných v kontrolní akci </w:t>
      </w:r>
      <w:r>
        <w:rPr>
          <w:rFonts w:ascii="Arial" w:hAnsi="Arial" w:cs="Arial"/>
          <w:bCs/>
          <w:iCs/>
          <w:sz w:val="22"/>
          <w:szCs w:val="22"/>
        </w:rPr>
        <w:t>č. 12/15 neobsahoval například</w:t>
      </w:r>
      <w:r w:rsidR="000B102E">
        <w:rPr>
          <w:rFonts w:ascii="Arial" w:hAnsi="Arial" w:cs="Arial"/>
          <w:bCs/>
          <w:iCs/>
          <w:sz w:val="22"/>
          <w:szCs w:val="22"/>
        </w:rPr>
        <w:t xml:space="preserve"> rozbor rovnoměrnosti čerpání výdajů se zdůvodněním výkyvů v jednotlivých čtvrtletích roku, zhodnocení plnění přijatých opatření k výsledkům kontrol NKÚ a interního auditu, </w:t>
      </w:r>
      <w:r w:rsidR="00DE1D91">
        <w:rPr>
          <w:rFonts w:ascii="Arial" w:hAnsi="Arial" w:cs="Arial"/>
          <w:bCs/>
          <w:iCs/>
          <w:sz w:val="22"/>
          <w:szCs w:val="22"/>
        </w:rPr>
        <w:t>komentář</w:t>
      </w:r>
      <w:r w:rsidR="000B102E">
        <w:rPr>
          <w:rFonts w:ascii="Arial" w:hAnsi="Arial" w:cs="Arial"/>
          <w:bCs/>
          <w:iCs/>
          <w:sz w:val="22"/>
          <w:szCs w:val="22"/>
        </w:rPr>
        <w:t xml:space="preserve"> rozpočtových opatření provedených v průběhu roku či </w:t>
      </w:r>
      <w:r w:rsidR="00DE1D91">
        <w:rPr>
          <w:rFonts w:ascii="Arial" w:hAnsi="Arial" w:cs="Arial"/>
          <w:bCs/>
          <w:iCs/>
          <w:sz w:val="22"/>
          <w:szCs w:val="22"/>
        </w:rPr>
        <w:t>komentář</w:t>
      </w:r>
      <w:r w:rsidR="000B102E">
        <w:rPr>
          <w:rFonts w:ascii="Arial" w:hAnsi="Arial" w:cs="Arial"/>
          <w:bCs/>
          <w:iCs/>
          <w:sz w:val="22"/>
          <w:szCs w:val="22"/>
        </w:rPr>
        <w:t xml:space="preserve"> čerpání neinvestičních a investičních transferů podnikatelským subjektům ve vztahu ke skutečnosti minulého roku.</w:t>
      </w:r>
    </w:p>
    <w:p w:rsidR="000B102E" w:rsidRDefault="000B102E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9E5FB6" w:rsidRDefault="009E5FB6" w:rsidP="005237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3.2 Jednotlivé vybrané oblasti</w:t>
      </w:r>
    </w:p>
    <w:p w:rsidR="009E5FB6" w:rsidRDefault="009E5FB6" w:rsidP="005237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0B102E" w:rsidRPr="00325FAC" w:rsidRDefault="000B102E" w:rsidP="00325FAC">
      <w:pPr>
        <w:pStyle w:val="Odstavecseseznamem"/>
        <w:numPr>
          <w:ilvl w:val="0"/>
          <w:numId w:val="28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>Transfery</w:t>
      </w:r>
    </w:p>
    <w:p w:rsidR="00FC525D" w:rsidRDefault="00FC525D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B102E" w:rsidRDefault="000D3C02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 oblasti transferů byly v</w:t>
      </w:r>
      <w:r w:rsidRPr="000D3C02">
        <w:rPr>
          <w:rFonts w:ascii="Arial" w:hAnsi="Arial" w:cs="Arial"/>
          <w:bCs/>
          <w:iCs/>
          <w:sz w:val="22"/>
          <w:szCs w:val="22"/>
        </w:rPr>
        <w:t xml:space="preserve"> průvodní zprávě </w:t>
      </w:r>
      <w:r>
        <w:rPr>
          <w:rFonts w:ascii="Arial" w:hAnsi="Arial" w:cs="Arial"/>
          <w:bCs/>
          <w:iCs/>
          <w:sz w:val="22"/>
          <w:szCs w:val="22"/>
        </w:rPr>
        <w:t>ZÚ</w:t>
      </w:r>
      <w:r w:rsidRPr="000D3C02">
        <w:rPr>
          <w:rFonts w:ascii="Arial" w:hAnsi="Arial" w:cs="Arial"/>
          <w:bCs/>
          <w:iCs/>
          <w:sz w:val="22"/>
          <w:szCs w:val="22"/>
        </w:rPr>
        <w:t xml:space="preserve"> 2013 zjištěny</w:t>
      </w:r>
      <w:r w:rsidR="0097370C">
        <w:rPr>
          <w:rFonts w:ascii="Arial" w:hAnsi="Arial" w:cs="Arial"/>
          <w:bCs/>
          <w:iCs/>
          <w:sz w:val="22"/>
          <w:szCs w:val="22"/>
        </w:rPr>
        <w:t xml:space="preserve"> drobné</w:t>
      </w:r>
      <w:r w:rsidRPr="000D3C02">
        <w:rPr>
          <w:rFonts w:ascii="Arial" w:hAnsi="Arial" w:cs="Arial"/>
          <w:bCs/>
          <w:iCs/>
          <w:sz w:val="22"/>
          <w:szCs w:val="22"/>
        </w:rPr>
        <w:t xml:space="preserve"> nedostatky</w:t>
      </w:r>
      <w:r w:rsidR="0097370C">
        <w:rPr>
          <w:rFonts w:ascii="Arial" w:hAnsi="Arial" w:cs="Arial"/>
          <w:bCs/>
          <w:iCs/>
          <w:sz w:val="22"/>
          <w:szCs w:val="22"/>
        </w:rPr>
        <w:t>. Některé skutečnosti</w:t>
      </w:r>
      <w:r w:rsidR="00D87EFA">
        <w:rPr>
          <w:rFonts w:ascii="Arial" w:hAnsi="Arial" w:cs="Arial"/>
          <w:bCs/>
          <w:iCs/>
          <w:sz w:val="22"/>
          <w:szCs w:val="22"/>
        </w:rPr>
        <w:t xml:space="preserve"> sice</w:t>
      </w:r>
      <w:r w:rsidR="0097370C">
        <w:rPr>
          <w:rFonts w:ascii="Arial" w:hAnsi="Arial" w:cs="Arial"/>
          <w:bCs/>
          <w:iCs/>
          <w:sz w:val="22"/>
          <w:szCs w:val="22"/>
        </w:rPr>
        <w:t xml:space="preserve"> nebyly zdůvodněny a komentovány</w:t>
      </w:r>
      <w:r w:rsidR="00D87EFA">
        <w:rPr>
          <w:rFonts w:ascii="Arial" w:hAnsi="Arial" w:cs="Arial"/>
          <w:bCs/>
          <w:iCs/>
          <w:sz w:val="22"/>
          <w:szCs w:val="22"/>
        </w:rPr>
        <w:t xml:space="preserve"> v celém rozsahu tak, jak</w:t>
      </w:r>
      <w:r w:rsidR="0097370C">
        <w:rPr>
          <w:rFonts w:ascii="Arial" w:hAnsi="Arial" w:cs="Arial"/>
          <w:bCs/>
          <w:iCs/>
          <w:sz w:val="22"/>
          <w:szCs w:val="22"/>
        </w:rPr>
        <w:t xml:space="preserve"> to stanovuje vyhláška č. 419/2001 Sb.</w:t>
      </w:r>
      <w:r w:rsidR="00D87EFA">
        <w:rPr>
          <w:rFonts w:ascii="Arial" w:hAnsi="Arial" w:cs="Arial"/>
          <w:bCs/>
          <w:iCs/>
          <w:sz w:val="22"/>
          <w:szCs w:val="22"/>
        </w:rPr>
        <w:t>, ale nebyl</w:t>
      </w:r>
      <w:r w:rsidRPr="000D3C0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zjištěn </w:t>
      </w:r>
      <w:r w:rsidRPr="000D3C02">
        <w:rPr>
          <w:rFonts w:ascii="Arial" w:hAnsi="Arial" w:cs="Arial"/>
          <w:bCs/>
          <w:iCs/>
          <w:sz w:val="22"/>
          <w:szCs w:val="22"/>
        </w:rPr>
        <w:t xml:space="preserve">významný nesoulad číselných údajů </w:t>
      </w:r>
      <w:r w:rsidR="009E5FB6">
        <w:rPr>
          <w:rFonts w:ascii="Arial" w:hAnsi="Arial" w:cs="Arial"/>
          <w:bCs/>
          <w:iCs/>
          <w:sz w:val="22"/>
          <w:szCs w:val="22"/>
        </w:rPr>
        <w:t xml:space="preserve">uvedených </w:t>
      </w:r>
      <w:r w:rsidR="00D87EFA">
        <w:rPr>
          <w:rFonts w:ascii="Arial" w:hAnsi="Arial" w:cs="Arial"/>
          <w:bCs/>
          <w:iCs/>
          <w:sz w:val="22"/>
          <w:szCs w:val="22"/>
        </w:rPr>
        <w:lastRenderedPageBreak/>
        <w:t>v ZÚ 2013 oproti údajům</w:t>
      </w:r>
      <w:r w:rsidR="003378A9">
        <w:rPr>
          <w:rFonts w:ascii="Arial" w:hAnsi="Arial" w:cs="Arial"/>
          <w:bCs/>
          <w:iCs/>
          <w:sz w:val="22"/>
          <w:szCs w:val="22"/>
        </w:rPr>
        <w:t xml:space="preserve"> vykázaným</w:t>
      </w:r>
      <w:r w:rsidR="006966D0">
        <w:rPr>
          <w:rFonts w:ascii="Arial" w:hAnsi="Arial" w:cs="Arial"/>
          <w:bCs/>
          <w:iCs/>
          <w:sz w:val="22"/>
          <w:szCs w:val="22"/>
        </w:rPr>
        <w:t xml:space="preserve"> MZe</w:t>
      </w:r>
      <w:r w:rsidR="00D87EFA">
        <w:rPr>
          <w:rFonts w:ascii="Arial" w:hAnsi="Arial" w:cs="Arial"/>
          <w:bCs/>
          <w:iCs/>
          <w:sz w:val="22"/>
          <w:szCs w:val="22"/>
        </w:rPr>
        <w:t xml:space="preserve"> za tuto oblast</w:t>
      </w:r>
      <w:r w:rsidR="003378A9">
        <w:rPr>
          <w:rFonts w:ascii="Arial" w:hAnsi="Arial" w:cs="Arial"/>
          <w:bCs/>
          <w:iCs/>
          <w:sz w:val="22"/>
          <w:szCs w:val="22"/>
        </w:rPr>
        <w:t xml:space="preserve"> v účetní závěrce</w:t>
      </w:r>
      <w:r w:rsidR="00D87EFA">
        <w:rPr>
          <w:rFonts w:ascii="Arial" w:hAnsi="Arial" w:cs="Arial"/>
          <w:bCs/>
          <w:iCs/>
          <w:sz w:val="22"/>
          <w:szCs w:val="22"/>
        </w:rPr>
        <w:t>, ve</w:t>
      </w:r>
      <w:r w:rsidR="003378A9">
        <w:rPr>
          <w:rFonts w:ascii="Arial" w:hAnsi="Arial" w:cs="Arial"/>
          <w:bCs/>
          <w:iCs/>
          <w:sz w:val="22"/>
          <w:szCs w:val="22"/>
        </w:rPr>
        <w:t xml:space="preserve"> finančních výkazech</w:t>
      </w:r>
      <w:r w:rsidR="005F40EF">
        <w:rPr>
          <w:rFonts w:ascii="Arial" w:hAnsi="Arial" w:cs="Arial"/>
          <w:bCs/>
          <w:iCs/>
          <w:sz w:val="22"/>
          <w:szCs w:val="22"/>
        </w:rPr>
        <w:t xml:space="preserve"> </w:t>
      </w:r>
      <w:r w:rsidR="00D87EFA">
        <w:rPr>
          <w:rFonts w:ascii="Arial" w:hAnsi="Arial" w:cs="Arial"/>
          <w:bCs/>
          <w:iCs/>
          <w:sz w:val="22"/>
          <w:szCs w:val="22"/>
        </w:rPr>
        <w:t>a</w:t>
      </w:r>
      <w:r w:rsidR="005F40EF">
        <w:rPr>
          <w:rFonts w:ascii="Arial" w:hAnsi="Arial" w:cs="Arial"/>
          <w:bCs/>
          <w:iCs/>
          <w:sz w:val="22"/>
          <w:szCs w:val="22"/>
        </w:rPr>
        <w:t>ni údaj</w:t>
      </w:r>
      <w:r w:rsidR="00D87EFA">
        <w:rPr>
          <w:rFonts w:ascii="Arial" w:hAnsi="Arial" w:cs="Arial"/>
          <w:bCs/>
          <w:iCs/>
          <w:sz w:val="22"/>
          <w:szCs w:val="22"/>
        </w:rPr>
        <w:t>ům</w:t>
      </w:r>
      <w:r w:rsidR="005F40EF">
        <w:rPr>
          <w:rFonts w:ascii="Arial" w:hAnsi="Arial" w:cs="Arial"/>
          <w:bCs/>
          <w:iCs/>
          <w:sz w:val="22"/>
          <w:szCs w:val="22"/>
        </w:rPr>
        <w:t xml:space="preserve"> zveřejněným na informačním portálu Ministerstva financí MONITOR</w:t>
      </w:r>
      <w:r w:rsidR="00FD6506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5"/>
      </w:r>
      <w:r w:rsidR="005F40EF">
        <w:rPr>
          <w:rFonts w:ascii="Arial" w:hAnsi="Arial" w:cs="Arial"/>
          <w:bCs/>
          <w:iCs/>
          <w:sz w:val="22"/>
          <w:szCs w:val="22"/>
        </w:rPr>
        <w:t>.</w:t>
      </w:r>
    </w:p>
    <w:p w:rsidR="000D3C02" w:rsidRDefault="000D3C02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B102E" w:rsidRPr="00325FAC" w:rsidRDefault="000B102E" w:rsidP="00325FAC">
      <w:pPr>
        <w:pStyle w:val="Odstavecseseznamem"/>
        <w:numPr>
          <w:ilvl w:val="0"/>
          <w:numId w:val="29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>Návratné finanční výpomoci</w:t>
      </w:r>
    </w:p>
    <w:p w:rsidR="00FC525D" w:rsidRDefault="00FC525D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A58B5" w:rsidRDefault="00172207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</w:t>
      </w:r>
      <w:r w:rsidR="000D3C02">
        <w:rPr>
          <w:rFonts w:ascii="Arial" w:hAnsi="Arial" w:cs="Arial"/>
          <w:bCs/>
          <w:iCs/>
          <w:sz w:val="22"/>
          <w:szCs w:val="22"/>
        </w:rPr>
        <w:t> návratným finančním výpomoc</w:t>
      </w:r>
      <w:r w:rsidR="003378A9">
        <w:rPr>
          <w:rFonts w:ascii="Arial" w:hAnsi="Arial" w:cs="Arial"/>
          <w:bCs/>
          <w:iCs/>
          <w:sz w:val="22"/>
          <w:szCs w:val="22"/>
        </w:rPr>
        <w:t>í</w:t>
      </w:r>
      <w:r w:rsidR="000D3C02">
        <w:rPr>
          <w:rFonts w:ascii="Arial" w:hAnsi="Arial" w:cs="Arial"/>
          <w:bCs/>
          <w:iCs/>
          <w:sz w:val="22"/>
          <w:szCs w:val="22"/>
        </w:rPr>
        <w:t>m poskytnutým v minulosti neuvedlo</w:t>
      </w:r>
      <w:r>
        <w:rPr>
          <w:rFonts w:ascii="Arial" w:hAnsi="Arial" w:cs="Arial"/>
          <w:bCs/>
          <w:iCs/>
          <w:sz w:val="22"/>
          <w:szCs w:val="22"/>
        </w:rPr>
        <w:t xml:space="preserve"> MZe</w:t>
      </w:r>
      <w:r w:rsidR="000D3C02">
        <w:rPr>
          <w:rFonts w:ascii="Arial" w:hAnsi="Arial" w:cs="Arial"/>
          <w:bCs/>
          <w:iCs/>
          <w:sz w:val="22"/>
          <w:szCs w:val="22"/>
        </w:rPr>
        <w:t xml:space="preserve"> v ZÚ 2013 žádné informace požadované vyhl</w:t>
      </w:r>
      <w:r w:rsidR="00E44E8A">
        <w:rPr>
          <w:rFonts w:ascii="Arial" w:hAnsi="Arial" w:cs="Arial"/>
          <w:bCs/>
          <w:iCs/>
          <w:sz w:val="22"/>
          <w:szCs w:val="22"/>
        </w:rPr>
        <w:t>á</w:t>
      </w:r>
      <w:r w:rsidR="000D3C02">
        <w:rPr>
          <w:rFonts w:ascii="Arial" w:hAnsi="Arial" w:cs="Arial"/>
          <w:bCs/>
          <w:iCs/>
          <w:sz w:val="22"/>
          <w:szCs w:val="22"/>
        </w:rPr>
        <w:t>škou</w:t>
      </w:r>
      <w:r w:rsidR="00E44E8A">
        <w:rPr>
          <w:rFonts w:ascii="Arial" w:hAnsi="Arial" w:cs="Arial"/>
          <w:bCs/>
          <w:iCs/>
          <w:sz w:val="22"/>
          <w:szCs w:val="22"/>
        </w:rPr>
        <w:t xml:space="preserve"> č. 419/2001 Sb.</w:t>
      </w:r>
      <w:r w:rsidR="00BA58B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BA58B5">
        <w:rPr>
          <w:rFonts w:ascii="Arial" w:hAnsi="Arial" w:cs="Arial"/>
          <w:bCs/>
          <w:iCs/>
          <w:sz w:val="22"/>
          <w:szCs w:val="22"/>
        </w:rPr>
        <w:t>euvedlo</w:t>
      </w:r>
      <w:r w:rsidR="00E44E8A">
        <w:rPr>
          <w:rFonts w:ascii="Arial" w:hAnsi="Arial" w:cs="Arial"/>
          <w:bCs/>
          <w:iCs/>
          <w:sz w:val="22"/>
          <w:szCs w:val="22"/>
        </w:rPr>
        <w:t xml:space="preserve"> stav nesplacených návratných finančních výpomocí </w:t>
      </w:r>
      <w:r w:rsidR="00E44E8A" w:rsidRPr="00E44E8A">
        <w:rPr>
          <w:rFonts w:ascii="Arial" w:hAnsi="Arial" w:cs="Arial"/>
          <w:bCs/>
          <w:iCs/>
          <w:sz w:val="22"/>
          <w:szCs w:val="22"/>
        </w:rPr>
        <w:t xml:space="preserve">z rozpočtu kapitoly k 1. </w:t>
      </w:r>
      <w:r w:rsidR="003378A9">
        <w:rPr>
          <w:rFonts w:ascii="Arial" w:hAnsi="Arial" w:cs="Arial"/>
          <w:bCs/>
          <w:iCs/>
          <w:sz w:val="22"/>
          <w:szCs w:val="22"/>
        </w:rPr>
        <w:t>lednu</w:t>
      </w:r>
      <w:r w:rsidR="00E44E8A" w:rsidRPr="00E44E8A">
        <w:rPr>
          <w:rFonts w:ascii="Arial" w:hAnsi="Arial" w:cs="Arial"/>
          <w:bCs/>
          <w:iCs/>
          <w:sz w:val="22"/>
          <w:szCs w:val="22"/>
        </w:rPr>
        <w:t xml:space="preserve"> 2013</w:t>
      </w:r>
      <w:r>
        <w:rPr>
          <w:rFonts w:ascii="Arial" w:hAnsi="Arial" w:cs="Arial"/>
          <w:bCs/>
          <w:iCs/>
          <w:sz w:val="22"/>
          <w:szCs w:val="22"/>
        </w:rPr>
        <w:t xml:space="preserve"> ani</w:t>
      </w:r>
      <w:r w:rsidR="00E44E8A" w:rsidRPr="00E44E8A">
        <w:rPr>
          <w:rFonts w:ascii="Arial" w:hAnsi="Arial" w:cs="Arial"/>
          <w:bCs/>
          <w:iCs/>
          <w:sz w:val="22"/>
          <w:szCs w:val="22"/>
        </w:rPr>
        <w:t xml:space="preserve"> výši</w:t>
      </w:r>
      <w:r>
        <w:rPr>
          <w:rFonts w:ascii="Arial" w:hAnsi="Arial" w:cs="Arial"/>
          <w:bCs/>
          <w:iCs/>
          <w:sz w:val="22"/>
          <w:szCs w:val="22"/>
        </w:rPr>
        <w:t xml:space="preserve"> jejich</w:t>
      </w:r>
      <w:r w:rsidR="00E44E8A" w:rsidRPr="00E44E8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splátek v průběhu roku</w:t>
      </w:r>
      <w:r w:rsidR="00BA58B5">
        <w:rPr>
          <w:rFonts w:ascii="Arial" w:hAnsi="Arial" w:cs="Arial"/>
          <w:bCs/>
          <w:iCs/>
          <w:sz w:val="22"/>
          <w:szCs w:val="22"/>
        </w:rPr>
        <w:t xml:space="preserve"> ani</w:t>
      </w:r>
      <w:r w:rsidR="003378A9">
        <w:rPr>
          <w:rFonts w:ascii="Arial" w:hAnsi="Arial" w:cs="Arial"/>
          <w:bCs/>
          <w:iCs/>
          <w:sz w:val="22"/>
          <w:szCs w:val="22"/>
        </w:rPr>
        <w:t xml:space="preserve"> jejich konečný</w:t>
      </w:r>
      <w:r w:rsidR="00E44E8A" w:rsidRPr="00E44E8A">
        <w:rPr>
          <w:rFonts w:ascii="Arial" w:hAnsi="Arial" w:cs="Arial"/>
          <w:bCs/>
          <w:iCs/>
          <w:sz w:val="22"/>
          <w:szCs w:val="22"/>
        </w:rPr>
        <w:t xml:space="preserve"> stav k 31.</w:t>
      </w:r>
      <w:r w:rsidR="003378A9">
        <w:rPr>
          <w:rFonts w:ascii="Arial" w:hAnsi="Arial" w:cs="Arial"/>
          <w:bCs/>
          <w:iCs/>
          <w:sz w:val="22"/>
          <w:szCs w:val="22"/>
        </w:rPr>
        <w:t xml:space="preserve"> prosinci</w:t>
      </w:r>
      <w:r w:rsidR="00E44E8A" w:rsidRPr="00E44E8A">
        <w:rPr>
          <w:rFonts w:ascii="Arial" w:hAnsi="Arial" w:cs="Arial"/>
          <w:bCs/>
          <w:iCs/>
          <w:sz w:val="22"/>
          <w:szCs w:val="22"/>
        </w:rPr>
        <w:t xml:space="preserve"> 2013</w:t>
      </w:r>
      <w:r w:rsidR="009E5FB6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30AD8">
        <w:rPr>
          <w:rFonts w:ascii="Arial" w:hAnsi="Arial" w:cs="Arial"/>
          <w:bCs/>
          <w:iCs/>
          <w:sz w:val="22"/>
          <w:szCs w:val="22"/>
        </w:rPr>
        <w:t>Přitom v ÚZ k 31. prosinci 2013</w:t>
      </w:r>
      <w:r w:rsidR="00B010ED">
        <w:rPr>
          <w:rFonts w:ascii="Arial" w:hAnsi="Arial" w:cs="Arial"/>
          <w:bCs/>
          <w:iCs/>
          <w:sz w:val="22"/>
          <w:szCs w:val="22"/>
        </w:rPr>
        <w:t xml:space="preserve"> MZe</w:t>
      </w:r>
      <w:r w:rsidR="00230AD8">
        <w:rPr>
          <w:rFonts w:ascii="Arial" w:hAnsi="Arial" w:cs="Arial"/>
          <w:bCs/>
          <w:iCs/>
          <w:sz w:val="22"/>
          <w:szCs w:val="22"/>
        </w:rPr>
        <w:t xml:space="preserve"> vykázalo</w:t>
      </w:r>
      <w:r w:rsidR="00B010ED">
        <w:rPr>
          <w:rFonts w:ascii="Arial" w:hAnsi="Arial" w:cs="Arial"/>
          <w:bCs/>
          <w:iCs/>
          <w:sz w:val="22"/>
          <w:szCs w:val="22"/>
        </w:rPr>
        <w:t xml:space="preserve"> návratné finanční výpomoci ve výši</w:t>
      </w:r>
      <w:r w:rsidR="00447B2B">
        <w:rPr>
          <w:rFonts w:ascii="Arial" w:hAnsi="Arial" w:cs="Arial"/>
          <w:bCs/>
          <w:iCs/>
          <w:sz w:val="22"/>
          <w:szCs w:val="22"/>
        </w:rPr>
        <w:t xml:space="preserve"> 246 261 197,67 Kč</w:t>
      </w:r>
      <w:r w:rsidR="00167F80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6"/>
      </w:r>
      <w:r w:rsidR="00B010ED">
        <w:rPr>
          <w:rFonts w:ascii="Arial" w:hAnsi="Arial" w:cs="Arial"/>
          <w:bCs/>
          <w:iCs/>
          <w:sz w:val="22"/>
          <w:szCs w:val="22"/>
        </w:rPr>
        <w:t>.</w:t>
      </w:r>
      <w:r w:rsidR="00B010ED" w:rsidRPr="00B010ED">
        <w:rPr>
          <w:rFonts w:ascii="Arial" w:hAnsi="Arial" w:cs="Arial"/>
          <w:bCs/>
          <w:iCs/>
          <w:sz w:val="22"/>
          <w:szCs w:val="22"/>
        </w:rPr>
        <w:t xml:space="preserve"> </w:t>
      </w:r>
      <w:r w:rsidR="00B010ED">
        <w:rPr>
          <w:rFonts w:ascii="Arial" w:hAnsi="Arial" w:cs="Arial"/>
          <w:bCs/>
          <w:iCs/>
          <w:sz w:val="22"/>
          <w:szCs w:val="22"/>
        </w:rPr>
        <w:t>Hodnota vlivu, který</w:t>
      </w:r>
      <w:r w:rsidR="000A0CD5">
        <w:rPr>
          <w:rFonts w:ascii="Arial" w:hAnsi="Arial" w:cs="Arial"/>
          <w:bCs/>
          <w:iCs/>
          <w:sz w:val="22"/>
          <w:szCs w:val="22"/>
        </w:rPr>
        <w:t xml:space="preserve"> přechodně</w:t>
      </w:r>
      <w:r w:rsidR="00B010ED">
        <w:rPr>
          <w:rFonts w:ascii="Arial" w:hAnsi="Arial" w:cs="Arial"/>
          <w:bCs/>
          <w:iCs/>
          <w:sz w:val="22"/>
          <w:szCs w:val="22"/>
        </w:rPr>
        <w:t xml:space="preserve"> snižuje</w:t>
      </w:r>
      <w:r w:rsidR="000A0CD5">
        <w:rPr>
          <w:rFonts w:ascii="Arial" w:hAnsi="Arial" w:cs="Arial"/>
          <w:bCs/>
          <w:iCs/>
          <w:sz w:val="22"/>
          <w:szCs w:val="22"/>
        </w:rPr>
        <w:t xml:space="preserve"> hodnotu</w:t>
      </w:r>
      <w:r w:rsidR="00B010ED">
        <w:rPr>
          <w:rFonts w:ascii="Arial" w:hAnsi="Arial" w:cs="Arial"/>
          <w:bCs/>
          <w:iCs/>
          <w:sz w:val="22"/>
          <w:szCs w:val="22"/>
        </w:rPr>
        <w:t xml:space="preserve"> </w:t>
      </w:r>
      <w:r w:rsidR="000A0CD5">
        <w:rPr>
          <w:rFonts w:ascii="Arial" w:hAnsi="Arial" w:cs="Arial"/>
          <w:bCs/>
          <w:iCs/>
          <w:sz w:val="22"/>
          <w:szCs w:val="22"/>
        </w:rPr>
        <w:t xml:space="preserve">těchto </w:t>
      </w:r>
      <w:r w:rsidR="00B010ED">
        <w:rPr>
          <w:rFonts w:ascii="Arial" w:hAnsi="Arial" w:cs="Arial"/>
          <w:bCs/>
          <w:iCs/>
          <w:sz w:val="22"/>
          <w:szCs w:val="22"/>
        </w:rPr>
        <w:t>pohledávek</w:t>
      </w:r>
      <w:r w:rsidR="00BA58B5">
        <w:rPr>
          <w:rFonts w:ascii="Arial" w:hAnsi="Arial" w:cs="Arial"/>
          <w:bCs/>
          <w:iCs/>
          <w:sz w:val="22"/>
          <w:szCs w:val="22"/>
        </w:rPr>
        <w:t>,</w:t>
      </w:r>
      <w:r w:rsidR="00B010ED">
        <w:rPr>
          <w:rFonts w:ascii="Arial" w:hAnsi="Arial" w:cs="Arial"/>
          <w:bCs/>
          <w:iCs/>
          <w:sz w:val="22"/>
          <w:szCs w:val="22"/>
        </w:rPr>
        <w:t xml:space="preserve"> byla vykázána jako opravná položka</w:t>
      </w:r>
      <w:r w:rsidR="002776AB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7"/>
      </w:r>
      <w:r w:rsidR="00B010ED">
        <w:rPr>
          <w:rFonts w:ascii="Arial" w:hAnsi="Arial" w:cs="Arial"/>
          <w:bCs/>
          <w:iCs/>
          <w:sz w:val="22"/>
          <w:szCs w:val="22"/>
        </w:rPr>
        <w:t xml:space="preserve"> ve výši 21 830 000 Kč.</w:t>
      </w:r>
      <w:r w:rsidR="002776AB">
        <w:rPr>
          <w:rFonts w:ascii="Arial" w:hAnsi="Arial" w:cs="Arial"/>
          <w:bCs/>
          <w:iCs/>
          <w:sz w:val="22"/>
          <w:szCs w:val="22"/>
        </w:rPr>
        <w:t xml:space="preserve"> P</w:t>
      </w:r>
      <w:r w:rsidR="000A0CD5">
        <w:rPr>
          <w:rFonts w:ascii="Arial" w:hAnsi="Arial" w:cs="Arial"/>
          <w:bCs/>
          <w:iCs/>
          <w:sz w:val="22"/>
          <w:szCs w:val="22"/>
        </w:rPr>
        <w:t xml:space="preserve">o odečtení </w:t>
      </w:r>
      <w:r w:rsidR="002776AB">
        <w:rPr>
          <w:rFonts w:ascii="Arial" w:hAnsi="Arial" w:cs="Arial"/>
          <w:bCs/>
          <w:iCs/>
          <w:sz w:val="22"/>
          <w:szCs w:val="22"/>
        </w:rPr>
        <w:t xml:space="preserve">tohoto </w:t>
      </w:r>
      <w:r w:rsidR="000A0CD5">
        <w:rPr>
          <w:rFonts w:ascii="Arial" w:hAnsi="Arial" w:cs="Arial"/>
          <w:bCs/>
          <w:iCs/>
          <w:sz w:val="22"/>
          <w:szCs w:val="22"/>
        </w:rPr>
        <w:t>vlivu</w:t>
      </w:r>
      <w:r w:rsidR="00BA58B5">
        <w:rPr>
          <w:rFonts w:ascii="Arial" w:hAnsi="Arial" w:cs="Arial"/>
          <w:bCs/>
          <w:iCs/>
          <w:sz w:val="22"/>
          <w:szCs w:val="22"/>
        </w:rPr>
        <w:t xml:space="preserve"> </w:t>
      </w:r>
      <w:r w:rsidR="001A0CAB">
        <w:rPr>
          <w:rFonts w:ascii="Arial" w:hAnsi="Arial" w:cs="Arial"/>
          <w:bCs/>
          <w:iCs/>
          <w:sz w:val="22"/>
          <w:szCs w:val="22"/>
        </w:rPr>
        <w:t xml:space="preserve">je </w:t>
      </w:r>
      <w:r w:rsidR="00BA58B5">
        <w:rPr>
          <w:rFonts w:ascii="Arial" w:hAnsi="Arial" w:cs="Arial"/>
          <w:bCs/>
          <w:iCs/>
          <w:sz w:val="22"/>
          <w:szCs w:val="22"/>
        </w:rPr>
        <w:t>v účetní závěrce vykázána</w:t>
      </w:r>
      <w:r w:rsidR="002776AB">
        <w:rPr>
          <w:rFonts w:ascii="Arial" w:hAnsi="Arial" w:cs="Arial"/>
          <w:bCs/>
          <w:iCs/>
          <w:sz w:val="22"/>
          <w:szCs w:val="22"/>
        </w:rPr>
        <w:t xml:space="preserve"> hodnota </w:t>
      </w:r>
      <w:r w:rsidR="00BA58B5">
        <w:rPr>
          <w:rFonts w:ascii="Arial" w:hAnsi="Arial" w:cs="Arial"/>
          <w:bCs/>
          <w:iCs/>
          <w:sz w:val="22"/>
          <w:szCs w:val="22"/>
        </w:rPr>
        <w:t>224 431 197,67 Kč</w:t>
      </w:r>
      <w:r w:rsidR="001A0CAB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8"/>
      </w:r>
      <w:r w:rsidR="00BA58B5">
        <w:rPr>
          <w:rFonts w:ascii="Arial" w:hAnsi="Arial" w:cs="Arial"/>
          <w:bCs/>
          <w:iCs/>
          <w:sz w:val="22"/>
          <w:szCs w:val="22"/>
        </w:rPr>
        <w:t xml:space="preserve">.  </w:t>
      </w:r>
      <w:r w:rsidR="00B010ED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9E5FB6" w:rsidRDefault="009E5FB6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30AD8" w:rsidRDefault="002776AB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Pro srovnání</w:t>
      </w:r>
      <w:r w:rsidR="001A0CAB">
        <w:rPr>
          <w:rFonts w:ascii="Arial" w:hAnsi="Arial" w:cs="Arial"/>
          <w:bCs/>
          <w:iCs/>
          <w:sz w:val="22"/>
          <w:szCs w:val="22"/>
        </w:rPr>
        <w:t xml:space="preserve"> je vykázán i</w:t>
      </w:r>
      <w:r>
        <w:rPr>
          <w:rFonts w:ascii="Arial" w:hAnsi="Arial" w:cs="Arial"/>
          <w:bCs/>
          <w:iCs/>
          <w:sz w:val="22"/>
          <w:szCs w:val="22"/>
        </w:rPr>
        <w:t xml:space="preserve"> stav ke konci</w:t>
      </w:r>
      <w:r w:rsidR="00051E78">
        <w:rPr>
          <w:rFonts w:ascii="Arial" w:hAnsi="Arial" w:cs="Arial"/>
          <w:bCs/>
          <w:iCs/>
          <w:sz w:val="22"/>
          <w:szCs w:val="22"/>
        </w:rPr>
        <w:t xml:space="preserve"> minulého</w:t>
      </w:r>
      <w:r w:rsidR="00BA58B5">
        <w:rPr>
          <w:rFonts w:ascii="Arial" w:hAnsi="Arial" w:cs="Arial"/>
          <w:bCs/>
          <w:iCs/>
          <w:sz w:val="22"/>
          <w:szCs w:val="22"/>
        </w:rPr>
        <w:t xml:space="preserve"> účetního období</w:t>
      </w:r>
      <w:r w:rsidR="00447B2B">
        <w:rPr>
          <w:rFonts w:ascii="Arial" w:hAnsi="Arial" w:cs="Arial"/>
          <w:bCs/>
          <w:iCs/>
          <w:sz w:val="22"/>
          <w:szCs w:val="22"/>
        </w:rPr>
        <w:t>,</w:t>
      </w:r>
      <w:r w:rsidR="001A0CAB">
        <w:rPr>
          <w:rFonts w:ascii="Arial" w:hAnsi="Arial" w:cs="Arial"/>
          <w:bCs/>
          <w:iCs/>
          <w:sz w:val="22"/>
          <w:szCs w:val="22"/>
        </w:rPr>
        <w:t xml:space="preserve"> a to</w:t>
      </w:r>
      <w:r w:rsidR="00BA58B5">
        <w:rPr>
          <w:rFonts w:ascii="Arial" w:hAnsi="Arial" w:cs="Arial"/>
          <w:bCs/>
          <w:iCs/>
          <w:sz w:val="22"/>
          <w:szCs w:val="22"/>
        </w:rPr>
        <w:t xml:space="preserve"> ve výši 228 824 197,67 Kč</w:t>
      </w:r>
      <w:r w:rsidR="00CE50CC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9"/>
      </w:r>
      <w:r w:rsidR="00BA58B5">
        <w:rPr>
          <w:rFonts w:ascii="Arial" w:hAnsi="Arial" w:cs="Arial"/>
          <w:bCs/>
          <w:iCs/>
          <w:sz w:val="22"/>
          <w:szCs w:val="22"/>
        </w:rPr>
        <w:t>. S</w:t>
      </w:r>
      <w:r w:rsidR="00B010ED">
        <w:rPr>
          <w:rFonts w:ascii="Arial" w:hAnsi="Arial" w:cs="Arial"/>
          <w:bCs/>
          <w:iCs/>
          <w:sz w:val="22"/>
          <w:szCs w:val="22"/>
        </w:rPr>
        <w:t>plátky</w:t>
      </w:r>
      <w:r w:rsidR="00BA58B5">
        <w:rPr>
          <w:rFonts w:ascii="Arial" w:hAnsi="Arial" w:cs="Arial"/>
          <w:bCs/>
          <w:iCs/>
          <w:sz w:val="22"/>
          <w:szCs w:val="22"/>
        </w:rPr>
        <w:t xml:space="preserve"> návratných finančních výpomocí </w:t>
      </w:r>
      <w:r w:rsidR="00B010ED">
        <w:rPr>
          <w:rFonts w:ascii="Arial" w:hAnsi="Arial" w:cs="Arial"/>
          <w:bCs/>
          <w:iCs/>
          <w:sz w:val="22"/>
          <w:szCs w:val="22"/>
        </w:rPr>
        <w:t>v průběhu roku</w:t>
      </w:r>
      <w:r w:rsidR="00BA58B5">
        <w:rPr>
          <w:rFonts w:ascii="Arial" w:hAnsi="Arial" w:cs="Arial"/>
          <w:bCs/>
          <w:iCs/>
          <w:sz w:val="22"/>
          <w:szCs w:val="22"/>
        </w:rPr>
        <w:t xml:space="preserve"> 2013</w:t>
      </w:r>
      <w:r>
        <w:rPr>
          <w:rFonts w:ascii="Arial" w:hAnsi="Arial" w:cs="Arial"/>
          <w:bCs/>
          <w:iCs/>
          <w:sz w:val="22"/>
          <w:szCs w:val="22"/>
        </w:rPr>
        <w:t xml:space="preserve"> byly</w:t>
      </w:r>
      <w:r w:rsidR="00B010ED">
        <w:rPr>
          <w:rFonts w:ascii="Arial" w:hAnsi="Arial" w:cs="Arial"/>
          <w:bCs/>
          <w:iCs/>
          <w:sz w:val="22"/>
          <w:szCs w:val="22"/>
        </w:rPr>
        <w:t xml:space="preserve"> </w:t>
      </w:r>
      <w:r w:rsidR="00BA58B5">
        <w:rPr>
          <w:rFonts w:ascii="Arial" w:hAnsi="Arial" w:cs="Arial"/>
          <w:bCs/>
          <w:iCs/>
          <w:sz w:val="22"/>
          <w:szCs w:val="22"/>
        </w:rPr>
        <w:t xml:space="preserve">dle údajů </w:t>
      </w:r>
      <w:r w:rsidR="00C73E3A">
        <w:rPr>
          <w:rFonts w:ascii="Arial" w:hAnsi="Arial" w:cs="Arial"/>
          <w:bCs/>
          <w:iCs/>
          <w:sz w:val="22"/>
          <w:szCs w:val="22"/>
        </w:rPr>
        <w:t xml:space="preserve">z </w:t>
      </w:r>
      <w:r w:rsidR="00CE50CC">
        <w:rPr>
          <w:rFonts w:ascii="Arial" w:hAnsi="Arial" w:cs="Arial"/>
          <w:bCs/>
          <w:iCs/>
          <w:sz w:val="22"/>
          <w:szCs w:val="22"/>
        </w:rPr>
        <w:t>výkazu pro hodnocení plnění rozpočtu</w:t>
      </w:r>
      <w:r w:rsidR="00BA58B5">
        <w:rPr>
          <w:rFonts w:ascii="Arial" w:hAnsi="Arial" w:cs="Arial"/>
          <w:bCs/>
          <w:iCs/>
          <w:sz w:val="22"/>
          <w:szCs w:val="22"/>
        </w:rPr>
        <w:t xml:space="preserve"> </w:t>
      </w:r>
      <w:r w:rsidR="00B010ED">
        <w:rPr>
          <w:rFonts w:ascii="Arial" w:hAnsi="Arial" w:cs="Arial"/>
          <w:bCs/>
          <w:iCs/>
          <w:sz w:val="22"/>
          <w:szCs w:val="22"/>
        </w:rPr>
        <w:t xml:space="preserve">ve výši 4 393 000 Kč. </w:t>
      </w:r>
      <w:r w:rsidR="00C73E3A">
        <w:rPr>
          <w:rFonts w:ascii="Arial" w:hAnsi="Arial" w:cs="Arial"/>
          <w:bCs/>
          <w:iCs/>
          <w:sz w:val="22"/>
          <w:szCs w:val="22"/>
        </w:rPr>
        <w:t>Z údajů vedených v účetnictví bylo zjištěno, že MZe p</w:t>
      </w:r>
      <w:r w:rsidR="00C73E3A" w:rsidRPr="00216978">
        <w:rPr>
          <w:rFonts w:ascii="Arial" w:hAnsi="Arial" w:cs="Arial"/>
          <w:bCs/>
          <w:iCs/>
          <w:sz w:val="22"/>
          <w:szCs w:val="22"/>
        </w:rPr>
        <w:t>řijalo</w:t>
      </w:r>
      <w:r w:rsidR="006966D0">
        <w:rPr>
          <w:rFonts w:ascii="Arial" w:hAnsi="Arial" w:cs="Arial"/>
          <w:bCs/>
          <w:iCs/>
          <w:sz w:val="22"/>
          <w:szCs w:val="22"/>
        </w:rPr>
        <w:t xml:space="preserve"> v roce 2013</w:t>
      </w:r>
      <w:r w:rsidR="00C73E3A">
        <w:rPr>
          <w:rFonts w:ascii="Arial" w:hAnsi="Arial" w:cs="Arial"/>
          <w:bCs/>
          <w:iCs/>
          <w:sz w:val="22"/>
          <w:szCs w:val="22"/>
        </w:rPr>
        <w:t xml:space="preserve"> i další peněžní prostředky</w:t>
      </w:r>
      <w:r w:rsidR="00447B2B">
        <w:rPr>
          <w:rFonts w:ascii="Arial" w:hAnsi="Arial" w:cs="Arial"/>
          <w:bCs/>
          <w:iCs/>
          <w:sz w:val="22"/>
          <w:szCs w:val="22"/>
        </w:rPr>
        <w:t>,</w:t>
      </w:r>
      <w:r w:rsidR="006966D0">
        <w:rPr>
          <w:rFonts w:ascii="Arial" w:hAnsi="Arial" w:cs="Arial"/>
          <w:bCs/>
          <w:iCs/>
          <w:sz w:val="22"/>
          <w:szCs w:val="22"/>
        </w:rPr>
        <w:t xml:space="preserve"> a to</w:t>
      </w:r>
      <w:r w:rsidR="00C73E3A">
        <w:rPr>
          <w:rFonts w:ascii="Arial" w:hAnsi="Arial" w:cs="Arial"/>
          <w:bCs/>
          <w:iCs/>
          <w:sz w:val="22"/>
          <w:szCs w:val="22"/>
        </w:rPr>
        <w:t xml:space="preserve"> </w:t>
      </w:r>
      <w:r w:rsidR="00C73E3A" w:rsidRPr="00216978">
        <w:rPr>
          <w:rFonts w:ascii="Arial" w:hAnsi="Arial" w:cs="Arial"/>
          <w:bCs/>
          <w:iCs/>
          <w:sz w:val="22"/>
          <w:szCs w:val="22"/>
        </w:rPr>
        <w:t xml:space="preserve">z titulu uspokojení pohledávek </w:t>
      </w:r>
      <w:r w:rsidR="00C73E3A">
        <w:rPr>
          <w:rFonts w:ascii="Arial" w:hAnsi="Arial" w:cs="Arial"/>
          <w:bCs/>
          <w:iCs/>
          <w:sz w:val="22"/>
          <w:szCs w:val="22"/>
        </w:rPr>
        <w:t>z nesplacených návratných finančních výpomocí přihlášených do konkursu</w:t>
      </w:r>
      <w:r w:rsidR="006966D0">
        <w:rPr>
          <w:rFonts w:ascii="Arial" w:hAnsi="Arial" w:cs="Arial"/>
          <w:bCs/>
          <w:iCs/>
          <w:sz w:val="22"/>
          <w:szCs w:val="22"/>
        </w:rPr>
        <w:t xml:space="preserve"> </w:t>
      </w:r>
      <w:r w:rsidR="00C73E3A">
        <w:rPr>
          <w:rFonts w:ascii="Arial" w:hAnsi="Arial" w:cs="Arial"/>
          <w:bCs/>
          <w:iCs/>
          <w:sz w:val="22"/>
          <w:szCs w:val="22"/>
        </w:rPr>
        <w:t>v celkové výši 904 110,10 Kč (</w:t>
      </w:r>
      <w:r w:rsidR="00447B2B">
        <w:rPr>
          <w:rFonts w:ascii="Arial" w:hAnsi="Arial" w:cs="Arial"/>
          <w:bCs/>
          <w:iCs/>
          <w:sz w:val="22"/>
          <w:szCs w:val="22"/>
        </w:rPr>
        <w:t>podrobněji</w:t>
      </w:r>
      <w:r w:rsidR="00C73E3A">
        <w:rPr>
          <w:rFonts w:ascii="Arial" w:hAnsi="Arial" w:cs="Arial"/>
          <w:bCs/>
          <w:iCs/>
          <w:sz w:val="22"/>
          <w:szCs w:val="22"/>
        </w:rPr>
        <w:t xml:space="preserve"> viz bod 5 tohoto kontrolního závěru).</w:t>
      </w:r>
      <w:r w:rsidR="00447B2B">
        <w:rPr>
          <w:rFonts w:ascii="Arial" w:hAnsi="Arial" w:cs="Arial"/>
          <w:bCs/>
          <w:iCs/>
          <w:sz w:val="22"/>
          <w:szCs w:val="22"/>
        </w:rPr>
        <w:t xml:space="preserve"> </w:t>
      </w:r>
      <w:r w:rsidR="00BA58B5">
        <w:rPr>
          <w:rFonts w:ascii="Arial" w:hAnsi="Arial" w:cs="Arial"/>
          <w:bCs/>
          <w:iCs/>
          <w:sz w:val="22"/>
          <w:szCs w:val="22"/>
        </w:rPr>
        <w:t>Žádná z těchto skutečností nebyla v ZÚ 2013 uvedena ani komentována</w:t>
      </w:r>
      <w:r w:rsidR="00051E78">
        <w:rPr>
          <w:rFonts w:ascii="Arial" w:hAnsi="Arial" w:cs="Arial"/>
          <w:bCs/>
          <w:iCs/>
          <w:sz w:val="22"/>
          <w:szCs w:val="22"/>
        </w:rPr>
        <w:t>.</w:t>
      </w:r>
    </w:p>
    <w:p w:rsidR="008C65BF" w:rsidRDefault="008C65BF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B102E" w:rsidRPr="00325FAC" w:rsidRDefault="000B102E" w:rsidP="00325FAC">
      <w:pPr>
        <w:pStyle w:val="Odstavecseseznamem"/>
        <w:numPr>
          <w:ilvl w:val="0"/>
          <w:numId w:val="30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>Majetkové účasti</w:t>
      </w:r>
      <w:r w:rsidR="00C83D9C" w:rsidRPr="00325FAC">
        <w:rPr>
          <w:rFonts w:ascii="Arial" w:hAnsi="Arial" w:cs="Arial"/>
          <w:b/>
          <w:i/>
          <w:sz w:val="22"/>
          <w:szCs w:val="22"/>
        </w:rPr>
        <w:t xml:space="preserve"> státu v obchodních společnostech</w:t>
      </w:r>
    </w:p>
    <w:p w:rsidR="00FC525D" w:rsidRDefault="00FC525D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B102E" w:rsidRDefault="00E44E8A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44E8A">
        <w:rPr>
          <w:rFonts w:ascii="Arial" w:hAnsi="Arial" w:cs="Arial"/>
          <w:bCs/>
          <w:iCs/>
          <w:sz w:val="22"/>
          <w:szCs w:val="22"/>
        </w:rPr>
        <w:t>Vyhláška č. 419/2001 Sb. nestanoví v jakém ocenění má účetní jednotka majetkové účasti</w:t>
      </w:r>
      <w:r w:rsidR="00C83D9C">
        <w:rPr>
          <w:rFonts w:ascii="Arial" w:hAnsi="Arial" w:cs="Arial"/>
          <w:bCs/>
          <w:iCs/>
          <w:sz w:val="22"/>
          <w:szCs w:val="22"/>
        </w:rPr>
        <w:t xml:space="preserve"> státu v obchodních společnostech</w:t>
      </w:r>
      <w:r w:rsidR="00172207">
        <w:rPr>
          <w:rFonts w:ascii="Arial" w:hAnsi="Arial" w:cs="Arial"/>
          <w:bCs/>
          <w:iCs/>
          <w:sz w:val="22"/>
          <w:szCs w:val="22"/>
        </w:rPr>
        <w:t xml:space="preserve"> </w:t>
      </w:r>
      <w:r w:rsidR="006966D0">
        <w:rPr>
          <w:rFonts w:ascii="Arial" w:hAnsi="Arial" w:cs="Arial"/>
          <w:bCs/>
          <w:iCs/>
          <w:sz w:val="22"/>
          <w:szCs w:val="22"/>
        </w:rPr>
        <w:t>uvádět v</w:t>
      </w:r>
      <w:r w:rsidR="00CD7E0C">
        <w:rPr>
          <w:rFonts w:ascii="Arial" w:hAnsi="Arial" w:cs="Arial"/>
          <w:bCs/>
          <w:iCs/>
          <w:sz w:val="22"/>
          <w:szCs w:val="22"/>
        </w:rPr>
        <w:t xml:space="preserve"> </w:t>
      </w:r>
      <w:r w:rsidR="006966D0">
        <w:rPr>
          <w:rFonts w:ascii="Arial" w:hAnsi="Arial" w:cs="Arial"/>
          <w:bCs/>
          <w:iCs/>
          <w:sz w:val="22"/>
          <w:szCs w:val="22"/>
        </w:rPr>
        <w:t>ZÚ</w:t>
      </w:r>
      <w:r w:rsidRPr="00E44E8A">
        <w:rPr>
          <w:rFonts w:ascii="Arial" w:hAnsi="Arial" w:cs="Arial"/>
          <w:bCs/>
          <w:iCs/>
          <w:sz w:val="22"/>
          <w:szCs w:val="22"/>
        </w:rPr>
        <w:t xml:space="preserve">, zda v pořizovací ceně, </w:t>
      </w:r>
      <w:r w:rsidR="006966D0">
        <w:rPr>
          <w:rFonts w:ascii="Arial" w:hAnsi="Arial" w:cs="Arial"/>
          <w:bCs/>
          <w:iCs/>
          <w:sz w:val="22"/>
          <w:szCs w:val="22"/>
        </w:rPr>
        <w:t xml:space="preserve">v </w:t>
      </w:r>
      <w:r w:rsidRPr="00E44E8A">
        <w:rPr>
          <w:rFonts w:ascii="Arial" w:hAnsi="Arial" w:cs="Arial"/>
          <w:bCs/>
          <w:iCs/>
          <w:sz w:val="22"/>
          <w:szCs w:val="22"/>
        </w:rPr>
        <w:t>účetní hodnotě</w:t>
      </w:r>
      <w:r w:rsidR="00C83D9C">
        <w:rPr>
          <w:rFonts w:ascii="Arial" w:hAnsi="Arial" w:cs="Arial"/>
          <w:bCs/>
          <w:iCs/>
          <w:sz w:val="22"/>
          <w:szCs w:val="22"/>
        </w:rPr>
        <w:t xml:space="preserve"> k datu účetní závěrky</w:t>
      </w:r>
      <w:r w:rsidRPr="00E44E8A">
        <w:rPr>
          <w:rFonts w:ascii="Arial" w:hAnsi="Arial" w:cs="Arial"/>
          <w:bCs/>
          <w:iCs/>
          <w:sz w:val="22"/>
          <w:szCs w:val="22"/>
        </w:rPr>
        <w:t xml:space="preserve"> </w:t>
      </w:r>
      <w:r w:rsidR="006966D0">
        <w:rPr>
          <w:rFonts w:ascii="Arial" w:hAnsi="Arial" w:cs="Arial"/>
          <w:bCs/>
          <w:iCs/>
          <w:sz w:val="22"/>
          <w:szCs w:val="22"/>
        </w:rPr>
        <w:t>nebo ve</w:t>
      </w:r>
      <w:r w:rsidRPr="00E44E8A">
        <w:rPr>
          <w:rFonts w:ascii="Arial" w:hAnsi="Arial" w:cs="Arial"/>
          <w:bCs/>
          <w:iCs/>
          <w:sz w:val="22"/>
          <w:szCs w:val="22"/>
        </w:rPr>
        <w:t xml:space="preserve"> jmenovité hodnotě. MZe v závěrečném účtu vykázalo majetkové účasti v pořizovacích cenách, popř. v cenách, které jsou vzhledem k</w:t>
      </w:r>
      <w:r w:rsidR="00CD7E0C">
        <w:rPr>
          <w:rFonts w:ascii="Arial" w:hAnsi="Arial" w:cs="Arial"/>
          <w:bCs/>
          <w:iCs/>
          <w:sz w:val="22"/>
          <w:szCs w:val="22"/>
        </w:rPr>
        <w:t> </w:t>
      </w:r>
      <w:r w:rsidRPr="00E44E8A">
        <w:rPr>
          <w:rFonts w:ascii="Arial" w:hAnsi="Arial" w:cs="Arial"/>
          <w:bCs/>
          <w:iCs/>
          <w:sz w:val="22"/>
          <w:szCs w:val="22"/>
        </w:rPr>
        <w:t>nedostupnosti potřebných historických informací za pořizovací ceny považ</w:t>
      </w:r>
      <w:r w:rsidR="001408AA">
        <w:rPr>
          <w:rFonts w:ascii="Arial" w:hAnsi="Arial" w:cs="Arial"/>
          <w:bCs/>
          <w:iCs/>
          <w:sz w:val="22"/>
          <w:szCs w:val="22"/>
        </w:rPr>
        <w:t>ovány. Toto ocenění se o 96 880 </w:t>
      </w:r>
      <w:r w:rsidRPr="00E44E8A">
        <w:rPr>
          <w:rFonts w:ascii="Arial" w:hAnsi="Arial" w:cs="Arial"/>
          <w:bCs/>
          <w:iCs/>
          <w:sz w:val="22"/>
          <w:szCs w:val="22"/>
        </w:rPr>
        <w:t xml:space="preserve">600 Kč liší od </w:t>
      </w:r>
      <w:r w:rsidR="00C83D9C">
        <w:rPr>
          <w:rFonts w:ascii="Arial" w:hAnsi="Arial" w:cs="Arial"/>
          <w:bCs/>
          <w:iCs/>
          <w:sz w:val="22"/>
          <w:szCs w:val="22"/>
        </w:rPr>
        <w:t>jejich</w:t>
      </w:r>
      <w:r w:rsidR="00942DB6">
        <w:rPr>
          <w:rFonts w:ascii="Arial" w:hAnsi="Arial" w:cs="Arial"/>
          <w:bCs/>
          <w:iCs/>
          <w:sz w:val="22"/>
          <w:szCs w:val="22"/>
        </w:rPr>
        <w:t xml:space="preserve"> netto</w:t>
      </w:r>
      <w:r w:rsidR="00C83D9C">
        <w:rPr>
          <w:rFonts w:ascii="Arial" w:hAnsi="Arial" w:cs="Arial"/>
          <w:bCs/>
          <w:iCs/>
          <w:sz w:val="22"/>
          <w:szCs w:val="22"/>
        </w:rPr>
        <w:t xml:space="preserve"> účetní</w:t>
      </w:r>
      <w:r w:rsidRPr="00E44E8A">
        <w:rPr>
          <w:rFonts w:ascii="Arial" w:hAnsi="Arial" w:cs="Arial"/>
          <w:bCs/>
          <w:iCs/>
          <w:sz w:val="22"/>
          <w:szCs w:val="22"/>
        </w:rPr>
        <w:t xml:space="preserve"> hodnoty vykázan</w:t>
      </w:r>
      <w:r w:rsidR="00C83D9C">
        <w:rPr>
          <w:rFonts w:ascii="Arial" w:hAnsi="Arial" w:cs="Arial"/>
          <w:bCs/>
          <w:iCs/>
          <w:sz w:val="22"/>
          <w:szCs w:val="22"/>
        </w:rPr>
        <w:t>é</w:t>
      </w:r>
      <w:r w:rsidR="001408AA">
        <w:rPr>
          <w:rFonts w:ascii="Arial" w:hAnsi="Arial" w:cs="Arial"/>
          <w:bCs/>
          <w:iCs/>
          <w:sz w:val="22"/>
          <w:szCs w:val="22"/>
        </w:rPr>
        <w:t xml:space="preserve"> v účetní závěrce k 31. p</w:t>
      </w:r>
      <w:r w:rsidR="003378A9">
        <w:rPr>
          <w:rFonts w:ascii="Arial" w:hAnsi="Arial" w:cs="Arial"/>
          <w:bCs/>
          <w:iCs/>
          <w:sz w:val="22"/>
          <w:szCs w:val="22"/>
        </w:rPr>
        <w:t>rosinci</w:t>
      </w:r>
      <w:r w:rsidR="001408AA">
        <w:rPr>
          <w:rFonts w:ascii="Arial" w:hAnsi="Arial" w:cs="Arial"/>
          <w:bCs/>
          <w:iCs/>
          <w:sz w:val="22"/>
          <w:szCs w:val="22"/>
        </w:rPr>
        <w:t> </w:t>
      </w:r>
      <w:r w:rsidRPr="00E44E8A">
        <w:rPr>
          <w:rFonts w:ascii="Arial" w:hAnsi="Arial" w:cs="Arial"/>
          <w:bCs/>
          <w:iCs/>
          <w:sz w:val="22"/>
          <w:szCs w:val="22"/>
        </w:rPr>
        <w:t>2013</w:t>
      </w:r>
      <w:r w:rsidR="00C239FE">
        <w:rPr>
          <w:rFonts w:ascii="Arial" w:hAnsi="Arial" w:cs="Arial"/>
          <w:bCs/>
          <w:iCs/>
          <w:sz w:val="22"/>
          <w:szCs w:val="22"/>
        </w:rPr>
        <w:t xml:space="preserve">. </w:t>
      </w:r>
      <w:r w:rsidR="000A0CD5">
        <w:rPr>
          <w:rFonts w:ascii="Arial" w:hAnsi="Arial" w:cs="Arial"/>
          <w:bCs/>
          <w:iCs/>
          <w:sz w:val="22"/>
          <w:szCs w:val="22"/>
        </w:rPr>
        <w:t xml:space="preserve">Rozdíl je ve </w:t>
      </w:r>
      <w:r w:rsidRPr="00E44E8A">
        <w:rPr>
          <w:rFonts w:ascii="Arial" w:hAnsi="Arial" w:cs="Arial"/>
          <w:bCs/>
          <w:iCs/>
          <w:sz w:val="22"/>
          <w:szCs w:val="22"/>
        </w:rPr>
        <w:t>výši</w:t>
      </w:r>
      <w:r w:rsidR="00C83D9C">
        <w:rPr>
          <w:rFonts w:ascii="Arial" w:hAnsi="Arial" w:cs="Arial"/>
          <w:bCs/>
          <w:iCs/>
          <w:sz w:val="22"/>
          <w:szCs w:val="22"/>
        </w:rPr>
        <w:t xml:space="preserve"> vykázané</w:t>
      </w:r>
      <w:r w:rsidRPr="00E44E8A">
        <w:rPr>
          <w:rFonts w:ascii="Arial" w:hAnsi="Arial" w:cs="Arial"/>
          <w:bCs/>
          <w:iCs/>
          <w:sz w:val="22"/>
          <w:szCs w:val="22"/>
        </w:rPr>
        <w:t xml:space="preserve"> opravné položky k majetkové účasti</w:t>
      </w:r>
      <w:r w:rsidR="00C83D9C">
        <w:rPr>
          <w:rFonts w:ascii="Arial" w:hAnsi="Arial" w:cs="Arial"/>
          <w:bCs/>
          <w:iCs/>
          <w:sz w:val="22"/>
          <w:szCs w:val="22"/>
        </w:rPr>
        <w:t xml:space="preserve"> státu v jedné obchodní společnosti. Opravn</w:t>
      </w:r>
      <w:r w:rsidR="003C713A">
        <w:rPr>
          <w:rFonts w:ascii="Arial" w:hAnsi="Arial" w:cs="Arial"/>
          <w:bCs/>
          <w:iCs/>
          <w:sz w:val="22"/>
          <w:szCs w:val="22"/>
        </w:rPr>
        <w:t>ou</w:t>
      </w:r>
      <w:r w:rsidR="00C83D9C">
        <w:rPr>
          <w:rFonts w:ascii="Arial" w:hAnsi="Arial" w:cs="Arial"/>
          <w:bCs/>
          <w:iCs/>
          <w:sz w:val="22"/>
          <w:szCs w:val="22"/>
        </w:rPr>
        <w:t xml:space="preserve"> položk</w:t>
      </w:r>
      <w:r w:rsidR="003C713A">
        <w:rPr>
          <w:rFonts w:ascii="Arial" w:hAnsi="Arial" w:cs="Arial"/>
          <w:bCs/>
          <w:iCs/>
          <w:sz w:val="22"/>
          <w:szCs w:val="22"/>
        </w:rPr>
        <w:t>u MZe v ZÚ 2013</w:t>
      </w:r>
      <w:r w:rsidR="000A0CD5">
        <w:rPr>
          <w:rFonts w:ascii="Arial" w:hAnsi="Arial" w:cs="Arial"/>
          <w:bCs/>
          <w:iCs/>
          <w:sz w:val="22"/>
          <w:szCs w:val="22"/>
        </w:rPr>
        <w:t xml:space="preserve"> neuvedlo ani</w:t>
      </w:r>
      <w:r w:rsidR="003C713A">
        <w:rPr>
          <w:rFonts w:ascii="Arial" w:hAnsi="Arial" w:cs="Arial"/>
          <w:bCs/>
          <w:iCs/>
          <w:sz w:val="22"/>
          <w:szCs w:val="22"/>
        </w:rPr>
        <w:t xml:space="preserve"> nekomentovalo.</w:t>
      </w:r>
    </w:p>
    <w:p w:rsidR="009E5FB6" w:rsidRDefault="009E5FB6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B102E" w:rsidRPr="00325FAC" w:rsidRDefault="000B102E" w:rsidP="00325FAC">
      <w:pPr>
        <w:pStyle w:val="Odstavecseseznamem"/>
        <w:numPr>
          <w:ilvl w:val="0"/>
          <w:numId w:val="31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>Bezúplatné převody</w:t>
      </w:r>
    </w:p>
    <w:p w:rsidR="00FC525D" w:rsidRDefault="00FC525D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44E8A" w:rsidRDefault="00354599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Kontrolou bylo zjištěno, že </w:t>
      </w:r>
      <w:r w:rsidR="00E44E8A">
        <w:rPr>
          <w:rFonts w:ascii="Arial" w:hAnsi="Arial" w:cs="Arial"/>
          <w:bCs/>
          <w:iCs/>
          <w:sz w:val="22"/>
          <w:szCs w:val="22"/>
        </w:rPr>
        <w:t>MZe v rozporu s vyhláškou č. 419/2001 Sb.</w:t>
      </w:r>
      <w:r>
        <w:rPr>
          <w:rFonts w:ascii="Arial" w:hAnsi="Arial" w:cs="Arial"/>
          <w:bCs/>
          <w:iCs/>
          <w:sz w:val="22"/>
          <w:szCs w:val="22"/>
        </w:rPr>
        <w:t xml:space="preserve"> neinformovalo</w:t>
      </w:r>
      <w:r w:rsidR="00E44E8A">
        <w:rPr>
          <w:rFonts w:ascii="Arial" w:hAnsi="Arial" w:cs="Arial"/>
          <w:bCs/>
          <w:iCs/>
          <w:sz w:val="22"/>
          <w:szCs w:val="22"/>
        </w:rPr>
        <w:t xml:space="preserve"> v ZÚ 2013</w:t>
      </w:r>
      <w:r w:rsidR="00B03AE0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o</w:t>
      </w:r>
      <w:r w:rsidR="00E44E8A">
        <w:rPr>
          <w:rFonts w:ascii="Arial" w:hAnsi="Arial" w:cs="Arial"/>
          <w:bCs/>
          <w:iCs/>
          <w:sz w:val="22"/>
          <w:szCs w:val="22"/>
        </w:rPr>
        <w:t xml:space="preserve"> majetku</w:t>
      </w:r>
      <w:r w:rsidR="00B24C46">
        <w:rPr>
          <w:rFonts w:ascii="Arial" w:hAnsi="Arial" w:cs="Arial"/>
          <w:bCs/>
          <w:iCs/>
          <w:sz w:val="22"/>
          <w:szCs w:val="22"/>
        </w:rPr>
        <w:t xml:space="preserve"> v účetní hodnotě 21 333 201 Kč</w:t>
      </w:r>
      <w:r>
        <w:rPr>
          <w:rFonts w:ascii="Arial" w:hAnsi="Arial" w:cs="Arial"/>
          <w:bCs/>
          <w:iCs/>
          <w:sz w:val="22"/>
          <w:szCs w:val="22"/>
        </w:rPr>
        <w:t>, který bezúplatně nabylo</w:t>
      </w:r>
      <w:r w:rsidR="00BE0DF9" w:rsidRPr="00BE0DF9">
        <w:rPr>
          <w:rFonts w:ascii="Arial" w:hAnsi="Arial" w:cs="Arial"/>
          <w:bCs/>
          <w:iCs/>
          <w:sz w:val="22"/>
          <w:szCs w:val="22"/>
        </w:rPr>
        <w:t xml:space="preserve"> od statutárního města Opava</w:t>
      </w:r>
      <w:r w:rsidR="00B24C46">
        <w:rPr>
          <w:rFonts w:ascii="Arial" w:hAnsi="Arial" w:cs="Arial"/>
          <w:bCs/>
          <w:iCs/>
          <w:sz w:val="22"/>
          <w:szCs w:val="22"/>
        </w:rPr>
        <w:t>.</w:t>
      </w:r>
    </w:p>
    <w:p w:rsidR="00447B2B" w:rsidRDefault="00447B2B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176A0" w:rsidRPr="00325FAC" w:rsidRDefault="00E176A0" w:rsidP="00325FAC">
      <w:pPr>
        <w:pStyle w:val="Odstavecseseznamem"/>
        <w:numPr>
          <w:ilvl w:val="0"/>
          <w:numId w:val="32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>Zálohy</w:t>
      </w:r>
    </w:p>
    <w:p w:rsidR="00E176A0" w:rsidRDefault="00E176A0" w:rsidP="00C239F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176A0" w:rsidRPr="00E176A0" w:rsidRDefault="00E176A0" w:rsidP="00C239F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MZe v souladu s požadavky vyhlášky č. 419/2001 Sb.</w:t>
      </w:r>
      <w:r w:rsidR="00F86A83">
        <w:rPr>
          <w:rFonts w:ascii="Arial" w:hAnsi="Arial" w:cs="Arial"/>
          <w:bCs/>
          <w:iCs/>
          <w:sz w:val="22"/>
          <w:szCs w:val="22"/>
        </w:rPr>
        <w:t xml:space="preserve"> uvedlo</w:t>
      </w:r>
      <w:r w:rsidR="006F73B1">
        <w:rPr>
          <w:rFonts w:ascii="Arial" w:hAnsi="Arial" w:cs="Arial"/>
          <w:bCs/>
          <w:iCs/>
          <w:sz w:val="22"/>
          <w:szCs w:val="22"/>
        </w:rPr>
        <w:t xml:space="preserve"> v ZÚ 2013 informace o </w:t>
      </w:r>
      <w:r>
        <w:rPr>
          <w:rFonts w:ascii="Arial" w:hAnsi="Arial" w:cs="Arial"/>
          <w:bCs/>
          <w:iCs/>
          <w:sz w:val="22"/>
          <w:szCs w:val="22"/>
        </w:rPr>
        <w:t xml:space="preserve">zálohových platbách. Kontrolou </w:t>
      </w:r>
      <w:r w:rsidR="008018FC">
        <w:rPr>
          <w:rFonts w:ascii="Arial" w:hAnsi="Arial" w:cs="Arial"/>
          <w:bCs/>
          <w:iCs/>
          <w:sz w:val="22"/>
          <w:szCs w:val="22"/>
        </w:rPr>
        <w:t>b</w:t>
      </w:r>
      <w:r>
        <w:rPr>
          <w:rFonts w:ascii="Arial" w:hAnsi="Arial" w:cs="Arial"/>
          <w:bCs/>
          <w:iCs/>
          <w:sz w:val="22"/>
          <w:szCs w:val="22"/>
        </w:rPr>
        <w:t>ylo ověřeno, že údaje uvedené v ZÚ 2013 souhlasí s údaji vykázanými v ÚZ MZe sestavené k 31. prosinci 2013.</w:t>
      </w:r>
    </w:p>
    <w:p w:rsidR="00F42D18" w:rsidRDefault="00F42D18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997F1A" w:rsidRDefault="00997F1A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42D18" w:rsidRDefault="00F42D18" w:rsidP="00CD7E0C">
      <w:pPr>
        <w:ind w:left="284" w:hanging="284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42D18">
        <w:rPr>
          <w:rFonts w:ascii="Arial" w:hAnsi="Arial" w:cs="Arial"/>
          <w:b/>
          <w:bCs/>
          <w:iCs/>
          <w:sz w:val="22"/>
          <w:szCs w:val="22"/>
        </w:rPr>
        <w:lastRenderedPageBreak/>
        <w:t>4.</w:t>
      </w:r>
      <w:r w:rsidR="00CD7E0C">
        <w:rPr>
          <w:rFonts w:ascii="Arial" w:hAnsi="Arial" w:cs="Arial"/>
          <w:b/>
          <w:bCs/>
          <w:iCs/>
          <w:sz w:val="22"/>
          <w:szCs w:val="22"/>
        </w:rPr>
        <w:tab/>
      </w:r>
      <w:r w:rsidRPr="00F42D18">
        <w:rPr>
          <w:rFonts w:ascii="Arial" w:hAnsi="Arial" w:cs="Arial"/>
          <w:b/>
          <w:bCs/>
          <w:iCs/>
          <w:sz w:val="22"/>
          <w:szCs w:val="22"/>
        </w:rPr>
        <w:t>Kontrola opatření přijatých MZe k nápravě nedostat</w:t>
      </w:r>
      <w:r w:rsidR="006F73B1">
        <w:rPr>
          <w:rFonts w:ascii="Arial" w:hAnsi="Arial" w:cs="Arial"/>
          <w:b/>
          <w:bCs/>
          <w:iCs/>
          <w:sz w:val="22"/>
          <w:szCs w:val="22"/>
        </w:rPr>
        <w:t>ků zjištěných kontrolní akcí č. </w:t>
      </w:r>
      <w:r w:rsidRPr="00F42D18">
        <w:rPr>
          <w:rFonts w:ascii="Arial" w:hAnsi="Arial" w:cs="Arial"/>
          <w:b/>
          <w:bCs/>
          <w:iCs/>
          <w:sz w:val="22"/>
          <w:szCs w:val="22"/>
        </w:rPr>
        <w:t>12/15</w:t>
      </w:r>
    </w:p>
    <w:p w:rsidR="00C6418B" w:rsidRPr="00216978" w:rsidRDefault="00C6418B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D16E3" w:rsidRDefault="000802FA" w:rsidP="000D16E3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Pr="005D4E1F">
        <w:rPr>
          <w:rFonts w:ascii="Arial" w:hAnsi="Arial" w:cs="Arial"/>
          <w:sz w:val="22"/>
          <w:szCs w:val="22"/>
        </w:rPr>
        <w:t xml:space="preserve">nápravě </w:t>
      </w:r>
      <w:r>
        <w:rPr>
          <w:rFonts w:ascii="Arial" w:hAnsi="Arial" w:cs="Arial"/>
          <w:sz w:val="22"/>
          <w:szCs w:val="22"/>
        </w:rPr>
        <w:t xml:space="preserve">nedostatků </w:t>
      </w:r>
      <w:r w:rsidRPr="005D4E1F">
        <w:rPr>
          <w:rFonts w:ascii="Arial" w:hAnsi="Arial" w:cs="Arial"/>
          <w:sz w:val="22"/>
          <w:szCs w:val="22"/>
        </w:rPr>
        <w:t>zjištěn</w:t>
      </w:r>
      <w:r>
        <w:rPr>
          <w:rFonts w:ascii="Arial" w:hAnsi="Arial" w:cs="Arial"/>
          <w:sz w:val="22"/>
          <w:szCs w:val="22"/>
        </w:rPr>
        <w:t>ých</w:t>
      </w:r>
      <w:r w:rsidRPr="005D4E1F">
        <w:rPr>
          <w:rFonts w:ascii="Arial" w:hAnsi="Arial" w:cs="Arial"/>
          <w:sz w:val="22"/>
          <w:szCs w:val="22"/>
        </w:rPr>
        <w:t xml:space="preserve"> kontrolní akc</w:t>
      </w:r>
      <w:r>
        <w:rPr>
          <w:rFonts w:ascii="Arial" w:hAnsi="Arial" w:cs="Arial"/>
          <w:sz w:val="22"/>
          <w:szCs w:val="22"/>
        </w:rPr>
        <w:t>í</w:t>
      </w:r>
      <w:r w:rsidRPr="005D4E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12/15</w:t>
      </w:r>
      <w:r w:rsidRPr="005D4E1F">
        <w:rPr>
          <w:rFonts w:ascii="Arial" w:hAnsi="Arial" w:cs="Arial"/>
          <w:sz w:val="22"/>
          <w:szCs w:val="22"/>
        </w:rPr>
        <w:t xml:space="preserve"> přijalo </w:t>
      </w:r>
      <w:r>
        <w:rPr>
          <w:rFonts w:ascii="Arial" w:hAnsi="Arial" w:cs="Arial"/>
          <w:sz w:val="22"/>
          <w:szCs w:val="22"/>
        </w:rPr>
        <w:t>MZe</w:t>
      </w:r>
      <w:r w:rsidRPr="005D4E1F">
        <w:rPr>
          <w:rFonts w:ascii="Arial" w:hAnsi="Arial" w:cs="Arial"/>
          <w:sz w:val="22"/>
          <w:szCs w:val="22"/>
        </w:rPr>
        <w:t xml:space="preserve"> řadu opatření, která přispěla</w:t>
      </w:r>
      <w:r>
        <w:rPr>
          <w:rFonts w:ascii="Arial" w:hAnsi="Arial" w:cs="Arial"/>
          <w:sz w:val="22"/>
          <w:szCs w:val="22"/>
        </w:rPr>
        <w:t xml:space="preserve"> </w:t>
      </w:r>
      <w:r w:rsidRPr="005D4E1F">
        <w:rPr>
          <w:rFonts w:ascii="Arial" w:hAnsi="Arial" w:cs="Arial"/>
          <w:sz w:val="22"/>
          <w:szCs w:val="22"/>
        </w:rPr>
        <w:t>k odstranění většiny identifikovaných nesprávností</w:t>
      </w:r>
      <w:r>
        <w:rPr>
          <w:rFonts w:ascii="Arial" w:hAnsi="Arial" w:cs="Arial"/>
          <w:sz w:val="22"/>
          <w:szCs w:val="22"/>
        </w:rPr>
        <w:t>. V kontrolovaném období 2013 přetrvávaly</w:t>
      </w:r>
      <w:r w:rsidR="00E03ADC">
        <w:rPr>
          <w:rFonts w:ascii="Arial" w:hAnsi="Arial" w:cs="Arial"/>
          <w:sz w:val="22"/>
          <w:szCs w:val="22"/>
        </w:rPr>
        <w:t xml:space="preserve"> níže uvedené </w:t>
      </w:r>
      <w:r>
        <w:rPr>
          <w:rFonts w:ascii="Arial" w:hAnsi="Arial" w:cs="Arial"/>
          <w:sz w:val="22"/>
          <w:szCs w:val="22"/>
        </w:rPr>
        <w:t>opakující se nedostatky</w:t>
      </w:r>
      <w:r w:rsidR="00F00CBF">
        <w:rPr>
          <w:rFonts w:ascii="Arial" w:hAnsi="Arial" w:cs="Arial"/>
          <w:sz w:val="22"/>
          <w:szCs w:val="22"/>
        </w:rPr>
        <w:t>.</w:t>
      </w:r>
    </w:p>
    <w:p w:rsidR="003C13E9" w:rsidRPr="00B073C2" w:rsidRDefault="003C13E9" w:rsidP="00B073C2">
      <w:pPr>
        <w:jc w:val="both"/>
        <w:rPr>
          <w:rFonts w:ascii="Arial" w:hAnsi="Arial" w:cs="Arial"/>
          <w:sz w:val="22"/>
          <w:szCs w:val="22"/>
        </w:rPr>
      </w:pPr>
    </w:p>
    <w:p w:rsidR="00DA7E61" w:rsidRDefault="003C13E9" w:rsidP="003C13E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4.1 Vklad pozemku do obchodní společnosti bez souhlasu vlády</w:t>
      </w:r>
    </w:p>
    <w:p w:rsidR="00DA7E61" w:rsidRDefault="00DA7E61" w:rsidP="003C13E9">
      <w:pPr>
        <w:jc w:val="both"/>
        <w:rPr>
          <w:rFonts w:ascii="Arial" w:hAnsi="Arial" w:cs="Arial"/>
          <w:b/>
          <w:sz w:val="22"/>
          <w:szCs w:val="22"/>
        </w:rPr>
      </w:pPr>
    </w:p>
    <w:p w:rsidR="003C13E9" w:rsidRDefault="003C13E9" w:rsidP="003C13E9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</w:t>
      </w:r>
      <w:r w:rsidR="00DA7E61">
        <w:rPr>
          <w:rFonts w:ascii="Arial" w:hAnsi="Arial" w:cs="Arial"/>
          <w:sz w:val="22"/>
          <w:szCs w:val="22"/>
        </w:rPr>
        <w:t>kontrolní akci</w:t>
      </w:r>
      <w:r>
        <w:rPr>
          <w:rFonts w:ascii="Arial" w:hAnsi="Arial" w:cs="Arial"/>
          <w:sz w:val="22"/>
          <w:szCs w:val="22"/>
        </w:rPr>
        <w:t xml:space="preserve"> č. 10/07 bylo zjištěno, že MZe </w:t>
      </w:r>
      <w:r w:rsidR="00447B2B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mlouvou o vkladu podniku ze dne 20.</w:t>
      </w:r>
      <w:r w:rsidR="00CD7E0C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října</w:t>
      </w:r>
      <w:r w:rsidR="00CD7E0C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2004</w:t>
      </w:r>
      <w:r w:rsidR="00374457">
        <w:rPr>
          <w:rFonts w:ascii="Arial" w:hAnsi="Arial" w:cs="Arial"/>
          <w:bCs/>
          <w:iCs/>
          <w:sz w:val="22"/>
          <w:szCs w:val="22"/>
        </w:rPr>
        <w:t xml:space="preserve"> (</w:t>
      </w:r>
      <w:r>
        <w:rPr>
          <w:rFonts w:ascii="Arial" w:hAnsi="Arial" w:cs="Arial"/>
          <w:bCs/>
          <w:iCs/>
          <w:sz w:val="22"/>
          <w:szCs w:val="22"/>
        </w:rPr>
        <w:t>uzavřenou mezi Českou republikou – MZe a obchodní společností</w:t>
      </w:r>
      <w:r w:rsidR="00374457">
        <w:rPr>
          <w:rFonts w:ascii="Arial" w:hAnsi="Arial" w:cs="Arial"/>
          <w:bCs/>
          <w:iCs/>
          <w:sz w:val="22"/>
          <w:szCs w:val="22"/>
        </w:rPr>
        <w:t>)</w:t>
      </w:r>
      <w:r>
        <w:rPr>
          <w:rFonts w:ascii="Arial" w:hAnsi="Arial" w:cs="Arial"/>
          <w:bCs/>
          <w:iCs/>
          <w:sz w:val="22"/>
          <w:szCs w:val="22"/>
        </w:rPr>
        <w:t xml:space="preserve"> vložilo do</w:t>
      </w:r>
      <w:r w:rsidR="00656175">
        <w:rPr>
          <w:rFonts w:ascii="Arial" w:hAnsi="Arial" w:cs="Arial"/>
          <w:bCs/>
          <w:iCs/>
          <w:sz w:val="22"/>
          <w:szCs w:val="22"/>
        </w:rPr>
        <w:t xml:space="preserve"> obchodní</w:t>
      </w:r>
      <w:r>
        <w:rPr>
          <w:rFonts w:ascii="Arial" w:hAnsi="Arial" w:cs="Arial"/>
          <w:bCs/>
          <w:iCs/>
          <w:sz w:val="22"/>
          <w:szCs w:val="22"/>
        </w:rPr>
        <w:t xml:space="preserve"> společnosti </w:t>
      </w:r>
      <w:r w:rsidR="002B5B02">
        <w:rPr>
          <w:rFonts w:ascii="Arial" w:hAnsi="Arial" w:cs="Arial"/>
          <w:bCs/>
          <w:iCs/>
          <w:sz w:val="22"/>
          <w:szCs w:val="22"/>
        </w:rPr>
        <w:t>i pozemky, s jejichž vkladem nevyslovila vláda podle ustanovení § 28 odst. 3 zákona č. 219/2000 Sb. souhlas. Jedním z nich byl</w:t>
      </w:r>
      <w:r>
        <w:rPr>
          <w:rFonts w:ascii="Arial" w:hAnsi="Arial" w:cs="Arial"/>
          <w:bCs/>
          <w:iCs/>
          <w:sz w:val="22"/>
          <w:szCs w:val="22"/>
        </w:rPr>
        <w:t xml:space="preserve"> pozemek parcelní číslo 391/34 v obci Praha v katastrálním území Řepy</w:t>
      </w:r>
      <w:r w:rsidR="002B5B02">
        <w:rPr>
          <w:rFonts w:ascii="Arial" w:hAnsi="Arial" w:cs="Arial"/>
          <w:bCs/>
          <w:iCs/>
          <w:sz w:val="22"/>
          <w:szCs w:val="22"/>
        </w:rPr>
        <w:t xml:space="preserve">, který </w:t>
      </w:r>
      <w:r>
        <w:rPr>
          <w:rFonts w:ascii="Arial" w:hAnsi="Arial" w:cs="Arial"/>
          <w:bCs/>
          <w:iCs/>
          <w:sz w:val="22"/>
          <w:szCs w:val="22"/>
        </w:rPr>
        <w:t>vznikl rozdělením pozemku p</w:t>
      </w:r>
      <w:r w:rsidR="00F44B09">
        <w:rPr>
          <w:rFonts w:ascii="Arial" w:hAnsi="Arial" w:cs="Arial"/>
          <w:bCs/>
          <w:iCs/>
          <w:sz w:val="22"/>
          <w:szCs w:val="22"/>
        </w:rPr>
        <w:t>arcelní číslo dle pozemkov</w:t>
      </w:r>
      <w:r w:rsidR="00374457">
        <w:rPr>
          <w:rFonts w:ascii="Arial" w:hAnsi="Arial" w:cs="Arial"/>
          <w:bCs/>
          <w:iCs/>
          <w:sz w:val="22"/>
          <w:szCs w:val="22"/>
        </w:rPr>
        <w:t>é</w:t>
      </w:r>
      <w:r w:rsidR="00F44B09">
        <w:rPr>
          <w:rFonts w:ascii="Arial" w:hAnsi="Arial" w:cs="Arial"/>
          <w:bCs/>
          <w:iCs/>
          <w:sz w:val="22"/>
          <w:szCs w:val="22"/>
        </w:rPr>
        <w:t xml:space="preserve"> knih</w:t>
      </w:r>
      <w:r w:rsidR="00374457">
        <w:rPr>
          <w:rFonts w:ascii="Arial" w:hAnsi="Arial" w:cs="Arial"/>
          <w:bCs/>
          <w:iCs/>
          <w:sz w:val="22"/>
          <w:szCs w:val="22"/>
        </w:rPr>
        <w:t>y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F44B09">
        <w:rPr>
          <w:rFonts w:ascii="Arial" w:hAnsi="Arial" w:cs="Arial"/>
          <w:bCs/>
          <w:iCs/>
          <w:sz w:val="22"/>
          <w:szCs w:val="22"/>
        </w:rPr>
        <w:t xml:space="preserve">č. </w:t>
      </w:r>
      <w:r>
        <w:rPr>
          <w:rFonts w:ascii="Arial" w:hAnsi="Arial" w:cs="Arial"/>
          <w:bCs/>
          <w:iCs/>
          <w:sz w:val="22"/>
          <w:szCs w:val="22"/>
        </w:rPr>
        <w:t>163 v</w:t>
      </w:r>
      <w:r w:rsidR="00F44B09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k</w:t>
      </w:r>
      <w:r w:rsidR="00F44B09">
        <w:rPr>
          <w:rFonts w:ascii="Arial" w:hAnsi="Arial" w:cs="Arial"/>
          <w:bCs/>
          <w:iCs/>
          <w:sz w:val="22"/>
          <w:szCs w:val="22"/>
        </w:rPr>
        <w:t xml:space="preserve">atastrálním </w:t>
      </w:r>
      <w:r>
        <w:rPr>
          <w:rFonts w:ascii="Arial" w:hAnsi="Arial" w:cs="Arial"/>
          <w:bCs/>
          <w:iCs/>
          <w:sz w:val="22"/>
          <w:szCs w:val="22"/>
        </w:rPr>
        <w:t>ú</w:t>
      </w:r>
      <w:r w:rsidR="00F44B09">
        <w:rPr>
          <w:rFonts w:ascii="Arial" w:hAnsi="Arial" w:cs="Arial"/>
          <w:bCs/>
          <w:iCs/>
          <w:sz w:val="22"/>
          <w:szCs w:val="22"/>
        </w:rPr>
        <w:t>zemí</w:t>
      </w:r>
      <w:r>
        <w:rPr>
          <w:rFonts w:ascii="Arial" w:hAnsi="Arial" w:cs="Arial"/>
          <w:bCs/>
          <w:iCs/>
          <w:sz w:val="22"/>
          <w:szCs w:val="22"/>
        </w:rPr>
        <w:t xml:space="preserve"> Řepy</w:t>
      </w:r>
      <w:r w:rsidR="002B5B02">
        <w:rPr>
          <w:rFonts w:ascii="Arial" w:hAnsi="Arial" w:cs="Arial"/>
          <w:bCs/>
          <w:iCs/>
          <w:sz w:val="22"/>
          <w:szCs w:val="22"/>
        </w:rPr>
        <w:t>. J</w:t>
      </w:r>
      <w:r>
        <w:rPr>
          <w:rFonts w:ascii="Arial" w:hAnsi="Arial" w:cs="Arial"/>
          <w:bCs/>
          <w:iCs/>
          <w:sz w:val="22"/>
          <w:szCs w:val="22"/>
        </w:rPr>
        <w:t>eho vklad</w:t>
      </w:r>
      <w:r w:rsidR="002B5B0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vláda</w:t>
      </w:r>
      <w:r w:rsidR="005B1B65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10"/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B5B02">
        <w:rPr>
          <w:rFonts w:ascii="Arial" w:hAnsi="Arial" w:cs="Arial"/>
          <w:bCs/>
          <w:iCs/>
          <w:sz w:val="22"/>
          <w:szCs w:val="22"/>
        </w:rPr>
        <w:t xml:space="preserve">neodsouhlasila </w:t>
      </w:r>
      <w:r>
        <w:rPr>
          <w:rFonts w:ascii="Arial" w:hAnsi="Arial" w:cs="Arial"/>
          <w:bCs/>
          <w:iCs/>
          <w:sz w:val="22"/>
          <w:szCs w:val="22"/>
        </w:rPr>
        <w:t>z důvodu možných restitučních nároků</w:t>
      </w:r>
      <w:r w:rsidR="005B1B65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3C13E9" w:rsidRDefault="003C13E9" w:rsidP="003C13E9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3C13E9" w:rsidRDefault="003C13E9" w:rsidP="003C13E9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kontrole opatření přijatých k nápravě bylo v rámci kontrolní akce č. 12/15 zjištěno, že MZe provedlo nápravu v této oblasti tím, že vládě předložilo materiál, ve kterém</w:t>
      </w:r>
      <w:r w:rsidR="002B5B02">
        <w:rPr>
          <w:rFonts w:ascii="Arial" w:hAnsi="Arial" w:cs="Arial"/>
          <w:sz w:val="22"/>
          <w:szCs w:val="22"/>
        </w:rPr>
        <w:t xml:space="preserve"> ji </w:t>
      </w:r>
      <w:r>
        <w:rPr>
          <w:rFonts w:ascii="Arial" w:hAnsi="Arial" w:cs="Arial"/>
          <w:sz w:val="22"/>
          <w:szCs w:val="22"/>
        </w:rPr>
        <w:t>žádá o souhlas</w:t>
      </w:r>
      <w:r w:rsidR="00CD7E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 vkladem pro ty pozemky, které byly v roce 2004 vloženy</w:t>
      </w:r>
      <w:r w:rsidR="002B5B02">
        <w:rPr>
          <w:rFonts w:ascii="Arial" w:hAnsi="Arial" w:cs="Arial"/>
          <w:sz w:val="22"/>
          <w:szCs w:val="22"/>
        </w:rPr>
        <w:t xml:space="preserve"> do obchodní společnosti</w:t>
      </w:r>
      <w:r>
        <w:rPr>
          <w:rFonts w:ascii="Arial" w:hAnsi="Arial" w:cs="Arial"/>
          <w:sz w:val="22"/>
          <w:szCs w:val="22"/>
        </w:rPr>
        <w:t xml:space="preserve"> bez jejího souhlasu. Součástí tohoto materiálu však </w:t>
      </w:r>
      <w:r>
        <w:rPr>
          <w:rFonts w:ascii="Arial" w:hAnsi="Arial" w:cs="Arial"/>
          <w:b/>
          <w:sz w:val="22"/>
          <w:szCs w:val="22"/>
        </w:rPr>
        <w:t>nebyla žádost o souhlas s vkladem pozemku parcelní číslo 391/34</w:t>
      </w:r>
      <w:r w:rsidRPr="00447B2B">
        <w:rPr>
          <w:rStyle w:val="Znakapoznpodarou"/>
          <w:rFonts w:ascii="Arial" w:eastAsiaTheme="majorEastAsia" w:hAnsi="Arial"/>
          <w:b/>
          <w:sz w:val="22"/>
          <w:szCs w:val="22"/>
        </w:rPr>
        <w:footnoteReference w:id="12"/>
      </w:r>
      <w:r w:rsidRPr="00447B2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Vláda svým usnesením ze dne 16. února 2011 č. 123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vyslovila souhlas pouze s vkladem pozemků uvedených v žádosti.   </w:t>
      </w:r>
    </w:p>
    <w:p w:rsidR="003C13E9" w:rsidRDefault="003C13E9" w:rsidP="003C13E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:rsidR="003C13E9" w:rsidRDefault="00656175" w:rsidP="003C13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Přesto MZe uzavřelo s obchodní společností</w:t>
      </w:r>
      <w:r w:rsidR="003C13E9">
        <w:rPr>
          <w:rFonts w:ascii="Arial" w:hAnsi="Arial" w:cs="Arial"/>
          <w:sz w:val="22"/>
          <w:szCs w:val="22"/>
        </w:rPr>
        <w:t xml:space="preserve"> dne 16. ledna 2012 </w:t>
      </w:r>
      <w:r w:rsidR="00447B2B">
        <w:rPr>
          <w:rFonts w:ascii="Arial" w:hAnsi="Arial" w:cs="Arial"/>
          <w:sz w:val="22"/>
          <w:szCs w:val="22"/>
        </w:rPr>
        <w:t>s</w:t>
      </w:r>
      <w:r w:rsidR="003C13E9">
        <w:rPr>
          <w:rFonts w:ascii="Arial" w:hAnsi="Arial" w:cs="Arial"/>
          <w:sz w:val="22"/>
          <w:szCs w:val="22"/>
        </w:rPr>
        <w:t>mlouvu o upsání akcií, v jejímž důsledku byly</w:t>
      </w:r>
      <w:r w:rsidR="007438B1">
        <w:rPr>
          <w:rFonts w:ascii="Arial" w:hAnsi="Arial" w:cs="Arial"/>
          <w:sz w:val="22"/>
          <w:szCs w:val="22"/>
        </w:rPr>
        <w:t xml:space="preserve"> </w:t>
      </w:r>
      <w:r w:rsidR="003C13E9">
        <w:rPr>
          <w:rFonts w:ascii="Arial" w:hAnsi="Arial" w:cs="Arial"/>
          <w:sz w:val="22"/>
          <w:szCs w:val="22"/>
        </w:rPr>
        <w:t>vloženy do základního kapitálu</w:t>
      </w:r>
      <w:r>
        <w:rPr>
          <w:rFonts w:ascii="Arial" w:hAnsi="Arial" w:cs="Arial"/>
          <w:sz w:val="22"/>
          <w:szCs w:val="22"/>
        </w:rPr>
        <w:t xml:space="preserve"> obchodní</w:t>
      </w:r>
      <w:r w:rsidR="003C13E9">
        <w:rPr>
          <w:rFonts w:ascii="Arial" w:hAnsi="Arial" w:cs="Arial"/>
          <w:sz w:val="22"/>
          <w:szCs w:val="22"/>
        </w:rPr>
        <w:t xml:space="preserve"> společnosti </w:t>
      </w:r>
      <w:r w:rsidR="007438B1">
        <w:rPr>
          <w:rFonts w:ascii="Arial" w:eastAsia="Calibri" w:hAnsi="Arial" w:cs="Arial"/>
          <w:sz w:val="22"/>
          <w:szCs w:val="22"/>
        </w:rPr>
        <w:t>nejen pozemky odsouhlasené vládou, ale opět i</w:t>
      </w:r>
      <w:r w:rsidR="003C13E9">
        <w:rPr>
          <w:rFonts w:ascii="Arial" w:eastAsia="Calibri" w:hAnsi="Arial" w:cs="Arial"/>
          <w:sz w:val="22"/>
          <w:szCs w:val="22"/>
        </w:rPr>
        <w:t xml:space="preserve"> pozemek parcelní číslo 391/34</w:t>
      </w:r>
      <w:r w:rsidR="001C794D">
        <w:rPr>
          <w:rStyle w:val="Znakapoznpodarou"/>
          <w:rFonts w:ascii="Arial" w:eastAsia="Calibri" w:hAnsi="Arial" w:cs="Arial"/>
          <w:sz w:val="22"/>
          <w:szCs w:val="22"/>
        </w:rPr>
        <w:footnoteReference w:id="14"/>
      </w:r>
      <w:r w:rsidR="003C13E9">
        <w:rPr>
          <w:rFonts w:ascii="Arial" w:eastAsia="Calibri" w:hAnsi="Arial" w:cs="Arial"/>
          <w:sz w:val="22"/>
          <w:szCs w:val="22"/>
        </w:rPr>
        <w:t>, pro jehož vklad MZe souhlas vlády nemělo.</w:t>
      </w:r>
      <w:r w:rsidR="003C13E9">
        <w:rPr>
          <w:rFonts w:ascii="Arial" w:hAnsi="Arial" w:cs="Arial"/>
          <w:sz w:val="22"/>
          <w:szCs w:val="22"/>
        </w:rPr>
        <w:t xml:space="preserve"> Z informace o výzvách podaných oprávněnými osobami dle zákona č. 428/2012 Sb., o majetkovém vyrovnání s církvemi a náboženskými společnostmi a o změně některých zákonů (zákon o majetkovém vyrovnání s církvemi a náboženskými společnostmi) zveřejněné na internetových stránkách Státního pozemkového úřadu</w:t>
      </w:r>
      <w:r w:rsidR="003C13E9"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="003C13E9">
        <w:rPr>
          <w:rFonts w:ascii="Arial" w:hAnsi="Arial" w:cs="Arial"/>
          <w:sz w:val="22"/>
          <w:szCs w:val="22"/>
        </w:rPr>
        <w:t xml:space="preserve"> bylo zjištěno, že o pozemek p</w:t>
      </w:r>
      <w:r w:rsidR="00F44B09">
        <w:rPr>
          <w:rFonts w:ascii="Arial" w:hAnsi="Arial" w:cs="Arial"/>
          <w:sz w:val="22"/>
          <w:szCs w:val="22"/>
        </w:rPr>
        <w:t>arcelní číslo</w:t>
      </w:r>
      <w:r w:rsidR="005876A6">
        <w:rPr>
          <w:rFonts w:ascii="Arial" w:hAnsi="Arial" w:cs="Arial"/>
          <w:sz w:val="22"/>
          <w:szCs w:val="22"/>
        </w:rPr>
        <w:t xml:space="preserve"> 163</w:t>
      </w:r>
      <w:r w:rsidR="00F44B09">
        <w:rPr>
          <w:rFonts w:ascii="Arial" w:hAnsi="Arial" w:cs="Arial"/>
          <w:sz w:val="22"/>
          <w:szCs w:val="22"/>
        </w:rPr>
        <w:t xml:space="preserve"> dle pozemkové knihy </w:t>
      </w:r>
      <w:r w:rsidR="003C13E9">
        <w:rPr>
          <w:rFonts w:ascii="Arial" w:hAnsi="Arial" w:cs="Arial"/>
          <w:sz w:val="22"/>
          <w:szCs w:val="22"/>
        </w:rPr>
        <w:t>v</w:t>
      </w:r>
      <w:r w:rsidR="00F44B09">
        <w:rPr>
          <w:rFonts w:ascii="Arial" w:hAnsi="Arial" w:cs="Arial"/>
          <w:sz w:val="22"/>
          <w:szCs w:val="22"/>
        </w:rPr>
        <w:t> </w:t>
      </w:r>
      <w:r w:rsidR="003C13E9">
        <w:rPr>
          <w:rFonts w:ascii="Arial" w:hAnsi="Arial" w:cs="Arial"/>
          <w:sz w:val="22"/>
          <w:szCs w:val="22"/>
        </w:rPr>
        <w:t>k</w:t>
      </w:r>
      <w:r w:rsidR="00F44B09">
        <w:rPr>
          <w:rFonts w:ascii="Arial" w:hAnsi="Arial" w:cs="Arial"/>
          <w:sz w:val="22"/>
          <w:szCs w:val="22"/>
        </w:rPr>
        <w:t>atastrálním území</w:t>
      </w:r>
      <w:r w:rsidR="003C13E9">
        <w:rPr>
          <w:rFonts w:ascii="Arial" w:hAnsi="Arial" w:cs="Arial"/>
          <w:sz w:val="22"/>
          <w:szCs w:val="22"/>
        </w:rPr>
        <w:t xml:space="preserve"> Řepy, ze kterého vznikl i pozemek p</w:t>
      </w:r>
      <w:r w:rsidR="00F44B09">
        <w:rPr>
          <w:rFonts w:ascii="Arial" w:hAnsi="Arial" w:cs="Arial"/>
          <w:sz w:val="22"/>
          <w:szCs w:val="22"/>
        </w:rPr>
        <w:t>arcelní číslo</w:t>
      </w:r>
      <w:r w:rsidR="003C13E9">
        <w:rPr>
          <w:rFonts w:ascii="Arial" w:hAnsi="Arial" w:cs="Arial"/>
          <w:sz w:val="22"/>
          <w:szCs w:val="22"/>
        </w:rPr>
        <w:t xml:space="preserve"> 391/34, požádala v roce 2013 oprávněná osoba.</w:t>
      </w:r>
    </w:p>
    <w:p w:rsidR="000D16E3" w:rsidRDefault="000D16E3" w:rsidP="000D16E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Cs/>
          <w:sz w:val="22"/>
          <w:szCs w:val="22"/>
        </w:rPr>
      </w:pPr>
    </w:p>
    <w:p w:rsidR="00216978" w:rsidRDefault="000D16E3" w:rsidP="005237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4.2 </w:t>
      </w:r>
      <w:r w:rsidR="00F00CBF" w:rsidRPr="00F00CBF">
        <w:rPr>
          <w:rFonts w:ascii="Arial" w:hAnsi="Arial" w:cs="Arial"/>
          <w:b/>
          <w:bCs/>
          <w:iCs/>
          <w:sz w:val="22"/>
          <w:szCs w:val="22"/>
        </w:rPr>
        <w:t>Závěrečný účet kapitoly státního rozpočtu</w:t>
      </w:r>
    </w:p>
    <w:p w:rsidR="005876A6" w:rsidRDefault="005876A6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00CBF" w:rsidRDefault="000D16E3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 ZÚ 2013 M</w:t>
      </w:r>
      <w:r w:rsidR="00E1518E">
        <w:rPr>
          <w:rFonts w:ascii="Arial" w:hAnsi="Arial" w:cs="Arial"/>
          <w:bCs/>
          <w:iCs/>
          <w:sz w:val="22"/>
          <w:szCs w:val="22"/>
        </w:rPr>
        <w:t>Z</w:t>
      </w:r>
      <w:r>
        <w:rPr>
          <w:rFonts w:ascii="Arial" w:hAnsi="Arial" w:cs="Arial"/>
          <w:bCs/>
          <w:iCs/>
          <w:sz w:val="22"/>
          <w:szCs w:val="22"/>
        </w:rPr>
        <w:t>e opět neuvedlo všechny skutečnosti, které požaduje vyhláška č.</w:t>
      </w:r>
      <w:r w:rsidR="00636DDB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419/2001</w:t>
      </w:r>
      <w:r w:rsidR="00636DDB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Sb</w:t>
      </w:r>
      <w:r w:rsidR="005C7F23">
        <w:rPr>
          <w:rFonts w:ascii="Arial" w:hAnsi="Arial" w:cs="Arial"/>
          <w:bCs/>
          <w:iCs/>
          <w:sz w:val="22"/>
          <w:szCs w:val="22"/>
        </w:rPr>
        <w:t>.</w:t>
      </w:r>
      <w:r w:rsidR="005876A6">
        <w:rPr>
          <w:rFonts w:ascii="Arial" w:hAnsi="Arial" w:cs="Arial"/>
          <w:bCs/>
          <w:iCs/>
          <w:sz w:val="22"/>
          <w:szCs w:val="22"/>
        </w:rPr>
        <w:t>,</w:t>
      </w:r>
      <w:r>
        <w:rPr>
          <w:rFonts w:ascii="Arial" w:hAnsi="Arial" w:cs="Arial"/>
          <w:bCs/>
          <w:iCs/>
          <w:sz w:val="22"/>
          <w:szCs w:val="22"/>
        </w:rPr>
        <w:t xml:space="preserve"> a to v rozsahu uveden</w:t>
      </w:r>
      <w:r w:rsidR="005C7F23">
        <w:rPr>
          <w:rFonts w:ascii="Arial" w:hAnsi="Arial" w:cs="Arial"/>
          <w:bCs/>
          <w:iCs/>
          <w:sz w:val="22"/>
          <w:szCs w:val="22"/>
        </w:rPr>
        <w:t>ém</w:t>
      </w:r>
      <w:r>
        <w:rPr>
          <w:rFonts w:ascii="Arial" w:hAnsi="Arial" w:cs="Arial"/>
          <w:bCs/>
          <w:iCs/>
          <w:sz w:val="22"/>
          <w:szCs w:val="22"/>
        </w:rPr>
        <w:t xml:space="preserve"> v bodě 3 tohoto kontrolního závěru.</w:t>
      </w:r>
    </w:p>
    <w:p w:rsidR="005C7F23" w:rsidRPr="000D16E3" w:rsidRDefault="005C7F23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6418B" w:rsidRDefault="00C6418B" w:rsidP="005237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5. Porušení rozpočtové kázně</w:t>
      </w:r>
    </w:p>
    <w:p w:rsidR="00C6418B" w:rsidRPr="00C6418B" w:rsidRDefault="00C6418B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16978" w:rsidRDefault="00216978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MZe na účet cizích prostředků přijalo dne 31. </w:t>
      </w:r>
      <w:r w:rsidR="00667D44">
        <w:rPr>
          <w:rFonts w:ascii="Arial" w:hAnsi="Arial" w:cs="Arial"/>
          <w:bCs/>
          <w:iCs/>
          <w:sz w:val="22"/>
          <w:szCs w:val="22"/>
        </w:rPr>
        <w:t>května</w:t>
      </w:r>
      <w:r>
        <w:rPr>
          <w:rFonts w:ascii="Arial" w:hAnsi="Arial" w:cs="Arial"/>
          <w:bCs/>
          <w:iCs/>
          <w:sz w:val="22"/>
          <w:szCs w:val="22"/>
        </w:rPr>
        <w:t xml:space="preserve"> 2013 částku ve výši 117 754,06 Kč, dále dne 22. </w:t>
      </w:r>
      <w:r w:rsidR="00667D44">
        <w:rPr>
          <w:rFonts w:ascii="Arial" w:hAnsi="Arial" w:cs="Arial"/>
          <w:bCs/>
          <w:iCs/>
          <w:sz w:val="22"/>
          <w:szCs w:val="22"/>
        </w:rPr>
        <w:t>července</w:t>
      </w:r>
      <w:r>
        <w:rPr>
          <w:rFonts w:ascii="Arial" w:hAnsi="Arial" w:cs="Arial"/>
          <w:bCs/>
          <w:iCs/>
          <w:sz w:val="22"/>
          <w:szCs w:val="22"/>
        </w:rPr>
        <w:t xml:space="preserve"> 2013 přijalo částku ve výši 950,76 Kč a dne 14. </w:t>
      </w:r>
      <w:r w:rsidR="00667D44">
        <w:rPr>
          <w:rFonts w:ascii="Arial" w:hAnsi="Arial" w:cs="Arial"/>
          <w:bCs/>
          <w:iCs/>
          <w:sz w:val="22"/>
          <w:szCs w:val="22"/>
        </w:rPr>
        <w:t>srpna</w:t>
      </w:r>
      <w:r>
        <w:rPr>
          <w:rFonts w:ascii="Arial" w:hAnsi="Arial" w:cs="Arial"/>
          <w:bCs/>
          <w:iCs/>
          <w:sz w:val="22"/>
          <w:szCs w:val="22"/>
        </w:rPr>
        <w:t xml:space="preserve"> 2013 přijalo částku ve výši 785 405,28 Kč. </w:t>
      </w:r>
      <w:r w:rsidRPr="00216978">
        <w:rPr>
          <w:rFonts w:ascii="Arial" w:hAnsi="Arial" w:cs="Arial"/>
          <w:bCs/>
          <w:iCs/>
          <w:sz w:val="22"/>
          <w:szCs w:val="22"/>
        </w:rPr>
        <w:t xml:space="preserve">Jednalo se o </w:t>
      </w:r>
      <w:r>
        <w:rPr>
          <w:rFonts w:ascii="Arial" w:hAnsi="Arial" w:cs="Arial"/>
          <w:bCs/>
          <w:iCs/>
          <w:sz w:val="22"/>
          <w:szCs w:val="22"/>
        </w:rPr>
        <w:t xml:space="preserve">peněžní </w:t>
      </w:r>
      <w:r w:rsidRPr="00216978">
        <w:rPr>
          <w:rFonts w:ascii="Arial" w:hAnsi="Arial" w:cs="Arial"/>
          <w:bCs/>
          <w:iCs/>
          <w:sz w:val="22"/>
          <w:szCs w:val="22"/>
        </w:rPr>
        <w:t>prostředky</w:t>
      </w:r>
      <w:r>
        <w:rPr>
          <w:rFonts w:ascii="Arial" w:hAnsi="Arial" w:cs="Arial"/>
          <w:bCs/>
          <w:iCs/>
          <w:sz w:val="22"/>
          <w:szCs w:val="22"/>
        </w:rPr>
        <w:t xml:space="preserve"> v celkové výši </w:t>
      </w:r>
      <w:r>
        <w:rPr>
          <w:rFonts w:ascii="Arial" w:hAnsi="Arial" w:cs="Arial"/>
          <w:bCs/>
          <w:iCs/>
          <w:sz w:val="22"/>
          <w:szCs w:val="22"/>
        </w:rPr>
        <w:lastRenderedPageBreak/>
        <w:t>904 110,10</w:t>
      </w:r>
      <w:r w:rsidR="00CD7E0C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Kč</w:t>
      </w:r>
      <w:r w:rsidRPr="00216978">
        <w:rPr>
          <w:rFonts w:ascii="Arial" w:hAnsi="Arial" w:cs="Arial"/>
          <w:bCs/>
          <w:iCs/>
          <w:sz w:val="22"/>
          <w:szCs w:val="22"/>
        </w:rPr>
        <w:t xml:space="preserve">, které </w:t>
      </w:r>
      <w:r>
        <w:rPr>
          <w:rFonts w:ascii="Arial" w:hAnsi="Arial" w:cs="Arial"/>
          <w:bCs/>
          <w:iCs/>
          <w:sz w:val="22"/>
          <w:szCs w:val="22"/>
        </w:rPr>
        <w:t>MZe</w:t>
      </w:r>
      <w:r w:rsidRPr="00216978">
        <w:rPr>
          <w:rFonts w:ascii="Arial" w:hAnsi="Arial" w:cs="Arial"/>
          <w:bCs/>
          <w:iCs/>
          <w:sz w:val="22"/>
          <w:szCs w:val="22"/>
        </w:rPr>
        <w:t xml:space="preserve"> přijalo z titulu uspokojení pohledávek </w:t>
      </w:r>
      <w:r>
        <w:rPr>
          <w:rFonts w:ascii="Arial" w:hAnsi="Arial" w:cs="Arial"/>
          <w:bCs/>
          <w:iCs/>
          <w:sz w:val="22"/>
          <w:szCs w:val="22"/>
        </w:rPr>
        <w:t xml:space="preserve">z nesplacených návratných finančních výpomocí </w:t>
      </w:r>
      <w:r w:rsidRPr="00216978">
        <w:rPr>
          <w:rFonts w:ascii="Arial" w:hAnsi="Arial" w:cs="Arial"/>
          <w:bCs/>
          <w:iCs/>
          <w:sz w:val="22"/>
          <w:szCs w:val="22"/>
        </w:rPr>
        <w:t>přihlášených do konkursu.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16978">
        <w:rPr>
          <w:rFonts w:ascii="Arial" w:hAnsi="Arial" w:cs="Arial"/>
          <w:bCs/>
          <w:iCs/>
          <w:sz w:val="22"/>
          <w:szCs w:val="22"/>
        </w:rPr>
        <w:t xml:space="preserve">Převod uvedených částek byl </w:t>
      </w:r>
      <w:r w:rsidR="00822647">
        <w:rPr>
          <w:rFonts w:ascii="Arial" w:hAnsi="Arial" w:cs="Arial"/>
          <w:bCs/>
          <w:iCs/>
          <w:sz w:val="22"/>
          <w:szCs w:val="22"/>
        </w:rPr>
        <w:t>MZe proveden až v lednu a </w:t>
      </w:r>
      <w:r w:rsidR="00ED062A">
        <w:rPr>
          <w:rFonts w:ascii="Arial" w:hAnsi="Arial" w:cs="Arial"/>
          <w:bCs/>
          <w:iCs/>
          <w:sz w:val="22"/>
          <w:szCs w:val="22"/>
        </w:rPr>
        <w:t>květnu 2014</w:t>
      </w:r>
      <w:r w:rsidR="00E1518E">
        <w:rPr>
          <w:rFonts w:ascii="Arial" w:hAnsi="Arial" w:cs="Arial"/>
          <w:bCs/>
          <w:iCs/>
          <w:sz w:val="22"/>
          <w:szCs w:val="22"/>
        </w:rPr>
        <w:t>,</w:t>
      </w:r>
      <w:r w:rsidR="00ED062A">
        <w:rPr>
          <w:rFonts w:ascii="Arial" w:hAnsi="Arial" w:cs="Arial"/>
          <w:bCs/>
          <w:iCs/>
          <w:sz w:val="22"/>
          <w:szCs w:val="22"/>
        </w:rPr>
        <w:t xml:space="preserve"> tzn. </w:t>
      </w:r>
      <w:r w:rsidRPr="00216978">
        <w:rPr>
          <w:rFonts w:ascii="Arial" w:hAnsi="Arial" w:cs="Arial"/>
          <w:bCs/>
          <w:iCs/>
          <w:sz w:val="22"/>
          <w:szCs w:val="22"/>
        </w:rPr>
        <w:t xml:space="preserve">po uplynutí </w:t>
      </w:r>
      <w:r w:rsidR="00ED062A">
        <w:rPr>
          <w:rFonts w:ascii="Arial" w:hAnsi="Arial" w:cs="Arial"/>
          <w:bCs/>
          <w:iCs/>
          <w:sz w:val="22"/>
          <w:szCs w:val="22"/>
        </w:rPr>
        <w:t xml:space="preserve">několika </w:t>
      </w:r>
      <w:r w:rsidRPr="00216978">
        <w:rPr>
          <w:rFonts w:ascii="Arial" w:hAnsi="Arial" w:cs="Arial"/>
          <w:bCs/>
          <w:iCs/>
          <w:sz w:val="22"/>
          <w:szCs w:val="22"/>
        </w:rPr>
        <w:t>měsíců po jejich příjmu na bankovní účet</w:t>
      </w:r>
      <w:r w:rsidR="009202B4">
        <w:rPr>
          <w:rFonts w:ascii="Arial" w:hAnsi="Arial" w:cs="Arial"/>
          <w:bCs/>
          <w:iCs/>
          <w:sz w:val="22"/>
          <w:szCs w:val="22"/>
        </w:rPr>
        <w:t>.</w:t>
      </w:r>
    </w:p>
    <w:p w:rsidR="00216978" w:rsidRDefault="00216978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16978" w:rsidRPr="00FC525D" w:rsidRDefault="009202B4" w:rsidP="00216978">
      <w:pPr>
        <w:pStyle w:val="Normlnweb"/>
        <w:spacing w:after="120"/>
        <w:jc w:val="both"/>
        <w:rPr>
          <w:color w:val="000000"/>
          <w:szCs w:val="22"/>
        </w:rPr>
      </w:pPr>
      <w:r>
        <w:t xml:space="preserve">Podle názoru NKÚ se tím </w:t>
      </w:r>
      <w:r w:rsidR="00216978" w:rsidRPr="00FC525D">
        <w:t>MZe</w:t>
      </w:r>
      <w:r>
        <w:t xml:space="preserve"> </w:t>
      </w:r>
      <w:r w:rsidR="0086271F">
        <w:t>dopustilo</w:t>
      </w:r>
      <w:r w:rsidR="00216978" w:rsidRPr="00FC525D">
        <w:t xml:space="preserve"> poruš</w:t>
      </w:r>
      <w:r w:rsidR="0086271F">
        <w:t>ení</w:t>
      </w:r>
      <w:r w:rsidR="00216978" w:rsidRPr="00FC525D">
        <w:t xml:space="preserve"> rozpočtov</w:t>
      </w:r>
      <w:r w:rsidR="0086271F">
        <w:t>é</w:t>
      </w:r>
      <w:r w:rsidR="00216978" w:rsidRPr="00FC525D">
        <w:t xml:space="preserve"> káz</w:t>
      </w:r>
      <w:r w:rsidR="0086271F">
        <w:t>ně</w:t>
      </w:r>
      <w:r w:rsidR="00822647">
        <w:t xml:space="preserve"> podle § 44 odst. 1 písm. </w:t>
      </w:r>
      <w:r w:rsidR="00216978" w:rsidRPr="00FC525D">
        <w:t>g) zákona č. 218/2000 Sb., neboť prostředky přijaté z titulu uspokojení pohledávek přihlášených do konkursu</w:t>
      </w:r>
      <w:r>
        <w:t xml:space="preserve"> neodvedlo</w:t>
      </w:r>
      <w:r w:rsidR="00216978" w:rsidRPr="00FC525D">
        <w:t xml:space="preserve"> do státního rozpočtu</w:t>
      </w:r>
      <w:r w:rsidR="00216978" w:rsidRPr="00FC525D">
        <w:rPr>
          <w:szCs w:val="22"/>
        </w:rPr>
        <w:t xml:space="preserve"> do 10 pracovních </w:t>
      </w:r>
      <w:r w:rsidR="00216978" w:rsidRPr="00FC525D">
        <w:t>dnů po jejich přijetí na bankovní účet, jak</w:t>
      </w:r>
      <w:r>
        <w:t xml:space="preserve"> to</w:t>
      </w:r>
      <w:r w:rsidR="00216978" w:rsidRPr="00FC525D">
        <w:t xml:space="preserve"> požaduje ustanovení § 45 odst. 10 zákona č. 218/2000 Sb.</w:t>
      </w:r>
    </w:p>
    <w:p w:rsidR="00C6418B" w:rsidRDefault="00C6418B" w:rsidP="005237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C6418B" w:rsidRPr="00F42D18" w:rsidRDefault="00C6418B" w:rsidP="005237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6. Ostatní</w:t>
      </w:r>
      <w:r w:rsidR="008E01DB">
        <w:rPr>
          <w:rFonts w:ascii="Arial" w:hAnsi="Arial" w:cs="Arial"/>
          <w:b/>
          <w:bCs/>
          <w:iCs/>
          <w:sz w:val="22"/>
          <w:szCs w:val="22"/>
        </w:rPr>
        <w:t xml:space="preserve"> zjištění</w:t>
      </w:r>
    </w:p>
    <w:p w:rsidR="00C6418B" w:rsidRDefault="00C6418B" w:rsidP="00C6418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C6418B" w:rsidRPr="00325FAC" w:rsidRDefault="003C3DCC" w:rsidP="00325FAC">
      <w:pPr>
        <w:pStyle w:val="Odstavecseseznamem"/>
        <w:numPr>
          <w:ilvl w:val="0"/>
          <w:numId w:val="33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 xml:space="preserve">Rozdíly v údajích ÚZ oproti údajům zveřejněným </w:t>
      </w:r>
      <w:r w:rsidR="00E568A1">
        <w:rPr>
          <w:rFonts w:ascii="Arial" w:hAnsi="Arial" w:cs="Arial"/>
          <w:b/>
          <w:i/>
          <w:sz w:val="22"/>
          <w:szCs w:val="22"/>
        </w:rPr>
        <w:t>v </w:t>
      </w:r>
      <w:r w:rsidRPr="00325FAC">
        <w:rPr>
          <w:rFonts w:ascii="Arial" w:hAnsi="Arial" w:cs="Arial"/>
          <w:b/>
          <w:i/>
          <w:sz w:val="22"/>
          <w:szCs w:val="22"/>
        </w:rPr>
        <w:t>informačním portálu MONITOR</w:t>
      </w:r>
    </w:p>
    <w:p w:rsidR="00C6418B" w:rsidRDefault="00C6418B" w:rsidP="00C6418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6418B" w:rsidRDefault="00C6418B" w:rsidP="00C6418B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Kontrolou bylo zjištěno, že existují rozdíly mezi</w:t>
      </w:r>
      <w:r w:rsidR="00C9679E">
        <w:rPr>
          <w:rFonts w:ascii="Arial" w:hAnsi="Arial" w:cs="Arial"/>
          <w:bCs/>
          <w:iCs/>
          <w:sz w:val="22"/>
          <w:szCs w:val="22"/>
        </w:rPr>
        <w:t xml:space="preserve"> údaji</w:t>
      </w:r>
      <w:r w:rsidR="00AE033A">
        <w:rPr>
          <w:rFonts w:ascii="Arial" w:hAnsi="Arial" w:cs="Arial"/>
          <w:bCs/>
          <w:iCs/>
          <w:sz w:val="22"/>
          <w:szCs w:val="22"/>
        </w:rPr>
        <w:t xml:space="preserve"> vykázanými</w:t>
      </w:r>
      <w:r w:rsidR="00C9679E">
        <w:rPr>
          <w:rFonts w:ascii="Arial" w:hAnsi="Arial" w:cs="Arial"/>
          <w:bCs/>
          <w:iCs/>
          <w:sz w:val="22"/>
          <w:szCs w:val="22"/>
        </w:rPr>
        <w:t xml:space="preserve"> v přehledu o změnách vlastního kapitálu jako součásti ÚZ</w:t>
      </w:r>
      <w:r w:rsidR="00AE033A">
        <w:rPr>
          <w:rFonts w:ascii="Arial" w:hAnsi="Arial" w:cs="Arial"/>
          <w:bCs/>
          <w:iCs/>
          <w:sz w:val="22"/>
          <w:szCs w:val="22"/>
        </w:rPr>
        <w:t xml:space="preserve"> MZe</w:t>
      </w:r>
      <w:r w:rsidR="00C9679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podepsan</w:t>
      </w:r>
      <w:r w:rsidR="00C9679E">
        <w:rPr>
          <w:rFonts w:ascii="Arial" w:hAnsi="Arial" w:cs="Arial"/>
          <w:bCs/>
          <w:iCs/>
          <w:sz w:val="22"/>
          <w:szCs w:val="22"/>
        </w:rPr>
        <w:t xml:space="preserve">é </w:t>
      </w:r>
      <w:r>
        <w:rPr>
          <w:rFonts w:ascii="Arial" w:hAnsi="Arial" w:cs="Arial"/>
          <w:bCs/>
          <w:iCs/>
          <w:sz w:val="22"/>
          <w:szCs w:val="22"/>
        </w:rPr>
        <w:t>ministrem zemědělství a</w:t>
      </w:r>
      <w:r w:rsidR="00C9679E">
        <w:rPr>
          <w:rFonts w:ascii="Arial" w:hAnsi="Arial" w:cs="Arial"/>
          <w:bCs/>
          <w:iCs/>
          <w:sz w:val="22"/>
          <w:szCs w:val="22"/>
        </w:rPr>
        <w:t xml:space="preserve"> údaji, které byly zveřejněny na informačním portálu Ministerstva financí </w:t>
      </w:r>
      <w:r w:rsidR="00C9679E" w:rsidRPr="007A1CD7">
        <w:rPr>
          <w:rFonts w:ascii="Arial" w:hAnsi="Arial" w:cs="Arial"/>
          <w:bCs/>
          <w:iCs/>
          <w:sz w:val="22"/>
          <w:szCs w:val="22"/>
        </w:rPr>
        <w:t>MONITOR</w:t>
      </w:r>
      <w:r w:rsidR="00C9679E">
        <w:rPr>
          <w:rFonts w:ascii="Arial" w:hAnsi="Arial" w:cs="Arial"/>
          <w:bCs/>
          <w:iCs/>
          <w:sz w:val="22"/>
          <w:szCs w:val="22"/>
        </w:rPr>
        <w:t xml:space="preserve">. Rozdíly byly zjištěny </w:t>
      </w:r>
      <w:r>
        <w:rPr>
          <w:rFonts w:ascii="Arial" w:hAnsi="Arial" w:cs="Arial"/>
          <w:bCs/>
          <w:iCs/>
          <w:sz w:val="22"/>
          <w:szCs w:val="22"/>
        </w:rPr>
        <w:t xml:space="preserve">v položkách </w:t>
      </w:r>
      <w:r w:rsidRPr="00335022">
        <w:rPr>
          <w:rFonts w:ascii="Arial" w:hAnsi="Arial" w:cs="Arial"/>
          <w:bCs/>
          <w:i/>
          <w:iCs/>
          <w:sz w:val="22"/>
          <w:szCs w:val="22"/>
        </w:rPr>
        <w:t>A.I.4. Investiční transfery</w:t>
      </w:r>
      <w:r>
        <w:rPr>
          <w:rFonts w:ascii="Arial" w:hAnsi="Arial" w:cs="Arial"/>
          <w:bCs/>
          <w:iCs/>
          <w:sz w:val="22"/>
          <w:szCs w:val="22"/>
        </w:rPr>
        <w:t xml:space="preserve"> a </w:t>
      </w:r>
      <w:r w:rsidRPr="00335022">
        <w:rPr>
          <w:rFonts w:ascii="Arial" w:hAnsi="Arial" w:cs="Arial"/>
          <w:bCs/>
          <w:i/>
          <w:iCs/>
          <w:sz w:val="22"/>
          <w:szCs w:val="22"/>
        </w:rPr>
        <w:t>A.I.6. Ostatní.</w:t>
      </w:r>
      <w:r>
        <w:rPr>
          <w:rFonts w:ascii="Arial" w:hAnsi="Arial" w:cs="Arial"/>
          <w:bCs/>
          <w:iCs/>
          <w:sz w:val="22"/>
          <w:szCs w:val="22"/>
        </w:rPr>
        <w:t xml:space="preserve"> V </w:t>
      </w:r>
      <w:r w:rsidR="00C9679E">
        <w:rPr>
          <w:rFonts w:ascii="Arial" w:hAnsi="Arial" w:cs="Arial"/>
          <w:bCs/>
          <w:iCs/>
          <w:sz w:val="22"/>
          <w:szCs w:val="22"/>
        </w:rPr>
        <w:t>ÚZ</w:t>
      </w:r>
      <w:r>
        <w:rPr>
          <w:rFonts w:ascii="Arial" w:hAnsi="Arial" w:cs="Arial"/>
          <w:bCs/>
          <w:iCs/>
          <w:sz w:val="22"/>
          <w:szCs w:val="22"/>
        </w:rPr>
        <w:t xml:space="preserve"> MZe</w:t>
      </w:r>
      <w:r w:rsidR="00C9679E">
        <w:rPr>
          <w:rFonts w:ascii="Arial" w:hAnsi="Arial" w:cs="Arial"/>
          <w:bCs/>
          <w:iCs/>
          <w:sz w:val="22"/>
          <w:szCs w:val="22"/>
        </w:rPr>
        <w:t xml:space="preserve"> vykázalo</w:t>
      </w:r>
      <w:r w:rsidR="00431A81">
        <w:rPr>
          <w:rFonts w:ascii="Arial" w:hAnsi="Arial" w:cs="Arial"/>
          <w:bCs/>
          <w:iCs/>
          <w:sz w:val="22"/>
          <w:szCs w:val="22"/>
        </w:rPr>
        <w:t xml:space="preserve"> na položce A.I.4 </w:t>
      </w:r>
      <w:r>
        <w:rPr>
          <w:rFonts w:ascii="Arial" w:hAnsi="Arial" w:cs="Arial"/>
          <w:bCs/>
          <w:iCs/>
          <w:sz w:val="22"/>
          <w:szCs w:val="22"/>
        </w:rPr>
        <w:t>ve sloupci „</w:t>
      </w:r>
      <w:r w:rsidRPr="003B41AC">
        <w:rPr>
          <w:rFonts w:ascii="Arial" w:hAnsi="Arial" w:cs="Arial"/>
          <w:bCs/>
          <w:i/>
          <w:iCs/>
          <w:sz w:val="22"/>
          <w:szCs w:val="22"/>
        </w:rPr>
        <w:t>zvýšení stavu</w:t>
      </w:r>
      <w:r>
        <w:rPr>
          <w:rFonts w:ascii="Arial" w:hAnsi="Arial" w:cs="Arial"/>
          <w:bCs/>
          <w:iCs/>
          <w:sz w:val="22"/>
          <w:szCs w:val="22"/>
        </w:rPr>
        <w:t>“ částku ve výši 113 512 739 Kč</w:t>
      </w:r>
      <w:r w:rsidR="00DB7223">
        <w:rPr>
          <w:rFonts w:ascii="Arial" w:hAnsi="Arial" w:cs="Arial"/>
          <w:bCs/>
          <w:iCs/>
          <w:sz w:val="22"/>
          <w:szCs w:val="22"/>
        </w:rPr>
        <w:t xml:space="preserve"> a</w:t>
      </w:r>
      <w:r>
        <w:rPr>
          <w:rFonts w:ascii="Arial" w:hAnsi="Arial" w:cs="Arial"/>
          <w:bCs/>
          <w:iCs/>
          <w:sz w:val="22"/>
          <w:szCs w:val="22"/>
        </w:rPr>
        <w:t xml:space="preserve"> v</w:t>
      </w:r>
      <w:r w:rsidR="005876A6">
        <w:rPr>
          <w:rFonts w:ascii="Arial" w:hAnsi="Arial" w:cs="Arial"/>
          <w:bCs/>
          <w:iCs/>
          <w:sz w:val="22"/>
          <w:szCs w:val="22"/>
        </w:rPr>
        <w:t> informačním portálu</w:t>
      </w:r>
      <w:r w:rsidR="00C9679E">
        <w:rPr>
          <w:rFonts w:ascii="Arial" w:hAnsi="Arial" w:cs="Arial"/>
          <w:bCs/>
          <w:iCs/>
          <w:sz w:val="22"/>
          <w:szCs w:val="22"/>
        </w:rPr>
        <w:t xml:space="preserve"> MONITOR je</w:t>
      </w:r>
      <w:r>
        <w:rPr>
          <w:rFonts w:ascii="Arial" w:hAnsi="Arial" w:cs="Arial"/>
          <w:bCs/>
          <w:iCs/>
          <w:sz w:val="22"/>
          <w:szCs w:val="22"/>
        </w:rPr>
        <w:t xml:space="preserve"> zveřejněn</w:t>
      </w:r>
      <w:r w:rsidR="00C9679E">
        <w:rPr>
          <w:rFonts w:ascii="Arial" w:hAnsi="Arial" w:cs="Arial"/>
          <w:bCs/>
          <w:iCs/>
          <w:sz w:val="22"/>
          <w:szCs w:val="22"/>
        </w:rPr>
        <w:t>a</w:t>
      </w:r>
      <w:r>
        <w:rPr>
          <w:rFonts w:ascii="Arial" w:hAnsi="Arial" w:cs="Arial"/>
          <w:bCs/>
          <w:iCs/>
          <w:sz w:val="22"/>
          <w:szCs w:val="22"/>
        </w:rPr>
        <w:t xml:space="preserve"> na </w:t>
      </w:r>
      <w:r w:rsidR="00C9679E">
        <w:rPr>
          <w:rFonts w:ascii="Arial" w:hAnsi="Arial" w:cs="Arial"/>
          <w:bCs/>
          <w:iCs/>
          <w:sz w:val="22"/>
          <w:szCs w:val="22"/>
        </w:rPr>
        <w:t>této</w:t>
      </w:r>
      <w:r>
        <w:rPr>
          <w:rFonts w:ascii="Arial" w:hAnsi="Arial" w:cs="Arial"/>
          <w:bCs/>
          <w:iCs/>
          <w:sz w:val="22"/>
          <w:szCs w:val="22"/>
        </w:rPr>
        <w:t xml:space="preserve"> položce nulov</w:t>
      </w:r>
      <w:r w:rsidR="00C9679E">
        <w:rPr>
          <w:rFonts w:ascii="Arial" w:hAnsi="Arial" w:cs="Arial"/>
          <w:bCs/>
          <w:iCs/>
          <w:sz w:val="22"/>
          <w:szCs w:val="22"/>
        </w:rPr>
        <w:t>á</w:t>
      </w:r>
      <w:r>
        <w:rPr>
          <w:rFonts w:ascii="Arial" w:hAnsi="Arial" w:cs="Arial"/>
          <w:bCs/>
          <w:iCs/>
          <w:sz w:val="22"/>
          <w:szCs w:val="22"/>
        </w:rPr>
        <w:t xml:space="preserve"> hodnot</w:t>
      </w:r>
      <w:r w:rsidR="00C9679E">
        <w:rPr>
          <w:rFonts w:ascii="Arial" w:hAnsi="Arial" w:cs="Arial"/>
          <w:bCs/>
          <w:iCs/>
          <w:sz w:val="22"/>
          <w:szCs w:val="22"/>
        </w:rPr>
        <w:t>a</w:t>
      </w:r>
      <w:r w:rsidR="00C15FB1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16"/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="00DB7223">
        <w:rPr>
          <w:rFonts w:ascii="Arial" w:hAnsi="Arial" w:cs="Arial"/>
          <w:bCs/>
          <w:iCs/>
          <w:sz w:val="22"/>
          <w:szCs w:val="22"/>
        </w:rPr>
        <w:t>N</w:t>
      </w:r>
      <w:r w:rsidR="00822647">
        <w:rPr>
          <w:rFonts w:ascii="Arial" w:hAnsi="Arial" w:cs="Arial"/>
          <w:bCs/>
          <w:iCs/>
          <w:sz w:val="22"/>
          <w:szCs w:val="22"/>
        </w:rPr>
        <w:t xml:space="preserve">a položce A.I.6 </w:t>
      </w:r>
      <w:r w:rsidR="00656175">
        <w:rPr>
          <w:rFonts w:ascii="Arial" w:hAnsi="Arial" w:cs="Arial"/>
          <w:bCs/>
          <w:iCs/>
          <w:sz w:val="22"/>
          <w:szCs w:val="22"/>
        </w:rPr>
        <w:t>vykázalo MZe v</w:t>
      </w:r>
      <w:r w:rsidR="00822647">
        <w:rPr>
          <w:rFonts w:ascii="Arial" w:hAnsi="Arial" w:cs="Arial"/>
          <w:bCs/>
          <w:iCs/>
          <w:sz w:val="22"/>
          <w:szCs w:val="22"/>
        </w:rPr>
        <w:t xml:space="preserve"> </w:t>
      </w:r>
      <w:r w:rsidR="00C9679E">
        <w:rPr>
          <w:rFonts w:ascii="Arial" w:hAnsi="Arial" w:cs="Arial"/>
          <w:bCs/>
          <w:iCs/>
          <w:sz w:val="22"/>
          <w:szCs w:val="22"/>
        </w:rPr>
        <w:t>ÚZ</w:t>
      </w:r>
      <w:r>
        <w:rPr>
          <w:rFonts w:ascii="Arial" w:hAnsi="Arial" w:cs="Arial"/>
          <w:bCs/>
          <w:iCs/>
          <w:sz w:val="22"/>
          <w:szCs w:val="22"/>
        </w:rPr>
        <w:t xml:space="preserve"> ve sloupci „</w:t>
      </w:r>
      <w:r w:rsidRPr="003B41AC">
        <w:rPr>
          <w:rFonts w:ascii="Arial" w:hAnsi="Arial" w:cs="Arial"/>
          <w:bCs/>
          <w:i/>
          <w:iCs/>
          <w:sz w:val="22"/>
          <w:szCs w:val="22"/>
        </w:rPr>
        <w:t>zvýšení stavu</w:t>
      </w:r>
      <w:r>
        <w:rPr>
          <w:rFonts w:ascii="Arial" w:hAnsi="Arial" w:cs="Arial"/>
          <w:bCs/>
          <w:iCs/>
          <w:sz w:val="22"/>
          <w:szCs w:val="22"/>
        </w:rPr>
        <w:t>“ částku ve výši 78 222 734,55 Kč</w:t>
      </w:r>
      <w:r w:rsidR="00C9679E">
        <w:rPr>
          <w:rFonts w:ascii="Arial" w:hAnsi="Arial" w:cs="Arial"/>
          <w:bCs/>
          <w:iCs/>
          <w:sz w:val="22"/>
          <w:szCs w:val="22"/>
        </w:rPr>
        <w:t xml:space="preserve"> a v </w:t>
      </w:r>
      <w:r w:rsidR="005876A6">
        <w:rPr>
          <w:rFonts w:ascii="Arial" w:hAnsi="Arial" w:cs="Arial"/>
          <w:bCs/>
          <w:iCs/>
          <w:sz w:val="22"/>
          <w:szCs w:val="22"/>
        </w:rPr>
        <w:t xml:space="preserve">informačním portálu </w:t>
      </w:r>
      <w:r w:rsidR="00C9679E">
        <w:rPr>
          <w:rFonts w:ascii="Arial" w:hAnsi="Arial" w:cs="Arial"/>
          <w:bCs/>
          <w:iCs/>
          <w:sz w:val="22"/>
          <w:szCs w:val="22"/>
        </w:rPr>
        <w:t>MONITOR byla zveřejněna částka</w:t>
      </w:r>
      <w:r>
        <w:rPr>
          <w:rFonts w:ascii="Arial" w:hAnsi="Arial" w:cs="Arial"/>
          <w:bCs/>
          <w:iCs/>
          <w:sz w:val="22"/>
          <w:szCs w:val="22"/>
        </w:rPr>
        <w:t xml:space="preserve"> 191 735 47</w:t>
      </w:r>
      <w:r w:rsidR="00C15FB1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 xml:space="preserve"> Kč</w:t>
      </w:r>
      <w:r w:rsidR="00C15FB1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17"/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C6418B" w:rsidRDefault="00C6418B" w:rsidP="00C6418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6418B" w:rsidRPr="00335022" w:rsidRDefault="00C6418B" w:rsidP="00C6418B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35022">
        <w:rPr>
          <w:rFonts w:ascii="Arial" w:hAnsi="Arial" w:cs="Arial"/>
          <w:bCs/>
          <w:iCs/>
          <w:sz w:val="22"/>
          <w:szCs w:val="22"/>
        </w:rPr>
        <w:t>Uvedené rozdíly se promítly i do části C</w:t>
      </w:r>
      <w:r w:rsidR="003321D7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18"/>
      </w:r>
      <w:r w:rsidRPr="00335022">
        <w:rPr>
          <w:rFonts w:ascii="Arial" w:hAnsi="Arial" w:cs="Arial"/>
          <w:bCs/>
          <w:iCs/>
          <w:sz w:val="22"/>
          <w:szCs w:val="22"/>
        </w:rPr>
        <w:t xml:space="preserve"> přílohy účetní závěrky</w:t>
      </w:r>
      <w:r w:rsidR="005876A6">
        <w:rPr>
          <w:rFonts w:ascii="Arial" w:hAnsi="Arial" w:cs="Arial"/>
          <w:bCs/>
          <w:iCs/>
          <w:sz w:val="22"/>
          <w:szCs w:val="22"/>
        </w:rPr>
        <w:t>,</w:t>
      </w:r>
      <w:r w:rsidR="003321D7">
        <w:rPr>
          <w:rFonts w:ascii="Arial" w:hAnsi="Arial" w:cs="Arial"/>
          <w:bCs/>
          <w:iCs/>
          <w:sz w:val="22"/>
          <w:szCs w:val="22"/>
        </w:rPr>
        <w:t xml:space="preserve"> a to v položce C.1.</w:t>
      </w:r>
      <w:r w:rsidRPr="00335022">
        <w:rPr>
          <w:rFonts w:ascii="Arial" w:hAnsi="Arial" w:cs="Arial"/>
          <w:bCs/>
          <w:iCs/>
          <w:sz w:val="22"/>
          <w:szCs w:val="22"/>
        </w:rPr>
        <w:t xml:space="preserve"> </w:t>
      </w:r>
      <w:r w:rsidR="003321D7">
        <w:rPr>
          <w:rFonts w:ascii="Arial" w:hAnsi="Arial" w:cs="Arial"/>
          <w:bCs/>
          <w:iCs/>
          <w:sz w:val="22"/>
          <w:szCs w:val="22"/>
        </w:rPr>
        <w:t>V</w:t>
      </w:r>
      <w:r w:rsidR="00C9679E">
        <w:rPr>
          <w:rFonts w:ascii="Arial" w:hAnsi="Arial" w:cs="Arial"/>
          <w:bCs/>
          <w:iCs/>
          <w:sz w:val="22"/>
          <w:szCs w:val="22"/>
        </w:rPr>
        <w:t xml:space="preserve"> ÚZ MZ</w:t>
      </w:r>
      <w:r w:rsidR="00C15FB1">
        <w:rPr>
          <w:rFonts w:ascii="Arial" w:hAnsi="Arial" w:cs="Arial"/>
          <w:bCs/>
          <w:iCs/>
          <w:sz w:val="22"/>
          <w:szCs w:val="22"/>
        </w:rPr>
        <w:t>e</w:t>
      </w:r>
      <w:r w:rsidR="003321D7">
        <w:rPr>
          <w:rFonts w:ascii="Arial" w:hAnsi="Arial" w:cs="Arial"/>
          <w:bCs/>
          <w:iCs/>
          <w:sz w:val="22"/>
          <w:szCs w:val="22"/>
        </w:rPr>
        <w:t xml:space="preserve"> je na této položce</w:t>
      </w:r>
      <w:r w:rsidR="00C15FB1">
        <w:rPr>
          <w:rFonts w:ascii="Arial" w:hAnsi="Arial" w:cs="Arial"/>
          <w:bCs/>
          <w:iCs/>
          <w:sz w:val="22"/>
          <w:szCs w:val="22"/>
        </w:rPr>
        <w:t xml:space="preserve"> vykázána</w:t>
      </w:r>
      <w:r w:rsidRPr="00335022">
        <w:rPr>
          <w:rFonts w:ascii="Arial" w:hAnsi="Arial" w:cs="Arial"/>
          <w:bCs/>
          <w:iCs/>
          <w:sz w:val="22"/>
          <w:szCs w:val="22"/>
        </w:rPr>
        <w:t xml:space="preserve"> částka ve výši 113 512 739 Kč</w:t>
      </w:r>
      <w:r w:rsidR="00C9679E">
        <w:rPr>
          <w:rFonts w:ascii="Arial" w:hAnsi="Arial" w:cs="Arial"/>
          <w:bCs/>
          <w:iCs/>
          <w:sz w:val="22"/>
          <w:szCs w:val="22"/>
        </w:rPr>
        <w:t xml:space="preserve"> a</w:t>
      </w:r>
      <w:r w:rsidRPr="0033502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B7223">
        <w:rPr>
          <w:rFonts w:ascii="Arial" w:hAnsi="Arial" w:cs="Arial"/>
          <w:bCs/>
          <w:iCs/>
          <w:sz w:val="22"/>
          <w:szCs w:val="22"/>
        </w:rPr>
        <w:t>v </w:t>
      </w:r>
      <w:r w:rsidR="005876A6">
        <w:rPr>
          <w:rFonts w:ascii="Arial" w:hAnsi="Arial" w:cs="Arial"/>
          <w:bCs/>
          <w:iCs/>
          <w:sz w:val="22"/>
          <w:szCs w:val="22"/>
        </w:rPr>
        <w:t xml:space="preserve">informačním portálu </w:t>
      </w:r>
      <w:r w:rsidR="00C9679E" w:rsidRPr="007A1CD7">
        <w:rPr>
          <w:rFonts w:ascii="Arial" w:hAnsi="Arial" w:cs="Arial"/>
          <w:bCs/>
          <w:iCs/>
          <w:sz w:val="22"/>
          <w:szCs w:val="22"/>
        </w:rPr>
        <w:t>MONITOR</w:t>
      </w:r>
      <w:r w:rsidR="00500545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19"/>
      </w:r>
      <w:r w:rsidRPr="00335022">
        <w:rPr>
          <w:rFonts w:ascii="Arial" w:hAnsi="Arial" w:cs="Arial"/>
          <w:bCs/>
          <w:iCs/>
          <w:sz w:val="22"/>
          <w:szCs w:val="22"/>
        </w:rPr>
        <w:t xml:space="preserve"> je </w:t>
      </w:r>
      <w:r w:rsidR="00C15FB1">
        <w:rPr>
          <w:rFonts w:ascii="Arial" w:hAnsi="Arial" w:cs="Arial"/>
          <w:bCs/>
          <w:iCs/>
          <w:sz w:val="22"/>
          <w:szCs w:val="22"/>
        </w:rPr>
        <w:t>zveřejněna</w:t>
      </w:r>
      <w:r w:rsidRPr="00335022">
        <w:rPr>
          <w:rFonts w:ascii="Arial" w:hAnsi="Arial" w:cs="Arial"/>
          <w:bCs/>
          <w:iCs/>
          <w:sz w:val="22"/>
          <w:szCs w:val="22"/>
        </w:rPr>
        <w:t xml:space="preserve"> nulová hodnota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="005876A6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Rozdíly byly způsobené tím, že MZe do </w:t>
      </w:r>
      <w:r w:rsidR="00106056">
        <w:rPr>
          <w:rFonts w:ascii="Arial" w:hAnsi="Arial" w:cs="Arial"/>
          <w:bCs/>
          <w:iCs/>
          <w:sz w:val="22"/>
          <w:szCs w:val="22"/>
        </w:rPr>
        <w:t>CSÚIS</w:t>
      </w:r>
      <w:r w:rsidR="00DB7223">
        <w:rPr>
          <w:rFonts w:ascii="Arial" w:hAnsi="Arial" w:cs="Arial"/>
          <w:bCs/>
          <w:iCs/>
          <w:sz w:val="22"/>
          <w:szCs w:val="22"/>
        </w:rPr>
        <w:t xml:space="preserve"> zaslalo účetní záznamy ve stanoveném</w:t>
      </w:r>
      <w:r w:rsidR="005876A6">
        <w:rPr>
          <w:rFonts w:ascii="Arial" w:hAnsi="Arial" w:cs="Arial"/>
          <w:bCs/>
          <w:iCs/>
          <w:sz w:val="22"/>
          <w:szCs w:val="22"/>
        </w:rPr>
        <w:t xml:space="preserve"> </w:t>
      </w:r>
      <w:r w:rsidR="00DB7223">
        <w:rPr>
          <w:rFonts w:ascii="Arial" w:hAnsi="Arial" w:cs="Arial"/>
          <w:bCs/>
          <w:iCs/>
          <w:sz w:val="22"/>
          <w:szCs w:val="22"/>
        </w:rPr>
        <w:t>termínu</w:t>
      </w:r>
      <w:r w:rsidR="00C239FE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20"/>
      </w:r>
      <w:r w:rsidR="00DB7223">
        <w:rPr>
          <w:rFonts w:ascii="Arial" w:hAnsi="Arial" w:cs="Arial"/>
          <w:bCs/>
          <w:iCs/>
          <w:sz w:val="22"/>
          <w:szCs w:val="22"/>
        </w:rPr>
        <w:t xml:space="preserve">, ale následně je ještě opravilo a </w:t>
      </w:r>
      <w:r w:rsidR="00AE033A">
        <w:rPr>
          <w:rFonts w:ascii="Arial" w:hAnsi="Arial" w:cs="Arial"/>
          <w:bCs/>
          <w:iCs/>
          <w:sz w:val="22"/>
          <w:szCs w:val="22"/>
        </w:rPr>
        <w:t>po 6</w:t>
      </w:r>
      <w:r w:rsidR="00997F1A">
        <w:rPr>
          <w:rFonts w:ascii="Arial" w:hAnsi="Arial" w:cs="Arial"/>
          <w:bCs/>
          <w:iCs/>
          <w:sz w:val="22"/>
          <w:szCs w:val="22"/>
        </w:rPr>
        <w:t> </w:t>
      </w:r>
      <w:r w:rsidR="00AE033A">
        <w:rPr>
          <w:rFonts w:ascii="Arial" w:hAnsi="Arial" w:cs="Arial"/>
          <w:bCs/>
          <w:iCs/>
          <w:sz w:val="22"/>
          <w:szCs w:val="22"/>
        </w:rPr>
        <w:t xml:space="preserve">dnech od původního předání </w:t>
      </w:r>
      <w:r w:rsidR="00DB7223">
        <w:rPr>
          <w:rFonts w:ascii="Arial" w:hAnsi="Arial" w:cs="Arial"/>
          <w:bCs/>
          <w:iCs/>
          <w:sz w:val="22"/>
          <w:szCs w:val="22"/>
        </w:rPr>
        <w:t>do CSÚIS</w:t>
      </w:r>
      <w:r w:rsidR="00DE3746">
        <w:rPr>
          <w:rFonts w:ascii="Arial" w:hAnsi="Arial" w:cs="Arial"/>
          <w:bCs/>
          <w:iCs/>
          <w:sz w:val="22"/>
          <w:szCs w:val="22"/>
        </w:rPr>
        <w:t xml:space="preserve"> je</w:t>
      </w:r>
      <w:r w:rsidR="00DB7223">
        <w:rPr>
          <w:rFonts w:ascii="Arial" w:hAnsi="Arial" w:cs="Arial"/>
          <w:bCs/>
          <w:iCs/>
          <w:sz w:val="22"/>
          <w:szCs w:val="22"/>
        </w:rPr>
        <w:t xml:space="preserve"> zaslalo znovu.</w:t>
      </w:r>
      <w:r>
        <w:rPr>
          <w:rFonts w:ascii="Arial" w:hAnsi="Arial" w:cs="Arial"/>
          <w:bCs/>
          <w:iCs/>
          <w:sz w:val="22"/>
          <w:szCs w:val="22"/>
        </w:rPr>
        <w:t xml:space="preserve"> Tyto opravené </w:t>
      </w:r>
      <w:r w:rsidR="00DB7223">
        <w:rPr>
          <w:rFonts w:ascii="Arial" w:hAnsi="Arial" w:cs="Arial"/>
          <w:bCs/>
          <w:iCs/>
          <w:sz w:val="22"/>
          <w:szCs w:val="22"/>
        </w:rPr>
        <w:t>údaje</w:t>
      </w:r>
      <w:r>
        <w:rPr>
          <w:rFonts w:ascii="Arial" w:hAnsi="Arial" w:cs="Arial"/>
          <w:bCs/>
          <w:iCs/>
          <w:sz w:val="22"/>
          <w:szCs w:val="22"/>
        </w:rPr>
        <w:t xml:space="preserve"> však již zveřejněny</w:t>
      </w:r>
      <w:r w:rsidR="00DB7223">
        <w:rPr>
          <w:rFonts w:ascii="Arial" w:hAnsi="Arial" w:cs="Arial"/>
          <w:bCs/>
          <w:iCs/>
          <w:sz w:val="22"/>
          <w:szCs w:val="22"/>
        </w:rPr>
        <w:t xml:space="preserve"> nebyly</w:t>
      </w:r>
      <w:r>
        <w:rPr>
          <w:rFonts w:ascii="Arial" w:hAnsi="Arial" w:cs="Arial"/>
          <w:bCs/>
          <w:iCs/>
          <w:sz w:val="22"/>
          <w:szCs w:val="22"/>
        </w:rPr>
        <w:t>. Z uvedeného je zřejmé, že informace</w:t>
      </w:r>
      <w:r w:rsidR="00EB5DC3">
        <w:rPr>
          <w:rFonts w:ascii="Arial" w:hAnsi="Arial" w:cs="Arial"/>
          <w:bCs/>
          <w:iCs/>
          <w:sz w:val="22"/>
          <w:szCs w:val="22"/>
        </w:rPr>
        <w:t xml:space="preserve"> zveřejněné v</w:t>
      </w:r>
      <w:r w:rsidR="005876A6">
        <w:rPr>
          <w:rFonts w:ascii="Arial" w:hAnsi="Arial" w:cs="Arial"/>
          <w:bCs/>
          <w:iCs/>
          <w:sz w:val="22"/>
          <w:szCs w:val="22"/>
        </w:rPr>
        <w:t> informačním portálu</w:t>
      </w:r>
      <w:r w:rsidR="00EB5DC3">
        <w:rPr>
          <w:rFonts w:ascii="Arial" w:hAnsi="Arial" w:cs="Arial"/>
          <w:bCs/>
          <w:iCs/>
          <w:sz w:val="22"/>
          <w:szCs w:val="22"/>
        </w:rPr>
        <w:t xml:space="preserve"> MONITOR</w:t>
      </w:r>
      <w:r w:rsidR="008520AD">
        <w:rPr>
          <w:rFonts w:ascii="Arial" w:hAnsi="Arial" w:cs="Arial"/>
          <w:bCs/>
          <w:iCs/>
          <w:sz w:val="22"/>
          <w:szCs w:val="22"/>
        </w:rPr>
        <w:t xml:space="preserve"> nemusí být vždy shodné</w:t>
      </w:r>
      <w:r w:rsidR="00500545">
        <w:rPr>
          <w:rFonts w:ascii="Arial" w:hAnsi="Arial" w:cs="Arial"/>
          <w:bCs/>
          <w:iCs/>
          <w:sz w:val="22"/>
          <w:szCs w:val="22"/>
        </w:rPr>
        <w:t xml:space="preserve"> s</w:t>
      </w:r>
      <w:r w:rsidR="00355F91">
        <w:rPr>
          <w:rFonts w:ascii="Arial" w:hAnsi="Arial" w:cs="Arial"/>
          <w:bCs/>
          <w:iCs/>
          <w:sz w:val="22"/>
          <w:szCs w:val="22"/>
        </w:rPr>
        <w:t> </w:t>
      </w:r>
      <w:r w:rsidR="00500545">
        <w:rPr>
          <w:rFonts w:ascii="Arial" w:hAnsi="Arial" w:cs="Arial"/>
          <w:bCs/>
          <w:iCs/>
          <w:sz w:val="22"/>
          <w:szCs w:val="22"/>
        </w:rPr>
        <w:t>údaji</w:t>
      </w:r>
      <w:r w:rsidR="00355F91">
        <w:rPr>
          <w:rFonts w:ascii="Arial" w:hAnsi="Arial" w:cs="Arial"/>
          <w:bCs/>
          <w:iCs/>
          <w:sz w:val="22"/>
          <w:szCs w:val="22"/>
        </w:rPr>
        <w:t xml:space="preserve"> sestavené</w:t>
      </w:r>
      <w:r w:rsidR="00500545">
        <w:rPr>
          <w:rFonts w:ascii="Arial" w:hAnsi="Arial" w:cs="Arial"/>
          <w:bCs/>
          <w:iCs/>
          <w:sz w:val="22"/>
          <w:szCs w:val="22"/>
        </w:rPr>
        <w:t xml:space="preserve"> účetní závěrky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3378A9" w:rsidRPr="00325FAC" w:rsidRDefault="003378A9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132983" w:rsidRPr="00325FAC" w:rsidRDefault="00C81407" w:rsidP="00325FAC">
      <w:pPr>
        <w:pStyle w:val="Odstavecseseznamem"/>
        <w:numPr>
          <w:ilvl w:val="0"/>
          <w:numId w:val="34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>Likvidační zůstatek státního statku</w:t>
      </w:r>
    </w:p>
    <w:p w:rsidR="002B54CD" w:rsidRDefault="002B54CD" w:rsidP="002B54C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B54CD" w:rsidRPr="00BE0DF9" w:rsidRDefault="002B54CD" w:rsidP="002B54CD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9F77FA">
        <w:rPr>
          <w:rFonts w:ascii="Arial" w:hAnsi="Arial" w:cs="Arial"/>
          <w:bCs/>
          <w:iCs/>
          <w:sz w:val="22"/>
          <w:szCs w:val="22"/>
        </w:rPr>
        <w:t>MZe na účet cizích prostředků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F77FA">
        <w:rPr>
          <w:rFonts w:ascii="Arial" w:hAnsi="Arial" w:cs="Arial"/>
          <w:bCs/>
          <w:iCs/>
          <w:sz w:val="22"/>
          <w:szCs w:val="22"/>
        </w:rPr>
        <w:t xml:space="preserve">přijalo dne 30. </w:t>
      </w:r>
      <w:r>
        <w:rPr>
          <w:rFonts w:ascii="Arial" w:hAnsi="Arial" w:cs="Arial"/>
          <w:bCs/>
          <w:iCs/>
          <w:sz w:val="22"/>
          <w:szCs w:val="22"/>
        </w:rPr>
        <w:t>ledna</w:t>
      </w:r>
      <w:r w:rsidRPr="009F77FA">
        <w:rPr>
          <w:rFonts w:ascii="Arial" w:hAnsi="Arial" w:cs="Arial"/>
          <w:bCs/>
          <w:iCs/>
          <w:sz w:val="22"/>
          <w:szCs w:val="22"/>
        </w:rPr>
        <w:t xml:space="preserve"> 2012 peněžní pros</w:t>
      </w:r>
      <w:r>
        <w:rPr>
          <w:rFonts w:ascii="Arial" w:hAnsi="Arial" w:cs="Arial"/>
          <w:bCs/>
          <w:iCs/>
          <w:sz w:val="22"/>
          <w:szCs w:val="22"/>
        </w:rPr>
        <w:t>tředky ve výši 16 349 174,42 Kč. J</w:t>
      </w:r>
      <w:r w:rsidRPr="009F77FA">
        <w:rPr>
          <w:rFonts w:ascii="Arial" w:hAnsi="Arial" w:cs="Arial"/>
          <w:bCs/>
          <w:iCs/>
          <w:sz w:val="22"/>
          <w:szCs w:val="22"/>
        </w:rPr>
        <w:t xml:space="preserve">ednalo o likvidační zůstatek </w:t>
      </w:r>
      <w:r>
        <w:rPr>
          <w:rFonts w:ascii="Arial" w:hAnsi="Arial" w:cs="Arial"/>
          <w:bCs/>
          <w:iCs/>
          <w:sz w:val="22"/>
          <w:szCs w:val="22"/>
        </w:rPr>
        <w:t>s</w:t>
      </w:r>
      <w:r w:rsidRPr="009F77FA">
        <w:rPr>
          <w:rFonts w:ascii="Arial" w:hAnsi="Arial" w:cs="Arial"/>
          <w:bCs/>
          <w:iCs/>
          <w:sz w:val="22"/>
          <w:szCs w:val="22"/>
        </w:rPr>
        <w:t>tátního statku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Pr="009F77F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D</w:t>
      </w:r>
      <w:r w:rsidRPr="009F77FA">
        <w:rPr>
          <w:rFonts w:ascii="Arial" w:hAnsi="Arial" w:cs="Arial"/>
          <w:bCs/>
          <w:iCs/>
          <w:sz w:val="22"/>
          <w:szCs w:val="22"/>
        </w:rPr>
        <w:t>le</w:t>
      </w:r>
      <w:r w:rsidR="0001493E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F77FA">
        <w:rPr>
          <w:rFonts w:ascii="Arial" w:hAnsi="Arial" w:cs="Arial"/>
          <w:bCs/>
          <w:iCs/>
          <w:sz w:val="22"/>
          <w:szCs w:val="22"/>
        </w:rPr>
        <w:t>zákona č.</w:t>
      </w:r>
      <w:r w:rsidR="00B80116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77/1997 Sb., o státním podniku je zakladatel povinen likvidační zůstatek</w:t>
      </w:r>
      <w:r w:rsidRPr="009F77FA">
        <w:rPr>
          <w:rFonts w:ascii="Arial" w:hAnsi="Arial" w:cs="Arial"/>
          <w:bCs/>
          <w:iCs/>
          <w:sz w:val="22"/>
          <w:szCs w:val="22"/>
        </w:rPr>
        <w:t xml:space="preserve"> převést do státních finančních aktiv. Lhůta pro převod</w:t>
      </w:r>
      <w:r>
        <w:rPr>
          <w:rFonts w:ascii="Arial" w:hAnsi="Arial" w:cs="Arial"/>
          <w:bCs/>
          <w:iCs/>
          <w:sz w:val="22"/>
          <w:szCs w:val="22"/>
        </w:rPr>
        <w:t xml:space="preserve"> těchto peněžních</w:t>
      </w:r>
      <w:r w:rsidRPr="009F77FA">
        <w:rPr>
          <w:rFonts w:ascii="Arial" w:hAnsi="Arial" w:cs="Arial"/>
          <w:bCs/>
          <w:iCs/>
          <w:sz w:val="22"/>
          <w:szCs w:val="22"/>
        </w:rPr>
        <w:t xml:space="preserve"> prostředků </w:t>
      </w:r>
      <w:r>
        <w:rPr>
          <w:rFonts w:ascii="Arial" w:hAnsi="Arial" w:cs="Arial"/>
          <w:bCs/>
          <w:iCs/>
          <w:sz w:val="22"/>
          <w:szCs w:val="22"/>
        </w:rPr>
        <w:t>ale</w:t>
      </w:r>
      <w:r w:rsidRPr="009F77FA">
        <w:rPr>
          <w:rFonts w:ascii="Arial" w:hAnsi="Arial" w:cs="Arial"/>
          <w:bCs/>
          <w:iCs/>
          <w:sz w:val="22"/>
          <w:szCs w:val="22"/>
        </w:rPr>
        <w:t xml:space="preserve"> není </w:t>
      </w:r>
      <w:r w:rsidR="0001493E">
        <w:rPr>
          <w:rFonts w:ascii="Arial" w:hAnsi="Arial" w:cs="Arial"/>
          <w:bCs/>
          <w:iCs/>
          <w:sz w:val="22"/>
          <w:szCs w:val="22"/>
        </w:rPr>
        <w:t xml:space="preserve">v tomto zákoně ani </w:t>
      </w:r>
      <w:r w:rsidRPr="009F77FA">
        <w:rPr>
          <w:rFonts w:ascii="Arial" w:hAnsi="Arial" w:cs="Arial"/>
          <w:bCs/>
          <w:iCs/>
          <w:sz w:val="22"/>
          <w:szCs w:val="22"/>
        </w:rPr>
        <w:t>v</w:t>
      </w:r>
      <w:r w:rsidR="00431A81">
        <w:rPr>
          <w:rFonts w:ascii="Arial" w:hAnsi="Arial" w:cs="Arial"/>
          <w:bCs/>
          <w:iCs/>
          <w:sz w:val="22"/>
          <w:szCs w:val="22"/>
        </w:rPr>
        <w:t> zákoně č. </w:t>
      </w:r>
      <w:r>
        <w:rPr>
          <w:rFonts w:ascii="Arial" w:hAnsi="Arial" w:cs="Arial"/>
          <w:bCs/>
          <w:iCs/>
          <w:sz w:val="22"/>
          <w:szCs w:val="22"/>
        </w:rPr>
        <w:t>218/2000 Sb. ani ve vyhlášce č. 52/2008 Sb.</w:t>
      </w:r>
      <w:r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21"/>
      </w:r>
      <w:r w:rsidRPr="009F77FA">
        <w:rPr>
          <w:rFonts w:ascii="Arial" w:hAnsi="Arial" w:cs="Arial"/>
          <w:bCs/>
          <w:iCs/>
          <w:sz w:val="22"/>
          <w:szCs w:val="22"/>
        </w:rPr>
        <w:t xml:space="preserve"> explicitně stanovena. </w:t>
      </w:r>
      <w:r w:rsidRPr="00BE0DF9">
        <w:rPr>
          <w:rFonts w:ascii="Arial" w:hAnsi="Arial" w:cs="Arial"/>
          <w:bCs/>
          <w:iCs/>
          <w:sz w:val="22"/>
          <w:szCs w:val="22"/>
        </w:rPr>
        <w:t xml:space="preserve">MZe tím, že peněžní prostředky přijaté na účet cizích prostředků </w:t>
      </w:r>
      <w:r w:rsidR="0001493E" w:rsidRPr="00BE0DF9">
        <w:rPr>
          <w:rFonts w:ascii="Arial" w:hAnsi="Arial" w:cs="Arial"/>
          <w:bCs/>
          <w:iCs/>
          <w:sz w:val="22"/>
          <w:szCs w:val="22"/>
        </w:rPr>
        <w:t>v lednu</w:t>
      </w:r>
      <w:r w:rsidRPr="00BE0DF9">
        <w:rPr>
          <w:rFonts w:ascii="Arial" w:hAnsi="Arial" w:cs="Arial"/>
          <w:bCs/>
          <w:iCs/>
          <w:sz w:val="22"/>
          <w:szCs w:val="22"/>
        </w:rPr>
        <w:t xml:space="preserve"> 2012</w:t>
      </w:r>
      <w:r w:rsidR="00E61E85">
        <w:rPr>
          <w:rFonts w:ascii="Arial" w:hAnsi="Arial" w:cs="Arial"/>
          <w:bCs/>
          <w:iCs/>
          <w:sz w:val="22"/>
          <w:szCs w:val="22"/>
        </w:rPr>
        <w:t>,</w:t>
      </w:r>
      <w:r w:rsidR="00E2556E">
        <w:rPr>
          <w:rFonts w:ascii="Arial" w:hAnsi="Arial" w:cs="Arial"/>
          <w:bCs/>
          <w:iCs/>
          <w:sz w:val="22"/>
          <w:szCs w:val="22"/>
        </w:rPr>
        <w:t xml:space="preserve"> nepřevedlo</w:t>
      </w:r>
      <w:r w:rsidRPr="00BE0DF9">
        <w:rPr>
          <w:rFonts w:ascii="Arial" w:hAnsi="Arial" w:cs="Arial"/>
          <w:bCs/>
          <w:iCs/>
          <w:sz w:val="22"/>
          <w:szCs w:val="22"/>
        </w:rPr>
        <w:t xml:space="preserve"> </w:t>
      </w:r>
      <w:r w:rsidR="0001493E" w:rsidRPr="00BE0DF9">
        <w:rPr>
          <w:rFonts w:ascii="Arial" w:hAnsi="Arial" w:cs="Arial"/>
          <w:bCs/>
          <w:iCs/>
          <w:sz w:val="22"/>
          <w:szCs w:val="22"/>
        </w:rPr>
        <w:t xml:space="preserve">ani </w:t>
      </w:r>
      <w:r w:rsidRPr="00BE0DF9">
        <w:rPr>
          <w:rFonts w:ascii="Arial" w:hAnsi="Arial" w:cs="Arial"/>
          <w:bCs/>
          <w:iCs/>
          <w:sz w:val="22"/>
          <w:szCs w:val="22"/>
        </w:rPr>
        <w:t>k datu ukončení kontroly do státních finančních aktiv, porušilo povinnost stanovenou v § 15 písm. j) zákona č.</w:t>
      </w:r>
      <w:r w:rsidR="00997F1A">
        <w:rPr>
          <w:rFonts w:ascii="Arial" w:hAnsi="Arial" w:cs="Arial"/>
          <w:bCs/>
          <w:iCs/>
          <w:sz w:val="22"/>
          <w:szCs w:val="22"/>
        </w:rPr>
        <w:t> </w:t>
      </w:r>
      <w:r w:rsidRPr="00BE0DF9">
        <w:rPr>
          <w:rFonts w:ascii="Arial" w:hAnsi="Arial" w:cs="Arial"/>
          <w:bCs/>
          <w:iCs/>
          <w:sz w:val="22"/>
          <w:szCs w:val="22"/>
        </w:rPr>
        <w:t>77/1997 Sb., o státním podniku.</w:t>
      </w:r>
    </w:p>
    <w:p w:rsidR="00C81407" w:rsidRDefault="00C81407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997F1A" w:rsidRDefault="00997F1A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997F1A" w:rsidRDefault="00997F1A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997F1A" w:rsidRDefault="00997F1A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997F1A" w:rsidRPr="00325FAC" w:rsidRDefault="00997F1A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C0E84" w:rsidRPr="00325FAC" w:rsidRDefault="00C81407" w:rsidP="00325FAC">
      <w:pPr>
        <w:pStyle w:val="Odstavecseseznamem"/>
        <w:numPr>
          <w:ilvl w:val="0"/>
          <w:numId w:val="35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lastRenderedPageBreak/>
        <w:t>Vybrané nákladové účty pro k</w:t>
      </w:r>
      <w:r w:rsidR="005C0E84" w:rsidRPr="00325FAC">
        <w:rPr>
          <w:rFonts w:ascii="Arial" w:hAnsi="Arial" w:cs="Arial"/>
          <w:b/>
          <w:i/>
          <w:sz w:val="22"/>
          <w:szCs w:val="22"/>
        </w:rPr>
        <w:t xml:space="preserve">líčové </w:t>
      </w:r>
      <w:r w:rsidR="00355F91" w:rsidRPr="00325FAC">
        <w:rPr>
          <w:rFonts w:ascii="Arial" w:hAnsi="Arial" w:cs="Arial"/>
          <w:b/>
          <w:i/>
          <w:sz w:val="22"/>
          <w:szCs w:val="22"/>
        </w:rPr>
        <w:t xml:space="preserve">analytické </w:t>
      </w:r>
      <w:r w:rsidR="005C0E84" w:rsidRPr="00325FAC">
        <w:rPr>
          <w:rFonts w:ascii="Arial" w:hAnsi="Arial" w:cs="Arial"/>
          <w:b/>
          <w:i/>
          <w:sz w:val="22"/>
          <w:szCs w:val="22"/>
        </w:rPr>
        <w:t xml:space="preserve">ukazatele </w:t>
      </w:r>
    </w:p>
    <w:p w:rsidR="006E00CE" w:rsidRDefault="006E00CE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872A2" w:rsidRDefault="007872A2" w:rsidP="007872A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872A2">
        <w:rPr>
          <w:rFonts w:ascii="Arial" w:hAnsi="Arial" w:cs="Arial"/>
          <w:bCs/>
          <w:iCs/>
          <w:sz w:val="22"/>
          <w:szCs w:val="22"/>
        </w:rPr>
        <w:t>Klíčové</w:t>
      </w:r>
      <w:r w:rsidR="00426CEA">
        <w:rPr>
          <w:rFonts w:ascii="Arial" w:hAnsi="Arial" w:cs="Arial"/>
          <w:bCs/>
          <w:iCs/>
          <w:sz w:val="22"/>
          <w:szCs w:val="22"/>
        </w:rPr>
        <w:t xml:space="preserve"> analytické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ukazatele jsou</w:t>
      </w:r>
      <w:r w:rsidR="00426CEA">
        <w:rPr>
          <w:rFonts w:ascii="Arial" w:hAnsi="Arial" w:cs="Arial"/>
          <w:bCs/>
          <w:iCs/>
          <w:sz w:val="22"/>
          <w:szCs w:val="22"/>
        </w:rPr>
        <w:t xml:space="preserve"> </w:t>
      </w:r>
      <w:r w:rsidR="00431A81">
        <w:rPr>
          <w:rFonts w:ascii="Arial" w:hAnsi="Arial" w:cs="Arial"/>
          <w:bCs/>
          <w:iCs/>
          <w:sz w:val="22"/>
          <w:szCs w:val="22"/>
        </w:rPr>
        <w:t>„</w:t>
      </w:r>
      <w:r w:rsidR="005876A6">
        <w:rPr>
          <w:rFonts w:ascii="Arial" w:hAnsi="Arial" w:cs="Arial"/>
          <w:bCs/>
          <w:iCs/>
          <w:sz w:val="22"/>
          <w:szCs w:val="22"/>
        </w:rPr>
        <w:t>…</w:t>
      </w:r>
      <w:r w:rsidR="00426CEA">
        <w:t xml:space="preserve"> </w:t>
      </w:r>
      <w:r w:rsidR="00426CEA" w:rsidRPr="0074542A">
        <w:rPr>
          <w:rFonts w:ascii="Arial" w:hAnsi="Arial" w:cs="Arial"/>
          <w:i/>
          <w:sz w:val="22"/>
          <w:szCs w:val="22"/>
        </w:rPr>
        <w:t>nově zaváděným prvkem v systému sledování a</w:t>
      </w:r>
      <w:r w:rsidR="00CD7E0C" w:rsidRPr="0074542A">
        <w:rPr>
          <w:rFonts w:ascii="Arial" w:hAnsi="Arial" w:cs="Arial"/>
          <w:i/>
          <w:sz w:val="22"/>
          <w:szCs w:val="22"/>
        </w:rPr>
        <w:t> </w:t>
      </w:r>
      <w:r w:rsidR="00426CEA" w:rsidRPr="0074542A">
        <w:rPr>
          <w:rFonts w:ascii="Arial" w:hAnsi="Arial" w:cs="Arial"/>
          <w:i/>
          <w:sz w:val="22"/>
          <w:szCs w:val="22"/>
        </w:rPr>
        <w:t>vyhodnocování výkonnosti účetních jednotek v rámci účetních jednotek státní správy</w:t>
      </w:r>
      <w:r w:rsidR="005876A6">
        <w:rPr>
          <w:rFonts w:ascii="Arial" w:hAnsi="Arial" w:cs="Arial"/>
          <w:sz w:val="22"/>
          <w:szCs w:val="22"/>
        </w:rPr>
        <w:t>…</w:t>
      </w:r>
      <w:r w:rsidR="005876A6">
        <w:rPr>
          <w:rFonts w:ascii="Arial" w:hAnsi="Arial" w:cs="Arial"/>
          <w:bCs/>
          <w:iCs/>
          <w:sz w:val="22"/>
          <w:szCs w:val="22"/>
        </w:rPr>
        <w:t>“</w:t>
      </w:r>
      <w:r w:rsidR="005876A6" w:rsidRPr="00426CEA">
        <w:rPr>
          <w:rFonts w:ascii="Arial" w:hAnsi="Arial" w:cs="Arial"/>
          <w:bCs/>
          <w:iCs/>
          <w:sz w:val="22"/>
          <w:szCs w:val="22"/>
        </w:rPr>
        <w:t>.</w:t>
      </w:r>
      <w:r w:rsidR="005C558B" w:rsidRPr="00426CEA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22"/>
      </w:r>
      <w:r w:rsidR="001C17A3" w:rsidRPr="00426CEA">
        <w:rPr>
          <w:rFonts w:ascii="Arial" w:hAnsi="Arial" w:cs="Arial"/>
          <w:bCs/>
          <w:iCs/>
          <w:sz w:val="22"/>
          <w:szCs w:val="22"/>
        </w:rPr>
        <w:t xml:space="preserve"> Pro vstup do těchto</w:t>
      </w:r>
      <w:r w:rsidR="001C17A3">
        <w:rPr>
          <w:rFonts w:ascii="Arial" w:hAnsi="Arial" w:cs="Arial"/>
          <w:bCs/>
          <w:iCs/>
          <w:sz w:val="22"/>
          <w:szCs w:val="22"/>
        </w:rPr>
        <w:t xml:space="preserve"> ukazatelů jsou přebírány z účetních závěrek </w:t>
      </w:r>
      <w:r w:rsidRPr="007A1CD7">
        <w:rPr>
          <w:rFonts w:ascii="Arial" w:hAnsi="Arial" w:cs="Arial"/>
          <w:bCs/>
          <w:iCs/>
          <w:sz w:val="22"/>
          <w:szCs w:val="22"/>
        </w:rPr>
        <w:t>vybrané majetkové účty</w:t>
      </w:r>
      <w:r w:rsidR="005B5BB4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23"/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v</w:t>
      </w:r>
      <w:r w:rsidR="00CD7E0C">
        <w:rPr>
          <w:rFonts w:ascii="Arial" w:hAnsi="Arial" w:cs="Arial"/>
          <w:bCs/>
          <w:iCs/>
          <w:sz w:val="22"/>
          <w:szCs w:val="22"/>
        </w:rPr>
        <w:t> 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brutto hodnotě a </w:t>
      </w:r>
      <w:r w:rsidRPr="007A1CD7">
        <w:rPr>
          <w:rFonts w:ascii="Arial" w:hAnsi="Arial" w:cs="Arial"/>
          <w:bCs/>
          <w:iCs/>
          <w:sz w:val="22"/>
          <w:szCs w:val="22"/>
        </w:rPr>
        <w:t>nákladové účty</w:t>
      </w:r>
      <w:r w:rsidR="005B5BB4" w:rsidRPr="007A1CD7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24"/>
      </w:r>
      <w:r w:rsidRPr="007A1CD7">
        <w:rPr>
          <w:rFonts w:ascii="Arial" w:hAnsi="Arial" w:cs="Arial"/>
          <w:bCs/>
          <w:iCs/>
          <w:sz w:val="22"/>
          <w:szCs w:val="22"/>
        </w:rPr>
        <w:t>.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Ukazatele </w:t>
      </w:r>
      <w:r w:rsidR="001C17A3">
        <w:rPr>
          <w:rFonts w:ascii="Arial" w:hAnsi="Arial" w:cs="Arial"/>
          <w:bCs/>
          <w:iCs/>
          <w:sz w:val="22"/>
          <w:szCs w:val="22"/>
        </w:rPr>
        <w:t>mají měřit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mzdovou náročnost, provozní nákladovost a majetkovou nákladovost</w:t>
      </w:r>
      <w:r w:rsidR="001C17A3">
        <w:rPr>
          <w:rFonts w:ascii="Arial" w:hAnsi="Arial" w:cs="Arial"/>
          <w:bCs/>
          <w:iCs/>
          <w:sz w:val="22"/>
          <w:szCs w:val="22"/>
        </w:rPr>
        <w:t xml:space="preserve"> účetních jednotek</w:t>
      </w:r>
      <w:r w:rsidRPr="007872A2">
        <w:rPr>
          <w:rFonts w:ascii="Arial" w:hAnsi="Arial" w:cs="Arial"/>
          <w:bCs/>
          <w:iCs/>
          <w:sz w:val="22"/>
          <w:szCs w:val="22"/>
        </w:rPr>
        <w:t>.</w:t>
      </w:r>
    </w:p>
    <w:p w:rsidR="00E61E85" w:rsidRDefault="00E61E85" w:rsidP="007872A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61E85" w:rsidRDefault="00487CD5" w:rsidP="007872A2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ED3C3D">
        <w:rPr>
          <w:rFonts w:ascii="Arial" w:hAnsi="Arial" w:cs="Arial"/>
          <w:sz w:val="22"/>
          <w:szCs w:val="22"/>
          <w:lang w:eastAsia="cs-CZ"/>
        </w:rPr>
        <w:t xml:space="preserve">Provozní nákladovost </w:t>
      </w:r>
      <w:r w:rsidR="00431A81">
        <w:rPr>
          <w:rFonts w:ascii="Arial" w:hAnsi="Arial" w:cs="Arial"/>
          <w:sz w:val="22"/>
          <w:szCs w:val="22"/>
          <w:lang w:eastAsia="cs-CZ"/>
        </w:rPr>
        <w:t>„</w:t>
      </w:r>
      <w:r w:rsidR="0074542A">
        <w:rPr>
          <w:rFonts w:ascii="Arial" w:hAnsi="Arial" w:cs="Arial"/>
          <w:sz w:val="22"/>
          <w:szCs w:val="22"/>
          <w:lang w:eastAsia="cs-CZ"/>
        </w:rPr>
        <w:t>…</w:t>
      </w:r>
      <w:r w:rsidR="00CD7E0C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74542A">
        <w:rPr>
          <w:rFonts w:ascii="Arial" w:hAnsi="Arial" w:cs="Arial"/>
          <w:i/>
          <w:sz w:val="22"/>
          <w:szCs w:val="22"/>
          <w:lang w:eastAsia="cs-CZ"/>
        </w:rPr>
        <w:t>vyjadřuje korunovou hodnotu ročního objemu ovlivnitelných nákladů z činnosti připadající na jednoho pracovníka příslušné organizační složky státu</w:t>
      </w:r>
      <w:r w:rsidR="006508D6">
        <w:rPr>
          <w:rFonts w:ascii="Arial" w:hAnsi="Arial" w:cs="Arial"/>
          <w:i/>
          <w:sz w:val="22"/>
          <w:szCs w:val="22"/>
          <w:lang w:eastAsia="cs-CZ"/>
        </w:rPr>
        <w:t>.</w:t>
      </w:r>
      <w:r w:rsidR="00CD7E0C" w:rsidRPr="0074542A"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r w:rsidR="006508D6">
        <w:rPr>
          <w:rFonts w:ascii="Arial" w:hAnsi="Arial" w:cs="Arial"/>
          <w:i/>
          <w:sz w:val="22"/>
          <w:szCs w:val="22"/>
          <w:lang w:eastAsia="cs-CZ"/>
        </w:rPr>
        <w:t>(</w:t>
      </w:r>
      <w:r w:rsidR="00CD7E0C" w:rsidRPr="0074542A">
        <w:rPr>
          <w:rFonts w:ascii="Arial" w:hAnsi="Arial" w:cs="Arial"/>
          <w:i/>
          <w:sz w:val="22"/>
          <w:szCs w:val="22"/>
          <w:lang w:eastAsia="cs-CZ"/>
        </w:rPr>
        <w:t>...</w:t>
      </w:r>
      <w:r w:rsidR="006508D6">
        <w:rPr>
          <w:rFonts w:ascii="Arial" w:hAnsi="Arial" w:cs="Arial"/>
          <w:i/>
          <w:sz w:val="22"/>
          <w:szCs w:val="22"/>
          <w:lang w:eastAsia="cs-CZ"/>
        </w:rPr>
        <w:t>)</w:t>
      </w:r>
      <w:r w:rsidR="00CD7E0C" w:rsidRPr="0074542A"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r w:rsidRPr="0074542A">
        <w:rPr>
          <w:rFonts w:ascii="Arial" w:hAnsi="Arial" w:cs="Arial"/>
          <w:i/>
          <w:sz w:val="22"/>
          <w:szCs w:val="22"/>
          <w:lang w:eastAsia="cs-CZ"/>
        </w:rPr>
        <w:t>Ukazatel slouží ke vzájemnému srovnání a posouzení meziročního jednotkového vývoje ovlivnitelných nákladů z činnosti v rámci resortů, organizačních složek stá</w:t>
      </w:r>
      <w:r w:rsidR="0060784C" w:rsidRPr="0074542A">
        <w:rPr>
          <w:rFonts w:ascii="Arial" w:hAnsi="Arial" w:cs="Arial"/>
          <w:i/>
          <w:sz w:val="22"/>
          <w:szCs w:val="22"/>
          <w:lang w:eastAsia="cs-CZ"/>
        </w:rPr>
        <w:t>tu a jejich účetních jednotek a </w:t>
      </w:r>
      <w:r w:rsidRPr="0074542A">
        <w:rPr>
          <w:rFonts w:ascii="Arial" w:hAnsi="Arial" w:cs="Arial"/>
          <w:i/>
          <w:sz w:val="22"/>
          <w:szCs w:val="22"/>
          <w:lang w:eastAsia="cs-CZ"/>
        </w:rPr>
        <w:t>celkových kapitol státního rozpočtu s tím, že výstupem ukazatel</w:t>
      </w:r>
      <w:r w:rsidR="008D22AB" w:rsidRPr="0074542A">
        <w:rPr>
          <w:rFonts w:ascii="Arial" w:hAnsi="Arial" w:cs="Arial"/>
          <w:i/>
          <w:sz w:val="22"/>
          <w:szCs w:val="22"/>
          <w:lang w:eastAsia="cs-CZ"/>
        </w:rPr>
        <w:t xml:space="preserve">e je časově vymezené posouzení </w:t>
      </w:r>
      <w:r w:rsidRPr="0074542A">
        <w:rPr>
          <w:rFonts w:ascii="Arial" w:hAnsi="Arial" w:cs="Arial"/>
          <w:i/>
          <w:sz w:val="22"/>
          <w:szCs w:val="22"/>
          <w:lang w:eastAsia="cs-CZ"/>
        </w:rPr>
        <w:t>a vyhodnocení jednotkového vývoje ovlivnitelných nákladů z činnosti příslušného účetního subjektu</w:t>
      </w:r>
      <w:r w:rsidR="00AA706A">
        <w:rPr>
          <w:rFonts w:ascii="Arial" w:hAnsi="Arial" w:cs="Arial"/>
          <w:sz w:val="22"/>
          <w:szCs w:val="22"/>
          <w:lang w:eastAsia="cs-CZ"/>
        </w:rPr>
        <w:t>.</w:t>
      </w:r>
      <w:r w:rsidR="00431A81">
        <w:rPr>
          <w:rFonts w:ascii="Arial" w:hAnsi="Arial" w:cs="Arial"/>
          <w:sz w:val="22"/>
          <w:szCs w:val="22"/>
          <w:lang w:eastAsia="cs-CZ"/>
        </w:rPr>
        <w:t>“</w:t>
      </w:r>
      <w:r w:rsidRPr="00ED3C3D">
        <w:rPr>
          <w:rStyle w:val="Znakapoznpodarou"/>
          <w:rFonts w:ascii="Arial" w:hAnsi="Arial" w:cs="Arial"/>
          <w:sz w:val="22"/>
          <w:szCs w:val="22"/>
          <w:lang w:eastAsia="cs-CZ"/>
        </w:rPr>
        <w:footnoteReference w:id="25"/>
      </w:r>
      <w:r w:rsidR="00E61E85">
        <w:rPr>
          <w:rFonts w:ascii="Arial" w:hAnsi="Arial" w:cs="Arial"/>
          <w:sz w:val="22"/>
          <w:szCs w:val="22"/>
          <w:lang w:eastAsia="cs-CZ"/>
        </w:rPr>
        <w:t xml:space="preserve">. </w:t>
      </w:r>
    </w:p>
    <w:p w:rsidR="00E61E85" w:rsidRDefault="00E61E85" w:rsidP="007872A2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7872A2" w:rsidRPr="007872A2" w:rsidRDefault="007872A2" w:rsidP="007872A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872A2">
        <w:rPr>
          <w:rFonts w:ascii="Arial" w:hAnsi="Arial" w:cs="Arial"/>
          <w:bCs/>
          <w:iCs/>
          <w:sz w:val="22"/>
          <w:szCs w:val="22"/>
        </w:rPr>
        <w:t xml:space="preserve">V rámci kontroly byly </w:t>
      </w:r>
      <w:r w:rsidR="001A052E">
        <w:rPr>
          <w:rFonts w:ascii="Arial" w:hAnsi="Arial" w:cs="Arial"/>
          <w:bCs/>
          <w:iCs/>
          <w:sz w:val="22"/>
          <w:szCs w:val="22"/>
        </w:rPr>
        <w:t xml:space="preserve">výběrovým způsobem </w:t>
      </w:r>
      <w:r w:rsidR="00842460">
        <w:rPr>
          <w:rFonts w:ascii="Arial" w:hAnsi="Arial" w:cs="Arial"/>
          <w:bCs/>
          <w:iCs/>
          <w:sz w:val="22"/>
          <w:szCs w:val="22"/>
        </w:rPr>
        <w:t>prověřeny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nákladové účty </w:t>
      </w:r>
      <w:r w:rsidR="00ED3C3D">
        <w:rPr>
          <w:rFonts w:ascii="Arial" w:hAnsi="Arial" w:cs="Arial"/>
          <w:bCs/>
          <w:iCs/>
          <w:sz w:val="22"/>
          <w:szCs w:val="22"/>
        </w:rPr>
        <w:t>vstupující za MZe do měření provozní nákladovosti</w:t>
      </w:r>
      <w:r w:rsidR="00C57093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26"/>
      </w:r>
      <w:r w:rsidR="00ED3C3D">
        <w:rPr>
          <w:rFonts w:ascii="Arial" w:hAnsi="Arial" w:cs="Arial"/>
          <w:bCs/>
          <w:iCs/>
          <w:sz w:val="22"/>
          <w:szCs w:val="22"/>
        </w:rPr>
        <w:t>.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</w:t>
      </w:r>
      <w:r w:rsidR="00ED3C3D">
        <w:rPr>
          <w:rFonts w:ascii="Arial" w:hAnsi="Arial" w:cs="Arial"/>
          <w:bCs/>
          <w:iCs/>
          <w:sz w:val="22"/>
          <w:szCs w:val="22"/>
        </w:rPr>
        <w:t>V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účetní závěrce</w:t>
      </w:r>
      <w:r w:rsidR="00ED3C3D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sestavené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k 31. </w:t>
      </w:r>
      <w:r w:rsidR="00ED3C3D">
        <w:rPr>
          <w:rFonts w:ascii="Arial" w:hAnsi="Arial" w:cs="Arial"/>
          <w:bCs/>
          <w:iCs/>
          <w:sz w:val="22"/>
          <w:szCs w:val="22"/>
        </w:rPr>
        <w:t>prosinci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2013 vykázalo</w:t>
      </w:r>
      <w:r w:rsidR="00ED3C3D">
        <w:rPr>
          <w:rFonts w:ascii="Arial" w:hAnsi="Arial" w:cs="Arial"/>
          <w:bCs/>
          <w:iCs/>
          <w:sz w:val="22"/>
          <w:szCs w:val="22"/>
        </w:rPr>
        <w:t xml:space="preserve"> MZe</w:t>
      </w:r>
      <w:r w:rsidR="008D22AB">
        <w:rPr>
          <w:rFonts w:ascii="Arial" w:hAnsi="Arial" w:cs="Arial"/>
          <w:bCs/>
          <w:iCs/>
          <w:sz w:val="22"/>
          <w:szCs w:val="22"/>
        </w:rPr>
        <w:t xml:space="preserve"> </w:t>
      </w:r>
      <w:r w:rsidR="00ED3C3D">
        <w:rPr>
          <w:rFonts w:ascii="Arial" w:hAnsi="Arial" w:cs="Arial"/>
          <w:bCs/>
          <w:iCs/>
          <w:sz w:val="22"/>
          <w:szCs w:val="22"/>
        </w:rPr>
        <w:t>tyto</w:t>
      </w:r>
      <w:r w:rsidR="008D22A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872A2">
        <w:rPr>
          <w:rFonts w:ascii="Arial" w:hAnsi="Arial" w:cs="Arial"/>
          <w:bCs/>
          <w:iCs/>
          <w:sz w:val="22"/>
          <w:szCs w:val="22"/>
        </w:rPr>
        <w:t>náklady</w:t>
      </w:r>
      <w:r w:rsidR="008D22AB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27"/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v celkové výši </w:t>
      </w:r>
      <w:r w:rsidR="001A052E">
        <w:rPr>
          <w:rFonts w:ascii="Arial" w:hAnsi="Arial" w:cs="Arial"/>
          <w:bCs/>
          <w:iCs/>
          <w:sz w:val="22"/>
          <w:szCs w:val="22"/>
        </w:rPr>
        <w:t>981 411 649,05 Kč.</w:t>
      </w:r>
    </w:p>
    <w:p w:rsidR="007872A2" w:rsidRPr="007872A2" w:rsidRDefault="007872A2" w:rsidP="007872A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872A2" w:rsidRPr="001A052E" w:rsidRDefault="007872A2" w:rsidP="007872A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872A2">
        <w:rPr>
          <w:rFonts w:ascii="Arial" w:hAnsi="Arial" w:cs="Arial"/>
          <w:bCs/>
          <w:iCs/>
          <w:sz w:val="22"/>
          <w:szCs w:val="22"/>
        </w:rPr>
        <w:t>V případě MZe jsou prokazatelně neovlivniteln</w:t>
      </w:r>
      <w:r w:rsidR="001A052E">
        <w:rPr>
          <w:rFonts w:ascii="Arial" w:hAnsi="Arial" w:cs="Arial"/>
          <w:bCs/>
          <w:iCs/>
          <w:sz w:val="22"/>
          <w:szCs w:val="22"/>
        </w:rPr>
        <w:t xml:space="preserve">é 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náklady ve výši 30 799 789 Kč vykázané na účtu 549 – </w:t>
      </w:r>
      <w:r w:rsidRPr="007872A2">
        <w:rPr>
          <w:rFonts w:ascii="Arial" w:hAnsi="Arial" w:cs="Arial"/>
          <w:bCs/>
          <w:i/>
          <w:iCs/>
          <w:sz w:val="22"/>
          <w:szCs w:val="22"/>
        </w:rPr>
        <w:t>Ostatní náklady z činnosti</w:t>
      </w:r>
      <w:r w:rsidRPr="007872A2">
        <w:rPr>
          <w:rFonts w:ascii="Arial" w:hAnsi="Arial" w:cs="Arial"/>
          <w:bCs/>
          <w:iCs/>
          <w:sz w:val="22"/>
          <w:szCs w:val="22"/>
        </w:rPr>
        <w:t>. J</w:t>
      </w:r>
      <w:r w:rsidR="00B13536">
        <w:rPr>
          <w:rFonts w:ascii="Arial" w:hAnsi="Arial" w:cs="Arial"/>
          <w:bCs/>
          <w:iCs/>
          <w:sz w:val="22"/>
          <w:szCs w:val="22"/>
        </w:rPr>
        <w:t>de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o náklady vynaložené na základě právních předpisů. V kontrolovaném vzorku se jednalo o náhrady za majetko</w:t>
      </w:r>
      <w:r w:rsidR="00CD4D30">
        <w:rPr>
          <w:rFonts w:ascii="Arial" w:hAnsi="Arial" w:cs="Arial"/>
          <w:bCs/>
          <w:iCs/>
          <w:sz w:val="22"/>
          <w:szCs w:val="22"/>
        </w:rPr>
        <w:t>vé újmy v souvislosti s </w:t>
      </w:r>
      <w:r w:rsidRPr="007872A2">
        <w:rPr>
          <w:rFonts w:ascii="Arial" w:hAnsi="Arial" w:cs="Arial"/>
          <w:bCs/>
          <w:iCs/>
          <w:sz w:val="22"/>
          <w:szCs w:val="22"/>
        </w:rPr>
        <w:t>nebezpečnou nákazou (</w:t>
      </w:r>
      <w:r w:rsidR="00B13536">
        <w:rPr>
          <w:rFonts w:ascii="Arial" w:hAnsi="Arial" w:cs="Arial"/>
          <w:bCs/>
          <w:iCs/>
          <w:sz w:val="22"/>
          <w:szCs w:val="22"/>
        </w:rPr>
        <w:t xml:space="preserve">dle </w:t>
      </w:r>
      <w:r w:rsidRPr="007872A2">
        <w:rPr>
          <w:rFonts w:ascii="Arial" w:hAnsi="Arial" w:cs="Arial"/>
          <w:bCs/>
          <w:iCs/>
          <w:sz w:val="22"/>
          <w:szCs w:val="22"/>
        </w:rPr>
        <w:t>§ 67 zákona č. 166/1999 Sb., o</w:t>
      </w:r>
      <w:r w:rsidR="004379DF">
        <w:rPr>
          <w:rFonts w:ascii="Arial" w:hAnsi="Arial" w:cs="Arial"/>
          <w:bCs/>
          <w:iCs/>
          <w:sz w:val="22"/>
          <w:szCs w:val="22"/>
        </w:rPr>
        <w:t> </w:t>
      </w:r>
      <w:r w:rsidRPr="007872A2">
        <w:rPr>
          <w:rFonts w:ascii="Arial" w:hAnsi="Arial" w:cs="Arial"/>
          <w:bCs/>
          <w:iCs/>
          <w:sz w:val="22"/>
          <w:szCs w:val="22"/>
        </w:rPr>
        <w:t>veterinární péči a o změně některých souvisejících zákonů) nebo o náhrady za majetkové újmy na základě mimořádného rostlinolékařského opatření (</w:t>
      </w:r>
      <w:r w:rsidR="00B13536">
        <w:rPr>
          <w:rFonts w:ascii="Arial" w:hAnsi="Arial" w:cs="Arial"/>
          <w:bCs/>
          <w:iCs/>
          <w:sz w:val="22"/>
          <w:szCs w:val="22"/>
        </w:rPr>
        <w:t xml:space="preserve">dle </w:t>
      </w:r>
      <w:r w:rsidRPr="007872A2">
        <w:rPr>
          <w:rFonts w:ascii="Arial" w:hAnsi="Arial" w:cs="Arial"/>
          <w:bCs/>
          <w:iCs/>
          <w:sz w:val="22"/>
          <w:szCs w:val="22"/>
        </w:rPr>
        <w:t>§ 76 zákona č. 326/2004 Sb., o</w:t>
      </w:r>
      <w:r w:rsidR="004379DF">
        <w:rPr>
          <w:rFonts w:ascii="Arial" w:hAnsi="Arial" w:cs="Arial"/>
          <w:bCs/>
          <w:iCs/>
          <w:sz w:val="22"/>
          <w:szCs w:val="22"/>
        </w:rPr>
        <w:t> </w:t>
      </w:r>
      <w:r w:rsidRPr="007872A2">
        <w:rPr>
          <w:rFonts w:ascii="Arial" w:hAnsi="Arial" w:cs="Arial"/>
          <w:bCs/>
          <w:iCs/>
          <w:sz w:val="22"/>
          <w:szCs w:val="22"/>
        </w:rPr>
        <w:t>rostlinolékařské péči a změn</w:t>
      </w:r>
      <w:r w:rsidR="00B13536">
        <w:rPr>
          <w:rFonts w:ascii="Arial" w:hAnsi="Arial" w:cs="Arial"/>
          <w:bCs/>
          <w:iCs/>
          <w:sz w:val="22"/>
          <w:szCs w:val="22"/>
        </w:rPr>
        <w:t>ě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některých souvisejících zákonů). </w:t>
      </w:r>
      <w:r w:rsidR="001A052E">
        <w:rPr>
          <w:rFonts w:ascii="Arial" w:hAnsi="Arial" w:cs="Arial"/>
          <w:bCs/>
          <w:iCs/>
          <w:sz w:val="22"/>
          <w:szCs w:val="22"/>
        </w:rPr>
        <w:t>Z konečného z</w:t>
      </w:r>
      <w:r w:rsidR="00FE6C35">
        <w:rPr>
          <w:rFonts w:ascii="Arial" w:hAnsi="Arial" w:cs="Arial"/>
          <w:bCs/>
          <w:iCs/>
          <w:sz w:val="22"/>
          <w:szCs w:val="22"/>
        </w:rPr>
        <w:t>ůstatk</w:t>
      </w:r>
      <w:r w:rsidR="001A052E">
        <w:rPr>
          <w:rFonts w:ascii="Arial" w:hAnsi="Arial" w:cs="Arial"/>
          <w:bCs/>
          <w:iCs/>
          <w:sz w:val="22"/>
          <w:szCs w:val="22"/>
        </w:rPr>
        <w:t>u</w:t>
      </w:r>
      <w:r w:rsidR="00CD4D30">
        <w:rPr>
          <w:rFonts w:ascii="Arial" w:hAnsi="Arial" w:cs="Arial"/>
          <w:bCs/>
          <w:iCs/>
          <w:sz w:val="22"/>
          <w:szCs w:val="22"/>
        </w:rPr>
        <w:t xml:space="preserve"> účtu 549 – </w:t>
      </w:r>
      <w:r w:rsidR="00FE6C35" w:rsidRPr="00FE6C35">
        <w:rPr>
          <w:rFonts w:ascii="Arial" w:hAnsi="Arial" w:cs="Arial"/>
          <w:bCs/>
          <w:i/>
          <w:iCs/>
          <w:sz w:val="22"/>
          <w:szCs w:val="22"/>
        </w:rPr>
        <w:t>Ostatní náklady z</w:t>
      </w:r>
      <w:r w:rsidR="001A052E">
        <w:rPr>
          <w:rFonts w:ascii="Arial" w:hAnsi="Arial" w:cs="Arial"/>
          <w:bCs/>
          <w:i/>
          <w:iCs/>
          <w:sz w:val="22"/>
          <w:szCs w:val="22"/>
        </w:rPr>
        <w:t> </w:t>
      </w:r>
      <w:r w:rsidR="00FE6C35" w:rsidRPr="00FE6C35">
        <w:rPr>
          <w:rFonts w:ascii="Arial" w:hAnsi="Arial" w:cs="Arial"/>
          <w:bCs/>
          <w:i/>
          <w:iCs/>
          <w:sz w:val="22"/>
          <w:szCs w:val="22"/>
        </w:rPr>
        <w:t>činnosti</w:t>
      </w:r>
      <w:r w:rsidR="001A052E" w:rsidRPr="001A052E">
        <w:rPr>
          <w:rFonts w:ascii="Arial" w:hAnsi="Arial" w:cs="Arial"/>
          <w:bCs/>
          <w:iCs/>
          <w:sz w:val="22"/>
          <w:szCs w:val="22"/>
        </w:rPr>
        <w:t>, který</w:t>
      </w:r>
      <w:r w:rsidR="00FE6C35" w:rsidRPr="00FE6C3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FE6C35">
        <w:rPr>
          <w:rFonts w:ascii="Arial" w:hAnsi="Arial" w:cs="Arial"/>
          <w:bCs/>
          <w:iCs/>
          <w:sz w:val="22"/>
          <w:szCs w:val="22"/>
        </w:rPr>
        <w:t>byl k 31. prosinci 2013</w:t>
      </w:r>
      <w:r w:rsidR="001A052E">
        <w:rPr>
          <w:rFonts w:ascii="Arial" w:hAnsi="Arial" w:cs="Arial"/>
          <w:bCs/>
          <w:iCs/>
          <w:sz w:val="22"/>
          <w:szCs w:val="22"/>
        </w:rPr>
        <w:t xml:space="preserve"> vykázán v celkové</w:t>
      </w:r>
      <w:r w:rsidR="00FE6C35">
        <w:rPr>
          <w:rFonts w:ascii="Arial" w:hAnsi="Arial" w:cs="Arial"/>
          <w:bCs/>
          <w:iCs/>
          <w:sz w:val="22"/>
          <w:szCs w:val="22"/>
        </w:rPr>
        <w:t xml:space="preserve"> výši 72 155 373,40 Kč</w:t>
      </w:r>
      <w:r w:rsidR="00E1518E">
        <w:rPr>
          <w:rFonts w:ascii="Arial" w:hAnsi="Arial" w:cs="Arial"/>
          <w:bCs/>
          <w:iCs/>
          <w:sz w:val="22"/>
          <w:szCs w:val="22"/>
        </w:rPr>
        <w:t>,</w:t>
      </w:r>
      <w:r w:rsidR="00B13536">
        <w:rPr>
          <w:rFonts w:ascii="Arial" w:hAnsi="Arial" w:cs="Arial"/>
          <w:bCs/>
          <w:iCs/>
          <w:sz w:val="22"/>
          <w:szCs w:val="22"/>
        </w:rPr>
        <w:t xml:space="preserve"> je to</w:t>
      </w:r>
      <w:r w:rsidR="009E5FB6">
        <w:rPr>
          <w:rFonts w:ascii="Arial" w:hAnsi="Arial" w:cs="Arial"/>
          <w:bCs/>
          <w:iCs/>
          <w:sz w:val="22"/>
          <w:szCs w:val="22"/>
        </w:rPr>
        <w:t xml:space="preserve"> </w:t>
      </w:r>
      <w:r w:rsidR="00FE6C35">
        <w:rPr>
          <w:rFonts w:ascii="Arial" w:hAnsi="Arial" w:cs="Arial"/>
          <w:bCs/>
          <w:iCs/>
          <w:sz w:val="22"/>
          <w:szCs w:val="22"/>
        </w:rPr>
        <w:t>42,69 %</w:t>
      </w:r>
      <w:r w:rsidR="00B13536">
        <w:rPr>
          <w:rFonts w:ascii="Arial" w:hAnsi="Arial" w:cs="Arial"/>
          <w:bCs/>
          <w:iCs/>
          <w:sz w:val="22"/>
          <w:szCs w:val="22"/>
        </w:rPr>
        <w:t xml:space="preserve"> nákladů, které nejsou MZe ovlivnitelné.</w:t>
      </w:r>
      <w:r w:rsidR="001A052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A052E" w:rsidRPr="001A052E">
        <w:rPr>
          <w:rFonts w:ascii="Arial" w:hAnsi="Arial" w:cs="Arial"/>
          <w:bCs/>
          <w:iCs/>
          <w:sz w:val="22"/>
          <w:szCs w:val="22"/>
        </w:rPr>
        <w:t>Z celkových posuzovaných nákladů vstupujících do ukazatele pro měření provozní nákladovosti je to</w:t>
      </w:r>
      <w:r w:rsidR="00FE6C35" w:rsidRPr="001A05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CD4D30">
        <w:rPr>
          <w:rFonts w:ascii="Arial" w:hAnsi="Arial" w:cs="Arial"/>
          <w:bCs/>
          <w:iCs/>
          <w:sz w:val="22"/>
          <w:szCs w:val="22"/>
        </w:rPr>
        <w:t>3,14 </w:t>
      </w:r>
      <w:r w:rsidRPr="001A052E">
        <w:rPr>
          <w:rFonts w:ascii="Arial" w:hAnsi="Arial" w:cs="Arial"/>
          <w:bCs/>
          <w:iCs/>
          <w:sz w:val="22"/>
          <w:szCs w:val="22"/>
        </w:rPr>
        <w:t>%</w:t>
      </w:r>
      <w:r w:rsidR="001A052E" w:rsidRPr="001A052E">
        <w:rPr>
          <w:rFonts w:ascii="Arial" w:hAnsi="Arial" w:cs="Arial"/>
          <w:bCs/>
          <w:iCs/>
          <w:sz w:val="22"/>
          <w:szCs w:val="22"/>
        </w:rPr>
        <w:t>.</w:t>
      </w:r>
    </w:p>
    <w:p w:rsidR="00EF6F19" w:rsidRDefault="00EF6F19" w:rsidP="007872A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4379DF" w:rsidRDefault="004379DF" w:rsidP="007872A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F6F19" w:rsidRPr="00EA3367" w:rsidRDefault="00EF6F19" w:rsidP="00EF6F19">
      <w:pPr>
        <w:jc w:val="center"/>
        <w:rPr>
          <w:rFonts w:ascii="Arial" w:hAnsi="Arial" w:cs="Arial"/>
          <w:b/>
        </w:rPr>
      </w:pPr>
      <w:r w:rsidRPr="00EA3367">
        <w:rPr>
          <w:rFonts w:ascii="Arial" w:hAnsi="Arial" w:cs="Arial"/>
          <w:b/>
        </w:rPr>
        <w:t>III. Shrnutí a vyhodnocení</w:t>
      </w:r>
    </w:p>
    <w:p w:rsidR="00EF6F19" w:rsidRDefault="00EF6F19" w:rsidP="0052371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770FF" w:rsidRDefault="002770FF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Cílem kontrolní akce č. 13/38</w:t>
      </w:r>
      <w:r w:rsidRPr="002770FF">
        <w:rPr>
          <w:rFonts w:ascii="Arial" w:hAnsi="Arial" w:cs="Arial"/>
          <w:bCs/>
          <w:iCs/>
          <w:sz w:val="22"/>
          <w:szCs w:val="22"/>
        </w:rPr>
        <w:t xml:space="preserve"> bylo p</w:t>
      </w:r>
      <w:r>
        <w:rPr>
          <w:rFonts w:ascii="Arial" w:hAnsi="Arial" w:cs="Arial"/>
          <w:bCs/>
          <w:iCs/>
          <w:sz w:val="22"/>
          <w:szCs w:val="22"/>
        </w:rPr>
        <w:t>rověřit, zda MZe</w:t>
      </w:r>
      <w:r w:rsidRPr="002770FF">
        <w:rPr>
          <w:rFonts w:ascii="Arial" w:hAnsi="Arial" w:cs="Arial"/>
          <w:bCs/>
          <w:iCs/>
          <w:sz w:val="22"/>
          <w:szCs w:val="22"/>
        </w:rPr>
        <w:t xml:space="preserve"> při sestavení závěrečného účtu, při vedení účetnictví a sestavení účetní závěrky a </w:t>
      </w:r>
      <w:r>
        <w:rPr>
          <w:rFonts w:ascii="Arial" w:hAnsi="Arial" w:cs="Arial"/>
          <w:bCs/>
          <w:iCs/>
          <w:sz w:val="22"/>
          <w:szCs w:val="22"/>
        </w:rPr>
        <w:t>finančních výkazů za rok 2013</w:t>
      </w:r>
      <w:r w:rsidRPr="002770FF">
        <w:rPr>
          <w:rFonts w:ascii="Arial" w:hAnsi="Arial" w:cs="Arial"/>
          <w:bCs/>
          <w:iCs/>
          <w:sz w:val="22"/>
          <w:szCs w:val="22"/>
        </w:rPr>
        <w:t xml:space="preserve"> postupovalo v souladu s příslušnými právními předpisy. </w:t>
      </w:r>
    </w:p>
    <w:p w:rsidR="0074103C" w:rsidRDefault="0074103C" w:rsidP="002770FF">
      <w:pPr>
        <w:jc w:val="both"/>
        <w:rPr>
          <w:rFonts w:ascii="Arial" w:hAnsi="Arial" w:cs="Arial"/>
          <w:sz w:val="22"/>
          <w:szCs w:val="22"/>
        </w:rPr>
      </w:pPr>
    </w:p>
    <w:p w:rsidR="002770FF" w:rsidRDefault="002770FF" w:rsidP="002770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MZe</w:t>
      </w:r>
      <w:r w:rsidRPr="0070629B">
        <w:rPr>
          <w:rFonts w:ascii="Arial" w:hAnsi="Arial" w:cs="Arial"/>
          <w:sz w:val="22"/>
          <w:szCs w:val="22"/>
        </w:rPr>
        <w:t xml:space="preserve"> je organizační složkou státu</w:t>
      </w:r>
      <w:r w:rsidR="000D40D3">
        <w:rPr>
          <w:rFonts w:ascii="Arial" w:hAnsi="Arial" w:cs="Arial"/>
          <w:sz w:val="22"/>
          <w:szCs w:val="22"/>
        </w:rPr>
        <w:t>, která je</w:t>
      </w:r>
      <w:r w:rsidRPr="007062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</w:t>
      </w:r>
      <w:r w:rsidRPr="0070629B">
        <w:rPr>
          <w:rFonts w:ascii="Arial" w:hAnsi="Arial" w:cs="Arial"/>
          <w:sz w:val="22"/>
          <w:szCs w:val="22"/>
        </w:rPr>
        <w:t xml:space="preserve">souladu se zákonem o účetnictví </w:t>
      </w:r>
      <w:r w:rsidR="00120E9A">
        <w:rPr>
          <w:rFonts w:ascii="Arial" w:hAnsi="Arial" w:cs="Arial"/>
          <w:sz w:val="22"/>
          <w:szCs w:val="22"/>
        </w:rPr>
        <w:t xml:space="preserve">povinna </w:t>
      </w:r>
      <w:r w:rsidRPr="0070629B">
        <w:rPr>
          <w:rFonts w:ascii="Arial" w:hAnsi="Arial" w:cs="Arial"/>
          <w:sz w:val="22"/>
          <w:szCs w:val="22"/>
        </w:rPr>
        <w:t xml:space="preserve">účtovat o stavu a pohybu majetku a jiných aktiv, závazků a jiných pasiv, </w:t>
      </w:r>
      <w:r w:rsidR="00CD4D30">
        <w:rPr>
          <w:rFonts w:ascii="Arial" w:hAnsi="Arial" w:cs="Arial"/>
          <w:sz w:val="22"/>
          <w:szCs w:val="22"/>
        </w:rPr>
        <w:t>o nákladech a </w:t>
      </w:r>
      <w:r w:rsidRPr="0070629B">
        <w:rPr>
          <w:rFonts w:ascii="Arial" w:hAnsi="Arial" w:cs="Arial"/>
          <w:sz w:val="22"/>
          <w:szCs w:val="22"/>
        </w:rPr>
        <w:t xml:space="preserve">výnosech a o výsledku hospodaření. Informace, které </w:t>
      </w:r>
      <w:r w:rsidR="00106056">
        <w:rPr>
          <w:rFonts w:ascii="Arial" w:hAnsi="Arial" w:cs="Arial"/>
          <w:sz w:val="22"/>
          <w:szCs w:val="22"/>
        </w:rPr>
        <w:t xml:space="preserve">se </w:t>
      </w:r>
      <w:r w:rsidRPr="0070629B">
        <w:rPr>
          <w:rFonts w:ascii="Arial" w:hAnsi="Arial" w:cs="Arial"/>
          <w:sz w:val="22"/>
          <w:szCs w:val="22"/>
        </w:rPr>
        <w:t xml:space="preserve">předkládají v účetní závěrce, musí být spolehlivé, srovnatelné, srozumitelné a posuzují se </w:t>
      </w:r>
      <w:r>
        <w:rPr>
          <w:rFonts w:ascii="Arial" w:hAnsi="Arial" w:cs="Arial"/>
          <w:sz w:val="22"/>
          <w:szCs w:val="22"/>
        </w:rPr>
        <w:t>z </w:t>
      </w:r>
      <w:r w:rsidRPr="0070629B">
        <w:rPr>
          <w:rFonts w:ascii="Arial" w:hAnsi="Arial" w:cs="Arial"/>
          <w:sz w:val="22"/>
          <w:szCs w:val="22"/>
        </w:rPr>
        <w:t>hlediska</w:t>
      </w:r>
      <w:r w:rsidRPr="00862FC9">
        <w:rPr>
          <w:rFonts w:ascii="Arial" w:hAnsi="Arial" w:cs="Arial"/>
          <w:sz w:val="22"/>
          <w:szCs w:val="22"/>
        </w:rPr>
        <w:t xml:space="preserve"> </w:t>
      </w:r>
      <w:r w:rsidRPr="0070629B">
        <w:rPr>
          <w:rFonts w:ascii="Arial" w:hAnsi="Arial" w:cs="Arial"/>
          <w:sz w:val="22"/>
          <w:szCs w:val="22"/>
        </w:rPr>
        <w:t>významnosti.</w:t>
      </w:r>
    </w:p>
    <w:p w:rsidR="00B03390" w:rsidRDefault="00B03390" w:rsidP="002770FF">
      <w:pPr>
        <w:jc w:val="both"/>
        <w:rPr>
          <w:rFonts w:ascii="Arial" w:hAnsi="Arial" w:cs="Arial"/>
          <w:sz w:val="22"/>
          <w:szCs w:val="22"/>
        </w:rPr>
      </w:pPr>
    </w:p>
    <w:p w:rsidR="00154B39" w:rsidRPr="00154B39" w:rsidRDefault="00154B39" w:rsidP="002770F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54B39">
        <w:rPr>
          <w:rFonts w:ascii="Arial" w:hAnsi="Arial" w:cs="Arial"/>
          <w:b/>
          <w:sz w:val="22"/>
          <w:szCs w:val="22"/>
        </w:rPr>
        <w:lastRenderedPageBreak/>
        <w:t>Účetní závěrka</w:t>
      </w:r>
    </w:p>
    <w:p w:rsidR="002770FF" w:rsidRDefault="002770FF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A7736B" w:rsidRDefault="00120E9A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E01DB">
        <w:rPr>
          <w:rFonts w:ascii="Arial" w:hAnsi="Arial" w:cs="Arial"/>
          <w:sz w:val="22"/>
          <w:szCs w:val="22"/>
        </w:rPr>
        <w:t xml:space="preserve">V účetní závěrce MZe k 31. prosinci 2013 byla kontrolou NKÚ zjištěna v údajích za běžné účetní období </w:t>
      </w:r>
      <w:r w:rsidR="00874A3C" w:rsidRPr="008E01DB">
        <w:rPr>
          <w:rFonts w:ascii="Arial" w:hAnsi="Arial" w:cs="Arial"/>
          <w:sz w:val="22"/>
          <w:szCs w:val="22"/>
        </w:rPr>
        <w:t xml:space="preserve">celková nesprávnost </w:t>
      </w:r>
      <w:r w:rsidRPr="008E01DB">
        <w:rPr>
          <w:rFonts w:ascii="Arial" w:hAnsi="Arial" w:cs="Arial"/>
          <w:sz w:val="22"/>
          <w:szCs w:val="22"/>
        </w:rPr>
        <w:t xml:space="preserve">ve výši 14 322 390,71 Kč. </w:t>
      </w:r>
      <w:r w:rsidR="00DB0C42">
        <w:rPr>
          <w:rFonts w:ascii="Arial" w:hAnsi="Arial" w:cs="Arial"/>
          <w:sz w:val="22"/>
          <w:szCs w:val="22"/>
        </w:rPr>
        <w:t xml:space="preserve">Nejvýznamnější nesprávnosti byly zjištěny ve výkazu </w:t>
      </w:r>
      <w:r w:rsidR="0036754B">
        <w:rPr>
          <w:rFonts w:ascii="Arial" w:hAnsi="Arial" w:cs="Arial"/>
          <w:sz w:val="22"/>
          <w:szCs w:val="22"/>
        </w:rPr>
        <w:t>r</w:t>
      </w:r>
      <w:r w:rsidR="00DB0C42">
        <w:rPr>
          <w:rFonts w:ascii="Arial" w:hAnsi="Arial" w:cs="Arial"/>
          <w:sz w:val="22"/>
          <w:szCs w:val="22"/>
        </w:rPr>
        <w:t>ozvaha</w:t>
      </w:r>
      <w:r w:rsidR="007D0935">
        <w:rPr>
          <w:rFonts w:ascii="Arial" w:hAnsi="Arial" w:cs="Arial"/>
          <w:sz w:val="22"/>
          <w:szCs w:val="22"/>
        </w:rPr>
        <w:t xml:space="preserve"> a v přehledu o peněžních tocích</w:t>
      </w:r>
      <w:r w:rsidR="00A6728C">
        <w:rPr>
          <w:rFonts w:ascii="Arial" w:hAnsi="Arial" w:cs="Arial"/>
          <w:sz w:val="22"/>
          <w:szCs w:val="22"/>
        </w:rPr>
        <w:t>.</w:t>
      </w:r>
      <w:r w:rsidR="00DB0C42">
        <w:rPr>
          <w:rFonts w:ascii="Arial" w:hAnsi="Arial" w:cs="Arial"/>
          <w:sz w:val="22"/>
          <w:szCs w:val="22"/>
        </w:rPr>
        <w:t xml:space="preserve"> </w:t>
      </w:r>
      <w:bookmarkStart w:id="4" w:name="_Ref321672835"/>
      <w:bookmarkStart w:id="5" w:name="_Ref322010426"/>
      <w:bookmarkStart w:id="6" w:name="_Ref353868669"/>
      <w:bookmarkStart w:id="7" w:name="_Toc380159718"/>
    </w:p>
    <w:p w:rsidR="00A7736B" w:rsidRDefault="00A7736B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845251" w:rsidRPr="008E01DB" w:rsidRDefault="002770FF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E01DB">
        <w:rPr>
          <w:rFonts w:ascii="Arial" w:hAnsi="Arial" w:cs="Arial"/>
          <w:bCs/>
          <w:iCs/>
          <w:sz w:val="22"/>
          <w:szCs w:val="22"/>
        </w:rPr>
        <w:t xml:space="preserve">Spolehlivost účetní závěrky </w:t>
      </w:r>
      <w:bookmarkEnd w:id="4"/>
      <w:bookmarkEnd w:id="5"/>
      <w:bookmarkEnd w:id="6"/>
      <w:bookmarkEnd w:id="7"/>
      <w:r w:rsidR="00CB49D1" w:rsidRPr="008E01DB">
        <w:rPr>
          <w:rFonts w:ascii="Arial" w:hAnsi="Arial" w:cs="Arial"/>
          <w:bCs/>
          <w:iCs/>
          <w:sz w:val="22"/>
          <w:szCs w:val="22"/>
        </w:rPr>
        <w:t xml:space="preserve">jako celku je nutné posuzovat z hlediska významnosti. </w:t>
      </w:r>
      <w:r w:rsidR="00845251" w:rsidRPr="008E01DB">
        <w:rPr>
          <w:rFonts w:ascii="Arial" w:hAnsi="Arial" w:cs="Arial"/>
          <w:bCs/>
          <w:iCs/>
          <w:sz w:val="22"/>
          <w:szCs w:val="22"/>
        </w:rPr>
        <w:t>Pro posouzení spolehlivosti účetní závěrky byla stanovena významnost (materialita)</w:t>
      </w:r>
      <w:r w:rsidR="00845251" w:rsidRPr="008E01DB">
        <w:rPr>
          <w:rFonts w:ascii="Arial" w:hAnsi="Arial" w:cs="Arial"/>
          <w:bCs/>
          <w:iCs/>
          <w:sz w:val="22"/>
          <w:szCs w:val="22"/>
          <w:vertAlign w:val="superscript"/>
        </w:rPr>
        <w:footnoteReference w:id="28"/>
      </w:r>
      <w:r w:rsidR="00845251" w:rsidRPr="008E01DB">
        <w:rPr>
          <w:rFonts w:ascii="Arial" w:hAnsi="Arial" w:cs="Arial"/>
          <w:bCs/>
          <w:iCs/>
          <w:sz w:val="22"/>
          <w:szCs w:val="22"/>
        </w:rPr>
        <w:t>, tj. hodnota nesprávností, u kterých je možné přiměřeně očekávat, že jednotlivě nebo v součtu ovlivní ekonomická rozhodnutí uživatelů účetní závěrky, ve výši 1 mld. Kč.</w:t>
      </w:r>
    </w:p>
    <w:p w:rsidR="00845251" w:rsidRPr="008E01DB" w:rsidRDefault="00845251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0030B" w:rsidRPr="00804CDF" w:rsidRDefault="00B22E03" w:rsidP="00D0030B">
      <w:pPr>
        <w:jc w:val="both"/>
        <w:rPr>
          <w:rFonts w:ascii="Arial" w:hAnsi="Arial" w:cs="Arial"/>
          <w:sz w:val="22"/>
        </w:rPr>
      </w:pPr>
      <w:r w:rsidRPr="008E01DB">
        <w:rPr>
          <w:rFonts w:ascii="Arial" w:hAnsi="Arial" w:cs="Arial"/>
          <w:sz w:val="22"/>
          <w:szCs w:val="22"/>
        </w:rPr>
        <w:t>Možnost vyjádřit se ke spolehlivosti údajů účetní závěrky</w:t>
      </w:r>
      <w:r w:rsidR="00D0030B">
        <w:rPr>
          <w:rFonts w:ascii="Arial" w:hAnsi="Arial" w:cs="Arial"/>
          <w:sz w:val="22"/>
          <w:szCs w:val="22"/>
        </w:rPr>
        <w:t xml:space="preserve"> jako celku s ohledem na jejich významnost</w:t>
      </w:r>
      <w:r w:rsidRPr="008E01DB">
        <w:rPr>
          <w:rFonts w:ascii="Arial" w:hAnsi="Arial" w:cs="Arial"/>
          <w:sz w:val="22"/>
          <w:szCs w:val="22"/>
        </w:rPr>
        <w:t xml:space="preserve"> však byla limitována stavem právních předpisů účinných pro oblast účetnictví v roce 2013 a možností vyhodnotit správnost jejich aplikace MZe</w:t>
      </w:r>
      <w:r w:rsidR="00DC0AAD">
        <w:rPr>
          <w:rStyle w:val="Znakapoznpodarou"/>
          <w:rFonts w:ascii="Arial" w:hAnsi="Arial" w:cs="Arial"/>
          <w:sz w:val="22"/>
          <w:szCs w:val="22"/>
        </w:rPr>
        <w:footnoteReference w:id="29"/>
      </w:r>
      <w:r w:rsidRPr="008E01DB">
        <w:rPr>
          <w:rFonts w:ascii="Arial" w:hAnsi="Arial" w:cs="Arial"/>
          <w:sz w:val="22"/>
          <w:szCs w:val="22"/>
        </w:rPr>
        <w:t xml:space="preserve">. </w:t>
      </w:r>
      <w:r w:rsidR="00DB0C42" w:rsidRPr="00804CDF">
        <w:rPr>
          <w:rFonts w:ascii="Arial" w:hAnsi="Arial" w:cs="Arial"/>
          <w:sz w:val="22"/>
          <w:szCs w:val="22"/>
        </w:rPr>
        <w:t>U</w:t>
      </w:r>
      <w:r w:rsidR="00D0030B" w:rsidRPr="00804CDF">
        <w:rPr>
          <w:rFonts w:ascii="Arial" w:hAnsi="Arial" w:cs="Arial"/>
          <w:sz w:val="22"/>
          <w:szCs w:val="22"/>
        </w:rPr>
        <w:t>stanovení platných právních předpisů</w:t>
      </w:r>
      <w:r w:rsidR="00A3777B" w:rsidRPr="00804CDF">
        <w:rPr>
          <w:rFonts w:ascii="Arial" w:hAnsi="Arial" w:cs="Arial"/>
          <w:sz w:val="22"/>
          <w:szCs w:val="22"/>
        </w:rPr>
        <w:t xml:space="preserve"> a ČÚS</w:t>
      </w:r>
      <w:r w:rsidR="00DB0C42" w:rsidRPr="00804CDF">
        <w:rPr>
          <w:rFonts w:ascii="Arial" w:hAnsi="Arial" w:cs="Arial"/>
          <w:sz w:val="22"/>
          <w:szCs w:val="22"/>
        </w:rPr>
        <w:t xml:space="preserve"> </w:t>
      </w:r>
      <w:r w:rsidR="00D0030B" w:rsidRPr="00804CDF">
        <w:rPr>
          <w:rFonts w:ascii="Arial" w:hAnsi="Arial" w:cs="Arial"/>
          <w:sz w:val="22"/>
          <w:szCs w:val="22"/>
        </w:rPr>
        <w:t>v oblasti účtování a vykazování transferů spolufinancovaných ze zahraničí,</w:t>
      </w:r>
      <w:r w:rsidR="00A3777B" w:rsidRPr="00804CDF">
        <w:rPr>
          <w:rFonts w:ascii="Arial" w:hAnsi="Arial" w:cs="Arial"/>
          <w:sz w:val="22"/>
          <w:szCs w:val="22"/>
        </w:rPr>
        <w:t xml:space="preserve"> které mají být následně kryty prostředky z rozpočtu Evropské unie, </w:t>
      </w:r>
      <w:r w:rsidR="00D0030B" w:rsidRPr="00804CDF">
        <w:rPr>
          <w:rFonts w:ascii="Arial" w:hAnsi="Arial" w:cs="Arial"/>
          <w:sz w:val="22"/>
        </w:rPr>
        <w:t>dlouhodobého finančního majetku a</w:t>
      </w:r>
      <w:r w:rsidR="00DB0C42" w:rsidRPr="00804CDF">
        <w:rPr>
          <w:rFonts w:ascii="Arial" w:hAnsi="Arial" w:cs="Arial"/>
          <w:sz w:val="22"/>
        </w:rPr>
        <w:t xml:space="preserve"> pro</w:t>
      </w:r>
      <w:r w:rsidR="00D0030B" w:rsidRPr="00804CDF">
        <w:rPr>
          <w:rFonts w:ascii="Arial" w:hAnsi="Arial" w:cs="Arial"/>
          <w:sz w:val="22"/>
        </w:rPr>
        <w:t xml:space="preserve"> naplňování některých částí </w:t>
      </w:r>
      <w:r w:rsidR="00A3777B" w:rsidRPr="00804CDF">
        <w:rPr>
          <w:rFonts w:ascii="Arial" w:hAnsi="Arial" w:cs="Arial"/>
          <w:sz w:val="22"/>
        </w:rPr>
        <w:t>p</w:t>
      </w:r>
      <w:r w:rsidR="00D0030B" w:rsidRPr="00804CDF">
        <w:rPr>
          <w:rFonts w:ascii="Arial" w:hAnsi="Arial" w:cs="Arial"/>
          <w:sz w:val="22"/>
        </w:rPr>
        <w:t>řehledu o změnách vlastního kapitálu, byla i v roce 2013</w:t>
      </w:r>
      <w:r w:rsidR="003F4928" w:rsidRPr="00804CDF">
        <w:rPr>
          <w:rStyle w:val="Znakapoznpodarou"/>
          <w:rFonts w:ascii="Arial" w:hAnsi="Arial" w:cs="Arial"/>
          <w:sz w:val="22"/>
        </w:rPr>
        <w:footnoteReference w:id="30"/>
      </w:r>
      <w:r w:rsidR="00D0030B" w:rsidRPr="00804CDF">
        <w:rPr>
          <w:rFonts w:ascii="Arial" w:hAnsi="Arial" w:cs="Arial"/>
          <w:sz w:val="22"/>
        </w:rPr>
        <w:t xml:space="preserve"> u organizačních složek státu </w:t>
      </w:r>
      <w:r w:rsidR="00A3777B" w:rsidRPr="00804CDF">
        <w:rPr>
          <w:rFonts w:ascii="Arial" w:hAnsi="Arial" w:cs="Arial"/>
          <w:sz w:val="22"/>
        </w:rPr>
        <w:t xml:space="preserve">nejednoznačná a </w:t>
      </w:r>
      <w:r w:rsidR="00D0030B" w:rsidRPr="00804CDF">
        <w:rPr>
          <w:rFonts w:ascii="Arial" w:hAnsi="Arial" w:cs="Arial"/>
          <w:sz w:val="22"/>
        </w:rPr>
        <w:t>nejasně aplikovatelná</w:t>
      </w:r>
      <w:r w:rsidR="00901EC4" w:rsidRPr="00804CDF">
        <w:rPr>
          <w:rStyle w:val="Znakapoznpodarou"/>
          <w:rFonts w:ascii="Arial" w:hAnsi="Arial" w:cs="Arial"/>
          <w:sz w:val="22"/>
        </w:rPr>
        <w:footnoteReference w:id="31"/>
      </w:r>
      <w:r w:rsidR="00D0030B" w:rsidRPr="00804CDF">
        <w:rPr>
          <w:rFonts w:ascii="Arial" w:hAnsi="Arial" w:cs="Arial"/>
          <w:sz w:val="22"/>
        </w:rPr>
        <w:t>.</w:t>
      </w:r>
    </w:p>
    <w:p w:rsidR="00D0030B" w:rsidRPr="00804CDF" w:rsidRDefault="00D0030B" w:rsidP="00D0030B">
      <w:pPr>
        <w:jc w:val="both"/>
        <w:rPr>
          <w:rFonts w:ascii="Arial" w:hAnsi="Arial" w:cs="Arial"/>
          <w:sz w:val="22"/>
        </w:rPr>
      </w:pPr>
    </w:p>
    <w:p w:rsidR="00901EC4" w:rsidRPr="00804CDF" w:rsidRDefault="003C3DCC" w:rsidP="00D003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Uvedené oblasti byly v </w:t>
      </w:r>
      <w:r w:rsidR="00901EC4" w:rsidRPr="00804CDF">
        <w:rPr>
          <w:rFonts w:ascii="Arial" w:hAnsi="Arial" w:cs="Arial"/>
          <w:sz w:val="22"/>
        </w:rPr>
        <w:t xml:space="preserve">průběhu kontroly </w:t>
      </w:r>
      <w:r>
        <w:rPr>
          <w:rFonts w:ascii="Arial" w:hAnsi="Arial" w:cs="Arial"/>
          <w:sz w:val="22"/>
        </w:rPr>
        <w:t>identifikovány</w:t>
      </w:r>
      <w:r w:rsidR="00901EC4" w:rsidRPr="00804CDF">
        <w:rPr>
          <w:rFonts w:ascii="Arial" w:hAnsi="Arial" w:cs="Arial"/>
          <w:sz w:val="22"/>
        </w:rPr>
        <w:t xml:space="preserve"> a vyčísleny u MZe v celkové výši více </w:t>
      </w:r>
      <w:r w:rsidR="00B24C46">
        <w:rPr>
          <w:rFonts w:ascii="Arial" w:hAnsi="Arial" w:cs="Arial"/>
          <w:sz w:val="22"/>
        </w:rPr>
        <w:t>než</w:t>
      </w:r>
      <w:r w:rsidR="00901EC4" w:rsidRPr="00804CDF">
        <w:rPr>
          <w:rFonts w:ascii="Arial" w:hAnsi="Arial" w:cs="Arial"/>
          <w:sz w:val="22"/>
        </w:rPr>
        <w:t xml:space="preserve"> 6</w:t>
      </w:r>
      <w:r w:rsidR="00CA44F0" w:rsidRPr="00804CDF">
        <w:rPr>
          <w:rFonts w:ascii="Arial" w:hAnsi="Arial" w:cs="Arial"/>
          <w:sz w:val="22"/>
        </w:rPr>
        <w:t>4</w:t>
      </w:r>
      <w:r w:rsidR="00901EC4" w:rsidRPr="00804CDF">
        <w:rPr>
          <w:rFonts w:ascii="Arial" w:hAnsi="Arial" w:cs="Arial"/>
          <w:sz w:val="22"/>
        </w:rPr>
        <w:t xml:space="preserve"> mld. Kč, což je částk</w:t>
      </w:r>
      <w:r w:rsidR="00CA44F0" w:rsidRPr="00804CDF">
        <w:rPr>
          <w:rFonts w:ascii="Arial" w:hAnsi="Arial" w:cs="Arial"/>
          <w:sz w:val="22"/>
        </w:rPr>
        <w:t xml:space="preserve">a, která představuje více </w:t>
      </w:r>
      <w:r w:rsidR="00B24C46">
        <w:rPr>
          <w:rFonts w:ascii="Arial" w:hAnsi="Arial" w:cs="Arial"/>
          <w:sz w:val="22"/>
        </w:rPr>
        <w:t>než</w:t>
      </w:r>
      <w:r w:rsidR="00CA44F0" w:rsidRPr="00804CDF">
        <w:rPr>
          <w:rFonts w:ascii="Arial" w:hAnsi="Arial" w:cs="Arial"/>
          <w:sz w:val="22"/>
        </w:rPr>
        <w:t xml:space="preserve"> 64</w:t>
      </w:r>
      <w:r w:rsidR="00901EC4" w:rsidRPr="00804CDF">
        <w:rPr>
          <w:rFonts w:ascii="Arial" w:hAnsi="Arial" w:cs="Arial"/>
          <w:sz w:val="22"/>
        </w:rPr>
        <w:t>násobek stanovené hladiny významnosti.</w:t>
      </w:r>
    </w:p>
    <w:p w:rsidR="00D0030B" w:rsidRPr="00804CDF" w:rsidRDefault="00D0030B" w:rsidP="002E4395">
      <w:pPr>
        <w:jc w:val="both"/>
        <w:rPr>
          <w:rFonts w:ascii="Arial" w:hAnsi="Arial" w:cs="Arial"/>
          <w:sz w:val="22"/>
          <w:szCs w:val="22"/>
        </w:rPr>
      </w:pPr>
    </w:p>
    <w:p w:rsidR="00A44BD8" w:rsidRPr="00804CDF" w:rsidRDefault="00A44BD8" w:rsidP="00A44BD8">
      <w:pPr>
        <w:jc w:val="both"/>
        <w:rPr>
          <w:rFonts w:ascii="Arial" w:hAnsi="Arial" w:cs="Arial"/>
          <w:b/>
          <w:sz w:val="22"/>
          <w:szCs w:val="22"/>
        </w:rPr>
      </w:pPr>
      <w:r w:rsidRPr="00804CDF">
        <w:rPr>
          <w:rFonts w:ascii="Arial" w:hAnsi="Arial" w:cs="Arial"/>
          <w:b/>
          <w:sz w:val="22"/>
          <w:szCs w:val="22"/>
        </w:rPr>
        <w:t>Možnost vyjádřit se ke spolehlivosti údajů účetní závěrky</w:t>
      </w:r>
      <w:r w:rsidR="00901EC4" w:rsidRPr="00804CDF">
        <w:rPr>
          <w:rFonts w:ascii="Arial" w:hAnsi="Arial" w:cs="Arial"/>
          <w:b/>
          <w:sz w:val="22"/>
          <w:szCs w:val="22"/>
        </w:rPr>
        <w:t xml:space="preserve"> </w:t>
      </w:r>
      <w:r w:rsidRPr="00804CDF">
        <w:rPr>
          <w:rFonts w:ascii="Arial" w:hAnsi="Arial" w:cs="Arial"/>
          <w:b/>
          <w:sz w:val="22"/>
          <w:szCs w:val="22"/>
        </w:rPr>
        <w:t>byla</w:t>
      </w:r>
      <w:r w:rsidR="009069A8">
        <w:rPr>
          <w:rFonts w:ascii="Arial" w:hAnsi="Arial" w:cs="Arial"/>
          <w:b/>
          <w:sz w:val="22"/>
          <w:szCs w:val="22"/>
        </w:rPr>
        <w:t xml:space="preserve"> tak</w:t>
      </w:r>
      <w:r w:rsidRPr="00804CDF">
        <w:rPr>
          <w:rFonts w:ascii="Arial" w:hAnsi="Arial" w:cs="Arial"/>
          <w:b/>
          <w:sz w:val="22"/>
          <w:szCs w:val="22"/>
        </w:rPr>
        <w:t xml:space="preserve"> ve významném rozsahu</w:t>
      </w:r>
      <w:r w:rsidR="008C65BF">
        <w:rPr>
          <w:rFonts w:ascii="Arial" w:hAnsi="Arial" w:cs="Arial"/>
          <w:b/>
          <w:sz w:val="22"/>
          <w:szCs w:val="22"/>
        </w:rPr>
        <w:t xml:space="preserve"> </w:t>
      </w:r>
      <w:r w:rsidRPr="00804CDF">
        <w:rPr>
          <w:rFonts w:ascii="Arial" w:hAnsi="Arial" w:cs="Arial"/>
          <w:b/>
          <w:sz w:val="22"/>
          <w:szCs w:val="22"/>
        </w:rPr>
        <w:t>omezena</w:t>
      </w:r>
      <w:r w:rsidR="00901EC4" w:rsidRPr="00804CDF">
        <w:rPr>
          <w:rFonts w:ascii="Arial" w:hAnsi="Arial" w:cs="Arial"/>
          <w:b/>
          <w:sz w:val="22"/>
          <w:szCs w:val="22"/>
        </w:rPr>
        <w:t>.</w:t>
      </w:r>
      <w:r w:rsidRPr="00804CDF">
        <w:rPr>
          <w:rFonts w:ascii="Arial" w:hAnsi="Arial" w:cs="Arial"/>
          <w:b/>
          <w:sz w:val="22"/>
          <w:szCs w:val="22"/>
        </w:rPr>
        <w:t xml:space="preserve"> </w:t>
      </w:r>
      <w:r w:rsidR="00901EC4" w:rsidRPr="00804CDF">
        <w:rPr>
          <w:rFonts w:ascii="Arial" w:hAnsi="Arial" w:cs="Arial"/>
          <w:b/>
          <w:sz w:val="22"/>
          <w:szCs w:val="22"/>
        </w:rPr>
        <w:t>NKÚ se proto ke spolehlivosti úč</w:t>
      </w:r>
      <w:r w:rsidR="00CD4D30">
        <w:rPr>
          <w:rFonts w:ascii="Arial" w:hAnsi="Arial" w:cs="Arial"/>
          <w:b/>
          <w:sz w:val="22"/>
          <w:szCs w:val="22"/>
        </w:rPr>
        <w:t>etní závěrky MZe k 31. prosinci </w:t>
      </w:r>
      <w:r w:rsidR="00901EC4" w:rsidRPr="00804CDF">
        <w:rPr>
          <w:rFonts w:ascii="Arial" w:hAnsi="Arial" w:cs="Arial"/>
          <w:b/>
          <w:sz w:val="22"/>
          <w:szCs w:val="22"/>
        </w:rPr>
        <w:t>2013 nevyjadřuje.</w:t>
      </w:r>
    </w:p>
    <w:p w:rsidR="00B12079" w:rsidRPr="00804CDF" w:rsidRDefault="00B12079" w:rsidP="00A44BD8">
      <w:pPr>
        <w:jc w:val="both"/>
        <w:rPr>
          <w:rFonts w:ascii="Arial" w:hAnsi="Arial" w:cs="Arial"/>
          <w:b/>
          <w:sz w:val="22"/>
        </w:rPr>
      </w:pPr>
    </w:p>
    <w:p w:rsidR="00747C12" w:rsidRDefault="00A44BD8" w:rsidP="002770FF">
      <w:pPr>
        <w:jc w:val="both"/>
        <w:rPr>
          <w:rFonts w:ascii="Arial" w:hAnsi="Arial" w:cs="Arial"/>
          <w:b/>
          <w:sz w:val="22"/>
        </w:rPr>
      </w:pPr>
      <w:r w:rsidRPr="00804CDF">
        <w:rPr>
          <w:rFonts w:ascii="Arial" w:hAnsi="Arial" w:cs="Arial"/>
          <w:b/>
          <w:sz w:val="22"/>
        </w:rPr>
        <w:t>Nejednoznačnosti a nejasnosti předpisů pro účetnictví není možné dávat k tíži účetní jednotce.</w:t>
      </w:r>
      <w:r w:rsidR="005D2186" w:rsidRPr="00804CDF">
        <w:rPr>
          <w:rFonts w:ascii="Arial" w:hAnsi="Arial" w:cs="Arial"/>
          <w:b/>
          <w:sz w:val="22"/>
        </w:rPr>
        <w:t xml:space="preserve"> Proto je</w:t>
      </w:r>
      <w:r w:rsidR="00DB0C42" w:rsidRPr="00804CDF">
        <w:rPr>
          <w:rFonts w:ascii="Arial" w:hAnsi="Arial" w:cs="Arial"/>
          <w:b/>
          <w:sz w:val="22"/>
        </w:rPr>
        <w:t xml:space="preserve"> současně vhodné </w:t>
      </w:r>
      <w:r w:rsidR="00CA44F0" w:rsidRPr="00804CDF">
        <w:rPr>
          <w:rFonts w:ascii="Arial" w:hAnsi="Arial" w:cs="Arial"/>
          <w:b/>
          <w:sz w:val="22"/>
        </w:rPr>
        <w:t>uvést</w:t>
      </w:r>
      <w:r w:rsidR="00DB0C42" w:rsidRPr="00804CDF">
        <w:rPr>
          <w:rFonts w:ascii="Arial" w:hAnsi="Arial" w:cs="Arial"/>
          <w:b/>
          <w:sz w:val="22"/>
        </w:rPr>
        <w:t>,</w:t>
      </w:r>
      <w:r w:rsidR="005D2186" w:rsidRPr="00804CDF">
        <w:rPr>
          <w:rFonts w:ascii="Arial" w:hAnsi="Arial" w:cs="Arial"/>
          <w:b/>
          <w:sz w:val="22"/>
        </w:rPr>
        <w:t xml:space="preserve"> že</w:t>
      </w:r>
      <w:r w:rsidR="00437166">
        <w:rPr>
          <w:rFonts w:ascii="Arial" w:hAnsi="Arial" w:cs="Arial"/>
          <w:b/>
          <w:sz w:val="22"/>
        </w:rPr>
        <w:t xml:space="preserve"> nesprávnosti v účetní závěrce MZe k 31.</w:t>
      </w:r>
      <w:r w:rsidR="00CD7E0C">
        <w:rPr>
          <w:rFonts w:ascii="Arial" w:hAnsi="Arial" w:cs="Arial"/>
          <w:b/>
          <w:sz w:val="22"/>
        </w:rPr>
        <w:t> </w:t>
      </w:r>
      <w:r w:rsidR="00437166">
        <w:rPr>
          <w:rFonts w:ascii="Arial" w:hAnsi="Arial" w:cs="Arial"/>
          <w:b/>
          <w:sz w:val="22"/>
        </w:rPr>
        <w:t>prosinci 2013</w:t>
      </w:r>
      <w:r w:rsidR="007D0935">
        <w:rPr>
          <w:rFonts w:ascii="Arial" w:hAnsi="Arial" w:cs="Arial"/>
          <w:b/>
          <w:sz w:val="22"/>
        </w:rPr>
        <w:t>, zjištěné v </w:t>
      </w:r>
      <w:r w:rsidR="00437166">
        <w:rPr>
          <w:rFonts w:ascii="Arial" w:hAnsi="Arial" w:cs="Arial"/>
          <w:b/>
          <w:sz w:val="22"/>
        </w:rPr>
        <w:t>oblastech</w:t>
      </w:r>
      <w:r w:rsidR="007D0935">
        <w:rPr>
          <w:rFonts w:ascii="Arial" w:hAnsi="Arial" w:cs="Arial"/>
          <w:b/>
          <w:sz w:val="22"/>
        </w:rPr>
        <w:t xml:space="preserve"> nezatížených nejednoznačností a nejasností právních předpisů</w:t>
      </w:r>
      <w:r w:rsidR="003C3DCC">
        <w:rPr>
          <w:rFonts w:ascii="Arial" w:hAnsi="Arial" w:cs="Arial"/>
          <w:b/>
          <w:sz w:val="22"/>
        </w:rPr>
        <w:t xml:space="preserve"> </w:t>
      </w:r>
      <w:r w:rsidR="008C1A5C">
        <w:rPr>
          <w:rFonts w:ascii="Arial" w:hAnsi="Arial" w:cs="Arial"/>
          <w:b/>
          <w:sz w:val="22"/>
        </w:rPr>
        <w:t>v celkové</w:t>
      </w:r>
      <w:r w:rsidR="003C3DCC">
        <w:rPr>
          <w:rFonts w:ascii="Arial" w:hAnsi="Arial" w:cs="Arial"/>
          <w:b/>
          <w:sz w:val="22"/>
        </w:rPr>
        <w:t xml:space="preserve"> výši 14 mil. Kč</w:t>
      </w:r>
      <w:r w:rsidR="007D0935">
        <w:rPr>
          <w:rFonts w:ascii="Arial" w:hAnsi="Arial" w:cs="Arial"/>
          <w:b/>
          <w:sz w:val="22"/>
        </w:rPr>
        <w:t>,</w:t>
      </w:r>
      <w:r w:rsidR="00437166">
        <w:rPr>
          <w:rFonts w:ascii="Arial" w:hAnsi="Arial" w:cs="Arial"/>
          <w:b/>
          <w:sz w:val="22"/>
        </w:rPr>
        <w:t xml:space="preserve"> nebyly významné.</w:t>
      </w:r>
    </w:p>
    <w:p w:rsidR="008C65BF" w:rsidRPr="003852E4" w:rsidRDefault="008C65BF" w:rsidP="002770FF">
      <w:pPr>
        <w:jc w:val="both"/>
        <w:rPr>
          <w:rFonts w:ascii="Arial" w:hAnsi="Arial" w:cs="Arial"/>
          <w:b/>
          <w:sz w:val="22"/>
        </w:rPr>
      </w:pPr>
    </w:p>
    <w:p w:rsidR="002770FF" w:rsidRPr="002770FF" w:rsidRDefault="002770FF" w:rsidP="002770F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770FF">
        <w:rPr>
          <w:rFonts w:ascii="Arial" w:hAnsi="Arial" w:cs="Arial"/>
          <w:b/>
          <w:bCs/>
          <w:iCs/>
          <w:sz w:val="22"/>
          <w:szCs w:val="22"/>
        </w:rPr>
        <w:t>Finanční výkazy</w:t>
      </w:r>
    </w:p>
    <w:p w:rsidR="004379DF" w:rsidRDefault="004379DF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770FF" w:rsidRPr="002770FF" w:rsidRDefault="002770FF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2770FF">
        <w:rPr>
          <w:rFonts w:ascii="Arial" w:hAnsi="Arial" w:cs="Arial"/>
          <w:bCs/>
          <w:iCs/>
          <w:sz w:val="22"/>
          <w:szCs w:val="22"/>
        </w:rPr>
        <w:t>Ve výkazu pro hodnocení plnění rozpočtu</w:t>
      </w:r>
      <w:r w:rsidR="00850D54">
        <w:rPr>
          <w:rFonts w:ascii="Arial" w:hAnsi="Arial" w:cs="Arial"/>
          <w:bCs/>
          <w:iCs/>
          <w:sz w:val="22"/>
          <w:szCs w:val="22"/>
        </w:rPr>
        <w:t xml:space="preserve"> za rok</w:t>
      </w:r>
      <w:r w:rsidR="00154B39">
        <w:rPr>
          <w:rFonts w:ascii="Arial" w:hAnsi="Arial" w:cs="Arial"/>
          <w:bCs/>
          <w:iCs/>
          <w:sz w:val="22"/>
          <w:szCs w:val="22"/>
        </w:rPr>
        <w:t xml:space="preserve"> 2013</w:t>
      </w:r>
      <w:r w:rsidRPr="002770FF">
        <w:rPr>
          <w:rFonts w:ascii="Arial" w:hAnsi="Arial" w:cs="Arial"/>
          <w:bCs/>
          <w:iCs/>
          <w:sz w:val="22"/>
          <w:szCs w:val="22"/>
        </w:rPr>
        <w:t xml:space="preserve"> byla zjištěna nesprávnost </w:t>
      </w:r>
      <w:r w:rsidR="00874A3C">
        <w:rPr>
          <w:rFonts w:ascii="Arial" w:hAnsi="Arial" w:cs="Arial"/>
          <w:bCs/>
          <w:iCs/>
          <w:sz w:val="22"/>
          <w:szCs w:val="22"/>
        </w:rPr>
        <w:t>v celkové</w:t>
      </w:r>
      <w:r w:rsidRPr="002770FF">
        <w:rPr>
          <w:rFonts w:ascii="Arial" w:hAnsi="Arial" w:cs="Arial"/>
          <w:bCs/>
          <w:iCs/>
          <w:sz w:val="22"/>
          <w:szCs w:val="22"/>
        </w:rPr>
        <w:t xml:space="preserve"> výši </w:t>
      </w:r>
      <w:r w:rsidR="00154B39">
        <w:rPr>
          <w:rFonts w:ascii="Arial" w:hAnsi="Arial" w:cs="Arial"/>
          <w:bCs/>
          <w:iCs/>
          <w:sz w:val="22"/>
          <w:szCs w:val="22"/>
        </w:rPr>
        <w:t>66 136 572,22</w:t>
      </w:r>
      <w:r w:rsidRPr="002770FF">
        <w:rPr>
          <w:rFonts w:ascii="Arial" w:hAnsi="Arial" w:cs="Arial"/>
          <w:bCs/>
          <w:iCs/>
          <w:sz w:val="22"/>
          <w:szCs w:val="22"/>
        </w:rPr>
        <w:t xml:space="preserve"> Kč </w:t>
      </w:r>
      <w:r w:rsidR="00874A3C">
        <w:rPr>
          <w:rFonts w:ascii="Arial" w:hAnsi="Arial" w:cs="Arial"/>
          <w:bCs/>
          <w:iCs/>
          <w:sz w:val="22"/>
          <w:szCs w:val="22"/>
        </w:rPr>
        <w:t>vzniklá</w:t>
      </w:r>
      <w:r w:rsidR="00841D32">
        <w:rPr>
          <w:rFonts w:ascii="Arial" w:hAnsi="Arial" w:cs="Arial"/>
          <w:bCs/>
          <w:iCs/>
          <w:sz w:val="22"/>
          <w:szCs w:val="22"/>
        </w:rPr>
        <w:t xml:space="preserve"> v důsledku nesprávné</w:t>
      </w:r>
      <w:r w:rsidR="007D7E7C">
        <w:rPr>
          <w:rFonts w:ascii="Arial" w:hAnsi="Arial" w:cs="Arial"/>
          <w:bCs/>
          <w:iCs/>
          <w:sz w:val="22"/>
          <w:szCs w:val="22"/>
        </w:rPr>
        <w:t xml:space="preserve"> aplikace druhového třídění</w:t>
      </w:r>
      <w:r w:rsidR="00B03AE0">
        <w:rPr>
          <w:rFonts w:ascii="Arial" w:hAnsi="Arial" w:cs="Arial"/>
          <w:bCs/>
          <w:iCs/>
          <w:sz w:val="22"/>
          <w:szCs w:val="22"/>
        </w:rPr>
        <w:t xml:space="preserve"> položek</w:t>
      </w:r>
      <w:r w:rsidRPr="002770FF">
        <w:rPr>
          <w:rFonts w:ascii="Arial" w:hAnsi="Arial" w:cs="Arial"/>
          <w:bCs/>
          <w:iCs/>
          <w:sz w:val="22"/>
          <w:szCs w:val="22"/>
        </w:rPr>
        <w:t xml:space="preserve"> rozpočtové </w:t>
      </w:r>
      <w:r w:rsidR="00850D54">
        <w:rPr>
          <w:rFonts w:ascii="Arial" w:hAnsi="Arial" w:cs="Arial"/>
          <w:bCs/>
          <w:iCs/>
          <w:sz w:val="22"/>
          <w:szCs w:val="22"/>
        </w:rPr>
        <w:t>skladby.</w:t>
      </w:r>
      <w:r w:rsidRPr="002770FF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3852E4" w:rsidRPr="00325FAC" w:rsidRDefault="003852E4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770FF" w:rsidRPr="002770FF" w:rsidRDefault="002770FF" w:rsidP="002770F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770FF">
        <w:rPr>
          <w:rFonts w:ascii="Arial" w:hAnsi="Arial" w:cs="Arial"/>
          <w:b/>
          <w:bCs/>
          <w:iCs/>
          <w:sz w:val="22"/>
          <w:szCs w:val="22"/>
        </w:rPr>
        <w:t>Ostatní zjištění</w:t>
      </w:r>
    </w:p>
    <w:p w:rsidR="00841D32" w:rsidRPr="003852E4" w:rsidRDefault="00841D32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167427" w:rsidRPr="00325FAC" w:rsidRDefault="00DA4F9D" w:rsidP="00325FAC">
      <w:pPr>
        <w:pStyle w:val="Odstavecseseznamem"/>
        <w:numPr>
          <w:ilvl w:val="0"/>
          <w:numId w:val="36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 xml:space="preserve">Použití </w:t>
      </w:r>
      <w:r w:rsidR="00077908" w:rsidRPr="00325FAC">
        <w:rPr>
          <w:rFonts w:ascii="Arial" w:hAnsi="Arial" w:cs="Arial"/>
          <w:b/>
          <w:i/>
          <w:sz w:val="22"/>
          <w:szCs w:val="22"/>
        </w:rPr>
        <w:t>ú</w:t>
      </w:r>
      <w:r w:rsidRPr="00325FAC">
        <w:rPr>
          <w:rFonts w:ascii="Arial" w:hAnsi="Arial" w:cs="Arial"/>
          <w:b/>
          <w:i/>
          <w:sz w:val="22"/>
          <w:szCs w:val="22"/>
        </w:rPr>
        <w:t>dajů</w:t>
      </w:r>
      <w:r w:rsidR="00077908" w:rsidRPr="00325FAC">
        <w:rPr>
          <w:rFonts w:ascii="Arial" w:hAnsi="Arial" w:cs="Arial"/>
          <w:b/>
          <w:i/>
          <w:sz w:val="22"/>
          <w:szCs w:val="22"/>
        </w:rPr>
        <w:t xml:space="preserve"> vykázaných</w:t>
      </w:r>
      <w:r w:rsidRPr="00325FAC">
        <w:rPr>
          <w:rFonts w:ascii="Arial" w:hAnsi="Arial" w:cs="Arial"/>
          <w:b/>
          <w:i/>
          <w:sz w:val="22"/>
          <w:szCs w:val="22"/>
        </w:rPr>
        <w:t xml:space="preserve"> na vybraných nákladových účtech pro klíčové </w:t>
      </w:r>
      <w:r w:rsidR="00355F91" w:rsidRPr="00325FAC">
        <w:rPr>
          <w:rFonts w:ascii="Arial" w:hAnsi="Arial" w:cs="Arial"/>
          <w:b/>
          <w:i/>
          <w:sz w:val="22"/>
          <w:szCs w:val="22"/>
        </w:rPr>
        <w:t xml:space="preserve">analytické </w:t>
      </w:r>
      <w:r w:rsidRPr="00325FAC">
        <w:rPr>
          <w:rFonts w:ascii="Arial" w:hAnsi="Arial" w:cs="Arial"/>
          <w:b/>
          <w:i/>
          <w:sz w:val="22"/>
          <w:szCs w:val="22"/>
        </w:rPr>
        <w:t xml:space="preserve">ukazatele </w:t>
      </w:r>
    </w:p>
    <w:p w:rsidR="00DA4F9D" w:rsidRPr="00DA4F9D" w:rsidRDefault="00DA4F9D" w:rsidP="002770F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67427" w:rsidRDefault="00D208CD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Na příkladu MZe je možné demonstrovat, že </w:t>
      </w:r>
      <w:r w:rsidRPr="007872A2">
        <w:rPr>
          <w:rFonts w:ascii="Arial" w:hAnsi="Arial" w:cs="Arial"/>
          <w:bCs/>
          <w:iCs/>
          <w:sz w:val="22"/>
          <w:szCs w:val="22"/>
        </w:rPr>
        <w:t>na nákladových účtech</w:t>
      </w:r>
      <w:r>
        <w:rPr>
          <w:rFonts w:ascii="Arial" w:hAnsi="Arial" w:cs="Arial"/>
          <w:bCs/>
          <w:iCs/>
          <w:sz w:val="22"/>
          <w:szCs w:val="22"/>
        </w:rPr>
        <w:t>, které jsou stanoveny jako vstupní údaje pro posuzování provozní nákladovosti,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</w:t>
      </w:r>
      <w:r w:rsidR="00F7763E">
        <w:rPr>
          <w:rFonts w:ascii="Arial" w:hAnsi="Arial" w:cs="Arial"/>
          <w:bCs/>
          <w:iCs/>
          <w:sz w:val="22"/>
          <w:szCs w:val="22"/>
        </w:rPr>
        <w:t xml:space="preserve">nemusí být </w:t>
      </w:r>
      <w:r>
        <w:rPr>
          <w:rFonts w:ascii="Arial" w:hAnsi="Arial" w:cs="Arial"/>
          <w:bCs/>
          <w:iCs/>
          <w:sz w:val="22"/>
          <w:szCs w:val="22"/>
        </w:rPr>
        <w:t xml:space="preserve">vždy účtovány pouze </w:t>
      </w:r>
      <w:r>
        <w:rPr>
          <w:rFonts w:ascii="Arial" w:hAnsi="Arial" w:cs="Arial"/>
          <w:bCs/>
          <w:iCs/>
          <w:sz w:val="22"/>
          <w:szCs w:val="22"/>
        </w:rPr>
        <w:lastRenderedPageBreak/>
        <w:t>náklady, které jsou příslušnou účetní jednotkou ovlivnitelné.</w:t>
      </w:r>
      <w:r w:rsidRPr="007872A2">
        <w:rPr>
          <w:rFonts w:ascii="Arial" w:hAnsi="Arial" w:cs="Arial"/>
          <w:bCs/>
          <w:iCs/>
          <w:sz w:val="22"/>
          <w:szCs w:val="22"/>
        </w:rPr>
        <w:t xml:space="preserve"> </w:t>
      </w:r>
      <w:r w:rsidR="00BE2C72">
        <w:rPr>
          <w:rFonts w:ascii="Arial" w:hAnsi="Arial" w:cs="Arial"/>
          <w:bCs/>
          <w:iCs/>
          <w:sz w:val="22"/>
          <w:szCs w:val="22"/>
        </w:rPr>
        <w:t>Pokud by měl být podle tohoto ukazatele řízen</w:t>
      </w:r>
      <w:r w:rsidR="00BE2C72" w:rsidRPr="007872A2">
        <w:rPr>
          <w:rFonts w:ascii="Arial" w:hAnsi="Arial" w:cs="Arial"/>
          <w:bCs/>
          <w:iCs/>
          <w:sz w:val="22"/>
          <w:szCs w:val="22"/>
        </w:rPr>
        <w:t xml:space="preserve"> rozpočtový proces</w:t>
      </w:r>
      <w:r w:rsidR="00BE2C72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32"/>
      </w:r>
      <w:r w:rsidR="00E1518E">
        <w:rPr>
          <w:rFonts w:ascii="Arial" w:hAnsi="Arial" w:cs="Arial"/>
          <w:bCs/>
          <w:iCs/>
          <w:sz w:val="22"/>
          <w:szCs w:val="22"/>
        </w:rPr>
        <w:t>,</w:t>
      </w:r>
      <w:r w:rsidR="00BE2C72">
        <w:rPr>
          <w:rFonts w:ascii="Arial" w:hAnsi="Arial" w:cs="Arial"/>
          <w:bCs/>
          <w:iCs/>
          <w:sz w:val="22"/>
          <w:szCs w:val="22"/>
        </w:rPr>
        <w:t xml:space="preserve"> je nutné</w:t>
      </w:r>
      <w:r w:rsidR="007D3E73">
        <w:rPr>
          <w:rFonts w:ascii="Arial" w:hAnsi="Arial" w:cs="Arial"/>
          <w:bCs/>
          <w:iCs/>
          <w:sz w:val="22"/>
          <w:szCs w:val="22"/>
        </w:rPr>
        <w:t xml:space="preserve"> vzít</w:t>
      </w:r>
      <w:r w:rsidR="00BE2C72">
        <w:rPr>
          <w:rFonts w:ascii="Arial" w:hAnsi="Arial" w:cs="Arial"/>
          <w:bCs/>
          <w:iCs/>
          <w:sz w:val="22"/>
          <w:szCs w:val="22"/>
        </w:rPr>
        <w:t xml:space="preserve"> tuto skutečnost v úvahu.</w:t>
      </w:r>
    </w:p>
    <w:p w:rsidR="00167427" w:rsidRDefault="00167427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841D32" w:rsidRPr="00325FAC" w:rsidRDefault="00841D32" w:rsidP="00325FAC">
      <w:pPr>
        <w:pStyle w:val="Odstavecseseznamem"/>
        <w:numPr>
          <w:ilvl w:val="0"/>
          <w:numId w:val="37"/>
        </w:numPr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325FAC">
        <w:rPr>
          <w:rFonts w:ascii="Arial" w:hAnsi="Arial" w:cs="Arial"/>
          <w:b/>
          <w:i/>
          <w:sz w:val="22"/>
          <w:szCs w:val="22"/>
        </w:rPr>
        <w:t>Rozdíl</w:t>
      </w:r>
      <w:r w:rsidR="00C81407" w:rsidRPr="00325FAC">
        <w:rPr>
          <w:rFonts w:ascii="Arial" w:hAnsi="Arial" w:cs="Arial"/>
          <w:b/>
          <w:i/>
          <w:sz w:val="22"/>
          <w:szCs w:val="22"/>
        </w:rPr>
        <w:t xml:space="preserve">y v </w:t>
      </w:r>
      <w:r w:rsidRPr="00325FAC">
        <w:rPr>
          <w:rFonts w:ascii="Arial" w:hAnsi="Arial" w:cs="Arial"/>
          <w:b/>
          <w:i/>
          <w:sz w:val="22"/>
          <w:szCs w:val="22"/>
        </w:rPr>
        <w:t>ú</w:t>
      </w:r>
      <w:r w:rsidR="000B06A9" w:rsidRPr="00325FAC">
        <w:rPr>
          <w:rFonts w:ascii="Arial" w:hAnsi="Arial" w:cs="Arial"/>
          <w:b/>
          <w:i/>
          <w:sz w:val="22"/>
          <w:szCs w:val="22"/>
        </w:rPr>
        <w:t>daj</w:t>
      </w:r>
      <w:r w:rsidR="00C81407" w:rsidRPr="00325FAC">
        <w:rPr>
          <w:rFonts w:ascii="Arial" w:hAnsi="Arial" w:cs="Arial"/>
          <w:b/>
          <w:i/>
          <w:sz w:val="22"/>
          <w:szCs w:val="22"/>
        </w:rPr>
        <w:t>ích</w:t>
      </w:r>
      <w:r w:rsidR="000B06A9" w:rsidRPr="00325FAC">
        <w:rPr>
          <w:rFonts w:ascii="Arial" w:hAnsi="Arial" w:cs="Arial"/>
          <w:b/>
          <w:i/>
          <w:sz w:val="22"/>
          <w:szCs w:val="22"/>
        </w:rPr>
        <w:t xml:space="preserve"> ÚZ </w:t>
      </w:r>
      <w:r w:rsidR="004C0001" w:rsidRPr="00325FAC">
        <w:rPr>
          <w:rFonts w:ascii="Arial" w:hAnsi="Arial" w:cs="Arial"/>
          <w:b/>
          <w:i/>
          <w:sz w:val="22"/>
          <w:szCs w:val="22"/>
        </w:rPr>
        <w:t>oproti údajům</w:t>
      </w:r>
      <w:r w:rsidR="000B06A9" w:rsidRPr="00325FAC">
        <w:rPr>
          <w:rFonts w:ascii="Arial" w:hAnsi="Arial" w:cs="Arial"/>
          <w:b/>
          <w:i/>
          <w:sz w:val="22"/>
          <w:szCs w:val="22"/>
        </w:rPr>
        <w:t xml:space="preserve"> </w:t>
      </w:r>
      <w:r w:rsidR="00C81407" w:rsidRPr="00325FAC">
        <w:rPr>
          <w:rFonts w:ascii="Arial" w:hAnsi="Arial" w:cs="Arial"/>
          <w:b/>
          <w:i/>
          <w:sz w:val="22"/>
          <w:szCs w:val="22"/>
        </w:rPr>
        <w:t>zveřejněn</w:t>
      </w:r>
      <w:r w:rsidR="004C0001" w:rsidRPr="00325FAC">
        <w:rPr>
          <w:rFonts w:ascii="Arial" w:hAnsi="Arial" w:cs="Arial"/>
          <w:b/>
          <w:i/>
          <w:sz w:val="22"/>
          <w:szCs w:val="22"/>
        </w:rPr>
        <w:t>ým</w:t>
      </w:r>
      <w:r w:rsidR="00C81407" w:rsidRPr="00325FAC">
        <w:rPr>
          <w:rFonts w:ascii="Arial" w:hAnsi="Arial" w:cs="Arial"/>
          <w:b/>
          <w:i/>
          <w:sz w:val="22"/>
          <w:szCs w:val="22"/>
        </w:rPr>
        <w:t xml:space="preserve"> </w:t>
      </w:r>
      <w:r w:rsidR="00E568A1">
        <w:rPr>
          <w:rFonts w:ascii="Arial" w:hAnsi="Arial" w:cs="Arial"/>
          <w:b/>
          <w:i/>
          <w:sz w:val="22"/>
          <w:szCs w:val="22"/>
        </w:rPr>
        <w:t>v </w:t>
      </w:r>
      <w:r w:rsidR="000B06A9" w:rsidRPr="00325FAC">
        <w:rPr>
          <w:rFonts w:ascii="Arial" w:hAnsi="Arial" w:cs="Arial"/>
          <w:b/>
          <w:i/>
          <w:sz w:val="22"/>
          <w:szCs w:val="22"/>
        </w:rPr>
        <w:t>informačním portálu MONITOR</w:t>
      </w:r>
    </w:p>
    <w:p w:rsidR="00D91EAD" w:rsidRPr="00D91EAD" w:rsidRDefault="00D91EAD" w:rsidP="002770F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91EAD" w:rsidRDefault="00D041D0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Účetní záznamy</w:t>
      </w:r>
      <w:r w:rsidR="00D91EAD">
        <w:rPr>
          <w:rFonts w:ascii="Arial" w:hAnsi="Arial" w:cs="Arial"/>
          <w:bCs/>
          <w:iCs/>
          <w:sz w:val="22"/>
          <w:szCs w:val="22"/>
        </w:rPr>
        <w:t xml:space="preserve"> jsou účetními jednotkami</w:t>
      </w:r>
      <w:r w:rsidR="006C1FFC">
        <w:rPr>
          <w:rFonts w:ascii="Arial" w:hAnsi="Arial" w:cs="Arial"/>
          <w:bCs/>
          <w:iCs/>
          <w:sz w:val="22"/>
          <w:szCs w:val="22"/>
        </w:rPr>
        <w:t xml:space="preserve"> v souladu s obecně závaznými právními předpisy</w:t>
      </w:r>
      <w:r w:rsidR="00D91EAD">
        <w:rPr>
          <w:rFonts w:ascii="Arial" w:hAnsi="Arial" w:cs="Arial"/>
          <w:bCs/>
          <w:iCs/>
          <w:sz w:val="22"/>
          <w:szCs w:val="22"/>
        </w:rPr>
        <w:t xml:space="preserve"> zasílány do CSÚIS</w:t>
      </w:r>
      <w:r w:rsidR="00495A70">
        <w:rPr>
          <w:rFonts w:ascii="Arial" w:hAnsi="Arial" w:cs="Arial"/>
          <w:bCs/>
          <w:iCs/>
          <w:sz w:val="22"/>
          <w:szCs w:val="22"/>
        </w:rPr>
        <w:t>. Tyto údaje byly MZe do CSÚIS zaslány a</w:t>
      </w:r>
      <w:r w:rsidR="00D54E10">
        <w:rPr>
          <w:rFonts w:ascii="Arial" w:hAnsi="Arial" w:cs="Arial"/>
          <w:bCs/>
          <w:iCs/>
          <w:sz w:val="22"/>
          <w:szCs w:val="22"/>
        </w:rPr>
        <w:t xml:space="preserve"> k určitému datu</w:t>
      </w:r>
      <w:r w:rsidR="009069A8">
        <w:rPr>
          <w:rFonts w:ascii="Arial" w:hAnsi="Arial" w:cs="Arial"/>
          <w:bCs/>
          <w:iCs/>
          <w:sz w:val="22"/>
          <w:szCs w:val="22"/>
        </w:rPr>
        <w:t xml:space="preserve"> z něj</w:t>
      </w:r>
      <w:r w:rsidR="00495A70">
        <w:rPr>
          <w:rFonts w:ascii="Arial" w:hAnsi="Arial" w:cs="Arial"/>
          <w:bCs/>
          <w:iCs/>
          <w:sz w:val="22"/>
          <w:szCs w:val="22"/>
        </w:rPr>
        <w:t xml:space="preserve"> byly</w:t>
      </w:r>
      <w:r w:rsidR="00D54E10">
        <w:rPr>
          <w:rFonts w:ascii="Arial" w:hAnsi="Arial" w:cs="Arial"/>
          <w:bCs/>
          <w:iCs/>
          <w:sz w:val="22"/>
          <w:szCs w:val="22"/>
        </w:rPr>
        <w:t xml:space="preserve"> převzaty ke zveřejnění</w:t>
      </w:r>
      <w:r w:rsidR="00D91EAD">
        <w:rPr>
          <w:rFonts w:ascii="Arial" w:hAnsi="Arial" w:cs="Arial"/>
          <w:bCs/>
          <w:iCs/>
          <w:sz w:val="22"/>
          <w:szCs w:val="22"/>
        </w:rPr>
        <w:t xml:space="preserve"> </w:t>
      </w:r>
      <w:r w:rsidR="00BE2C72">
        <w:rPr>
          <w:rFonts w:ascii="Arial" w:hAnsi="Arial" w:cs="Arial"/>
          <w:bCs/>
          <w:iCs/>
          <w:sz w:val="22"/>
          <w:szCs w:val="22"/>
        </w:rPr>
        <w:t>na informačním portálu Ministerstva financí MONITOR</w:t>
      </w:r>
      <w:r w:rsidR="00BE2C72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33"/>
      </w:r>
      <w:r w:rsidR="00BE2C72">
        <w:rPr>
          <w:rFonts w:ascii="Arial" w:hAnsi="Arial" w:cs="Arial"/>
          <w:bCs/>
          <w:iCs/>
          <w:sz w:val="22"/>
          <w:szCs w:val="22"/>
        </w:rPr>
        <w:t>. Údaje</w:t>
      </w:r>
      <w:r w:rsidR="009069A8">
        <w:rPr>
          <w:rFonts w:ascii="Arial" w:hAnsi="Arial" w:cs="Arial"/>
          <w:bCs/>
          <w:iCs/>
          <w:sz w:val="22"/>
          <w:szCs w:val="22"/>
        </w:rPr>
        <w:t xml:space="preserve"> MZe následně</w:t>
      </w:r>
      <w:r w:rsidR="009F617C">
        <w:rPr>
          <w:rFonts w:ascii="Arial" w:hAnsi="Arial" w:cs="Arial"/>
          <w:bCs/>
          <w:iCs/>
          <w:sz w:val="22"/>
          <w:szCs w:val="22"/>
        </w:rPr>
        <w:t xml:space="preserve"> </w:t>
      </w:r>
      <w:r w:rsidR="006C1FFC">
        <w:rPr>
          <w:rFonts w:ascii="Arial" w:hAnsi="Arial" w:cs="Arial"/>
          <w:bCs/>
          <w:iCs/>
          <w:sz w:val="22"/>
          <w:szCs w:val="22"/>
        </w:rPr>
        <w:t>opravené</w:t>
      </w:r>
      <w:r w:rsidR="009F617C">
        <w:rPr>
          <w:rFonts w:ascii="Arial" w:hAnsi="Arial" w:cs="Arial"/>
          <w:bCs/>
          <w:iCs/>
          <w:sz w:val="22"/>
          <w:szCs w:val="22"/>
        </w:rPr>
        <w:t xml:space="preserve"> a</w:t>
      </w:r>
      <w:r w:rsidR="009069A8">
        <w:rPr>
          <w:rFonts w:ascii="Arial" w:hAnsi="Arial" w:cs="Arial"/>
          <w:bCs/>
          <w:iCs/>
          <w:sz w:val="22"/>
          <w:szCs w:val="22"/>
        </w:rPr>
        <w:t xml:space="preserve"> opakovaně</w:t>
      </w:r>
      <w:r w:rsidR="009F617C">
        <w:rPr>
          <w:rFonts w:ascii="Arial" w:hAnsi="Arial" w:cs="Arial"/>
          <w:bCs/>
          <w:iCs/>
          <w:sz w:val="22"/>
          <w:szCs w:val="22"/>
        </w:rPr>
        <w:t xml:space="preserve"> předané</w:t>
      </w:r>
      <w:r w:rsidR="00AC283A">
        <w:rPr>
          <w:rFonts w:ascii="Arial" w:hAnsi="Arial" w:cs="Arial"/>
          <w:bCs/>
          <w:iCs/>
          <w:sz w:val="22"/>
          <w:szCs w:val="22"/>
        </w:rPr>
        <w:t xml:space="preserve"> do CSÚIS</w:t>
      </w:r>
      <w:r w:rsidR="00BE2C72">
        <w:rPr>
          <w:rFonts w:ascii="Arial" w:hAnsi="Arial" w:cs="Arial"/>
          <w:bCs/>
          <w:iCs/>
          <w:sz w:val="22"/>
          <w:szCs w:val="22"/>
        </w:rPr>
        <w:t xml:space="preserve"> </w:t>
      </w:r>
      <w:r w:rsidR="009069A8">
        <w:rPr>
          <w:rFonts w:ascii="Arial" w:hAnsi="Arial" w:cs="Arial"/>
          <w:bCs/>
          <w:iCs/>
          <w:sz w:val="22"/>
          <w:szCs w:val="22"/>
        </w:rPr>
        <w:t xml:space="preserve">nebyly již </w:t>
      </w:r>
      <w:r w:rsidR="00BE2C72">
        <w:rPr>
          <w:rFonts w:ascii="Arial" w:hAnsi="Arial" w:cs="Arial"/>
          <w:bCs/>
          <w:iCs/>
          <w:sz w:val="22"/>
          <w:szCs w:val="22"/>
        </w:rPr>
        <w:t>po tomto datu</w:t>
      </w:r>
      <w:r w:rsidR="00AC283A">
        <w:rPr>
          <w:rFonts w:ascii="Arial" w:hAnsi="Arial" w:cs="Arial"/>
          <w:bCs/>
          <w:iCs/>
          <w:sz w:val="22"/>
          <w:szCs w:val="22"/>
        </w:rPr>
        <w:t xml:space="preserve"> </w:t>
      </w:r>
      <w:r w:rsidR="00AC50B3">
        <w:rPr>
          <w:rFonts w:ascii="Arial" w:hAnsi="Arial" w:cs="Arial"/>
          <w:bCs/>
          <w:iCs/>
          <w:sz w:val="22"/>
          <w:szCs w:val="22"/>
        </w:rPr>
        <w:t xml:space="preserve">převzaty </w:t>
      </w:r>
      <w:r w:rsidR="00D54E10">
        <w:rPr>
          <w:rFonts w:ascii="Arial" w:hAnsi="Arial" w:cs="Arial"/>
          <w:bCs/>
          <w:iCs/>
          <w:sz w:val="22"/>
          <w:szCs w:val="22"/>
        </w:rPr>
        <w:t xml:space="preserve">do </w:t>
      </w:r>
      <w:r w:rsidR="00AC50B3">
        <w:rPr>
          <w:rFonts w:ascii="Arial" w:hAnsi="Arial" w:cs="Arial"/>
          <w:bCs/>
          <w:iCs/>
          <w:sz w:val="22"/>
          <w:szCs w:val="22"/>
        </w:rPr>
        <w:t xml:space="preserve">informačního portálu </w:t>
      </w:r>
      <w:r w:rsidR="00D54E10">
        <w:rPr>
          <w:rFonts w:ascii="Arial" w:hAnsi="Arial" w:cs="Arial"/>
          <w:bCs/>
          <w:iCs/>
          <w:sz w:val="22"/>
          <w:szCs w:val="22"/>
        </w:rPr>
        <w:t>MONITOR</w:t>
      </w:r>
      <w:r w:rsidR="00AC283A">
        <w:rPr>
          <w:rFonts w:ascii="Arial" w:hAnsi="Arial" w:cs="Arial"/>
          <w:bCs/>
          <w:iCs/>
          <w:sz w:val="22"/>
          <w:szCs w:val="22"/>
        </w:rPr>
        <w:t>.</w:t>
      </w:r>
      <w:r w:rsidR="00BE2C72">
        <w:rPr>
          <w:rFonts w:ascii="Arial" w:hAnsi="Arial" w:cs="Arial"/>
          <w:bCs/>
          <w:iCs/>
          <w:sz w:val="22"/>
          <w:szCs w:val="22"/>
        </w:rPr>
        <w:t xml:space="preserve"> </w:t>
      </w:r>
      <w:r w:rsidR="00495A70">
        <w:rPr>
          <w:rFonts w:ascii="Arial" w:hAnsi="Arial" w:cs="Arial"/>
          <w:bCs/>
          <w:iCs/>
          <w:sz w:val="22"/>
          <w:szCs w:val="22"/>
        </w:rPr>
        <w:t>V této souvislosti</w:t>
      </w:r>
      <w:r w:rsidR="009069A8">
        <w:rPr>
          <w:rFonts w:ascii="Arial" w:hAnsi="Arial" w:cs="Arial"/>
          <w:bCs/>
          <w:iCs/>
          <w:sz w:val="22"/>
          <w:szCs w:val="22"/>
        </w:rPr>
        <w:t xml:space="preserve"> tak</w:t>
      </w:r>
      <w:r w:rsidR="00495A70">
        <w:rPr>
          <w:rFonts w:ascii="Arial" w:hAnsi="Arial" w:cs="Arial"/>
          <w:bCs/>
          <w:iCs/>
          <w:sz w:val="22"/>
          <w:szCs w:val="22"/>
        </w:rPr>
        <w:t xml:space="preserve"> lze identifikovat riziko, že údaje zveřejněné</w:t>
      </w:r>
      <w:r w:rsidR="00E40BE7">
        <w:rPr>
          <w:rFonts w:ascii="Arial" w:hAnsi="Arial" w:cs="Arial"/>
          <w:bCs/>
          <w:iCs/>
          <w:sz w:val="22"/>
          <w:szCs w:val="22"/>
        </w:rPr>
        <w:t xml:space="preserve"> </w:t>
      </w:r>
      <w:r w:rsidR="00AC50B3">
        <w:rPr>
          <w:rFonts w:ascii="Arial" w:hAnsi="Arial" w:cs="Arial"/>
          <w:bCs/>
          <w:iCs/>
          <w:sz w:val="22"/>
          <w:szCs w:val="22"/>
        </w:rPr>
        <w:t>v</w:t>
      </w:r>
      <w:r w:rsidR="00E40BE7">
        <w:rPr>
          <w:rFonts w:ascii="Arial" w:hAnsi="Arial" w:cs="Arial"/>
          <w:bCs/>
          <w:iCs/>
          <w:sz w:val="22"/>
          <w:szCs w:val="22"/>
        </w:rPr>
        <w:t xml:space="preserve"> informačním portálu MONITOR</w:t>
      </w:r>
      <w:r w:rsidR="00E40BE7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34"/>
      </w:r>
      <w:r w:rsidR="00495A70">
        <w:rPr>
          <w:rFonts w:ascii="Arial" w:hAnsi="Arial" w:cs="Arial"/>
          <w:bCs/>
          <w:iCs/>
          <w:sz w:val="22"/>
          <w:szCs w:val="22"/>
        </w:rPr>
        <w:t xml:space="preserve"> nemusí být vždy v soula</w:t>
      </w:r>
      <w:r w:rsidR="00BB3BC5">
        <w:rPr>
          <w:rFonts w:ascii="Arial" w:hAnsi="Arial" w:cs="Arial"/>
          <w:bCs/>
          <w:iCs/>
          <w:sz w:val="22"/>
          <w:szCs w:val="22"/>
        </w:rPr>
        <w:t>du s údaji v CSÚIS. Pro údaje v </w:t>
      </w:r>
      <w:r w:rsidR="00495A70">
        <w:rPr>
          <w:rFonts w:ascii="Arial" w:hAnsi="Arial" w:cs="Arial"/>
          <w:bCs/>
          <w:iCs/>
          <w:sz w:val="22"/>
          <w:szCs w:val="22"/>
        </w:rPr>
        <w:t>CSÚIS je</w:t>
      </w:r>
      <w:r w:rsidR="003D477B">
        <w:rPr>
          <w:rFonts w:ascii="Arial" w:hAnsi="Arial" w:cs="Arial"/>
          <w:bCs/>
          <w:iCs/>
          <w:sz w:val="22"/>
          <w:szCs w:val="22"/>
        </w:rPr>
        <w:t xml:space="preserve"> </w:t>
      </w:r>
      <w:r w:rsidR="00E40BE7">
        <w:rPr>
          <w:rFonts w:ascii="Arial" w:hAnsi="Arial" w:cs="Arial"/>
          <w:bCs/>
          <w:iCs/>
          <w:sz w:val="22"/>
          <w:szCs w:val="22"/>
        </w:rPr>
        <w:t>v této souvislosti</w:t>
      </w:r>
      <w:r w:rsidR="003D477B">
        <w:rPr>
          <w:rFonts w:ascii="Arial" w:hAnsi="Arial" w:cs="Arial"/>
          <w:bCs/>
          <w:iCs/>
          <w:sz w:val="22"/>
          <w:szCs w:val="22"/>
        </w:rPr>
        <w:t xml:space="preserve"> ještě</w:t>
      </w:r>
      <w:r w:rsidR="00495A70">
        <w:rPr>
          <w:rFonts w:ascii="Arial" w:hAnsi="Arial" w:cs="Arial"/>
          <w:bCs/>
          <w:iCs/>
          <w:sz w:val="22"/>
          <w:szCs w:val="22"/>
        </w:rPr>
        <w:t xml:space="preserve"> nutné</w:t>
      </w:r>
      <w:r w:rsidR="00666E53">
        <w:rPr>
          <w:rFonts w:ascii="Arial" w:hAnsi="Arial" w:cs="Arial"/>
          <w:bCs/>
          <w:iCs/>
          <w:sz w:val="22"/>
          <w:szCs w:val="22"/>
        </w:rPr>
        <w:t xml:space="preserve"> </w:t>
      </w:r>
      <w:r w:rsidR="00495A70">
        <w:rPr>
          <w:rFonts w:ascii="Arial" w:hAnsi="Arial" w:cs="Arial"/>
          <w:bCs/>
          <w:iCs/>
          <w:sz w:val="22"/>
          <w:szCs w:val="22"/>
        </w:rPr>
        <w:t>zdůraznit</w:t>
      </w:r>
      <w:r>
        <w:rPr>
          <w:rFonts w:ascii="Arial" w:hAnsi="Arial" w:cs="Arial"/>
          <w:bCs/>
          <w:iCs/>
          <w:sz w:val="22"/>
          <w:szCs w:val="22"/>
        </w:rPr>
        <w:t>, že v souladu s vyhláškou č.</w:t>
      </w:r>
      <w:r w:rsidR="00997F1A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383/2009 Sb.</w:t>
      </w:r>
      <w:r w:rsidR="00495A70">
        <w:rPr>
          <w:rFonts w:ascii="Arial" w:hAnsi="Arial" w:cs="Arial"/>
          <w:bCs/>
          <w:iCs/>
          <w:sz w:val="22"/>
          <w:szCs w:val="22"/>
        </w:rPr>
        <w:t xml:space="preserve"> jsou do něj</w:t>
      </w:r>
      <w:r>
        <w:rPr>
          <w:rFonts w:ascii="Arial" w:hAnsi="Arial" w:cs="Arial"/>
          <w:bCs/>
          <w:iCs/>
          <w:sz w:val="22"/>
          <w:szCs w:val="22"/>
        </w:rPr>
        <w:t xml:space="preserve"> předávány</w:t>
      </w:r>
      <w:r w:rsidR="00495A70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konsolidační</w:t>
      </w:r>
      <w:r w:rsidR="00495A70">
        <w:rPr>
          <w:rFonts w:ascii="Arial" w:hAnsi="Arial" w:cs="Arial"/>
          <w:bCs/>
          <w:iCs/>
          <w:sz w:val="22"/>
          <w:szCs w:val="22"/>
        </w:rPr>
        <w:t xml:space="preserve"> účetní</w:t>
      </w:r>
      <w:r>
        <w:rPr>
          <w:rFonts w:ascii="Arial" w:hAnsi="Arial" w:cs="Arial"/>
          <w:bCs/>
          <w:iCs/>
          <w:sz w:val="22"/>
          <w:szCs w:val="22"/>
        </w:rPr>
        <w:t xml:space="preserve"> záznamy. Nejde </w:t>
      </w:r>
      <w:r w:rsidR="006C1FFC">
        <w:rPr>
          <w:rFonts w:ascii="Arial" w:hAnsi="Arial" w:cs="Arial"/>
          <w:bCs/>
          <w:iCs/>
          <w:sz w:val="22"/>
          <w:szCs w:val="22"/>
        </w:rPr>
        <w:t xml:space="preserve">tedy </w:t>
      </w:r>
      <w:r>
        <w:rPr>
          <w:rFonts w:ascii="Arial" w:hAnsi="Arial" w:cs="Arial"/>
          <w:bCs/>
          <w:iCs/>
          <w:sz w:val="22"/>
          <w:szCs w:val="22"/>
        </w:rPr>
        <w:t xml:space="preserve">o účetní závěrku jako takovou dle zákona </w:t>
      </w:r>
      <w:r w:rsidR="009069A8">
        <w:rPr>
          <w:rFonts w:ascii="Arial" w:hAnsi="Arial" w:cs="Arial"/>
          <w:bCs/>
          <w:iCs/>
          <w:sz w:val="22"/>
          <w:szCs w:val="22"/>
        </w:rPr>
        <w:t>o účetnictví</w:t>
      </w:r>
      <w:r w:rsidR="00AC50B3">
        <w:rPr>
          <w:rFonts w:ascii="Arial" w:hAnsi="Arial" w:cs="Arial"/>
          <w:bCs/>
          <w:iCs/>
          <w:sz w:val="22"/>
          <w:szCs w:val="22"/>
        </w:rPr>
        <w:t>,</w:t>
      </w:r>
      <w:r>
        <w:rPr>
          <w:rFonts w:ascii="Arial" w:hAnsi="Arial" w:cs="Arial"/>
          <w:bCs/>
          <w:iCs/>
          <w:sz w:val="22"/>
          <w:szCs w:val="22"/>
        </w:rPr>
        <w:t xml:space="preserve"> tzn. </w:t>
      </w:r>
      <w:r w:rsidR="001B3527">
        <w:rPr>
          <w:rFonts w:ascii="Arial" w:hAnsi="Arial" w:cs="Arial"/>
          <w:bCs/>
          <w:iCs/>
          <w:sz w:val="22"/>
          <w:szCs w:val="22"/>
        </w:rPr>
        <w:t>s okamžikem sestavení účetní závěrky</w:t>
      </w:r>
      <w:r w:rsidR="00933E50">
        <w:rPr>
          <w:rFonts w:ascii="Arial" w:hAnsi="Arial" w:cs="Arial"/>
          <w:bCs/>
          <w:iCs/>
          <w:sz w:val="22"/>
          <w:szCs w:val="22"/>
        </w:rPr>
        <w:t>,</w:t>
      </w:r>
      <w:r w:rsidR="001B3527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s podpisovým záznamem statutárního orgánu a okamžikem jeho připojení</w:t>
      </w:r>
      <w:r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35"/>
      </w:r>
      <w:r w:rsidR="00AC50B3">
        <w:rPr>
          <w:rFonts w:ascii="Arial" w:hAnsi="Arial" w:cs="Arial"/>
          <w:bCs/>
          <w:iCs/>
          <w:sz w:val="22"/>
          <w:szCs w:val="22"/>
        </w:rPr>
        <w:t>.</w:t>
      </w:r>
      <w:r w:rsidR="00BE2C72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3852E4" w:rsidRDefault="003852E4" w:rsidP="002770F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47966" w:rsidRPr="00E47966" w:rsidRDefault="00E47966" w:rsidP="002770F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47966">
        <w:rPr>
          <w:rFonts w:ascii="Arial" w:hAnsi="Arial" w:cs="Arial"/>
          <w:b/>
          <w:bCs/>
          <w:iCs/>
          <w:sz w:val="22"/>
          <w:szCs w:val="22"/>
        </w:rPr>
        <w:t>Porušení rozpočtové kázně</w:t>
      </w:r>
    </w:p>
    <w:p w:rsidR="00E47966" w:rsidRDefault="00E47966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47966" w:rsidRDefault="00E730C1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Podle názoru NKÚ se </w:t>
      </w:r>
      <w:r w:rsidR="00CF3276">
        <w:rPr>
          <w:rFonts w:ascii="Arial" w:hAnsi="Arial" w:cs="Arial"/>
          <w:bCs/>
          <w:iCs/>
          <w:sz w:val="22"/>
          <w:szCs w:val="22"/>
        </w:rPr>
        <w:t xml:space="preserve">MZe </w:t>
      </w:r>
      <w:r w:rsidR="00E47966">
        <w:rPr>
          <w:rFonts w:ascii="Arial" w:hAnsi="Arial" w:cs="Arial"/>
          <w:bCs/>
          <w:iCs/>
          <w:sz w:val="22"/>
          <w:szCs w:val="22"/>
        </w:rPr>
        <w:t>v roce 2013</w:t>
      </w:r>
      <w:r w:rsidR="0086271F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dopustilo</w:t>
      </w:r>
      <w:r w:rsidR="00E47966" w:rsidRPr="00E47966">
        <w:rPr>
          <w:rFonts w:ascii="Arial" w:hAnsi="Arial" w:cs="Arial"/>
          <w:bCs/>
          <w:iCs/>
          <w:sz w:val="22"/>
          <w:szCs w:val="22"/>
        </w:rPr>
        <w:t xml:space="preserve"> poruš</w:t>
      </w:r>
      <w:r>
        <w:rPr>
          <w:rFonts w:ascii="Arial" w:hAnsi="Arial" w:cs="Arial"/>
          <w:bCs/>
          <w:iCs/>
          <w:sz w:val="22"/>
          <w:szCs w:val="22"/>
        </w:rPr>
        <w:t>ení</w:t>
      </w:r>
      <w:r w:rsidR="00E47966" w:rsidRPr="00E47966">
        <w:rPr>
          <w:rFonts w:ascii="Arial" w:hAnsi="Arial" w:cs="Arial"/>
          <w:bCs/>
          <w:iCs/>
          <w:sz w:val="22"/>
          <w:szCs w:val="22"/>
        </w:rPr>
        <w:t xml:space="preserve"> rozpočtov</w:t>
      </w:r>
      <w:r>
        <w:rPr>
          <w:rFonts w:ascii="Arial" w:hAnsi="Arial" w:cs="Arial"/>
          <w:bCs/>
          <w:iCs/>
          <w:sz w:val="22"/>
          <w:szCs w:val="22"/>
        </w:rPr>
        <w:t>é</w:t>
      </w:r>
      <w:r w:rsidR="00E47966" w:rsidRPr="00E47966">
        <w:rPr>
          <w:rFonts w:ascii="Arial" w:hAnsi="Arial" w:cs="Arial"/>
          <w:bCs/>
          <w:iCs/>
          <w:sz w:val="22"/>
          <w:szCs w:val="22"/>
        </w:rPr>
        <w:t xml:space="preserve"> káz</w:t>
      </w:r>
      <w:r>
        <w:rPr>
          <w:rFonts w:ascii="Arial" w:hAnsi="Arial" w:cs="Arial"/>
          <w:bCs/>
          <w:iCs/>
          <w:sz w:val="22"/>
          <w:szCs w:val="22"/>
        </w:rPr>
        <w:t>ně</w:t>
      </w:r>
      <w:r w:rsidR="00B24C46">
        <w:rPr>
          <w:rFonts w:ascii="Arial" w:hAnsi="Arial" w:cs="Arial"/>
          <w:bCs/>
          <w:iCs/>
          <w:sz w:val="22"/>
          <w:szCs w:val="22"/>
        </w:rPr>
        <w:t xml:space="preserve"> ve smyslu § 44 odst. 1 písm. g) zákona č. 218/2000 Sb.</w:t>
      </w:r>
      <w:r w:rsidR="00E47966" w:rsidRPr="00E47966">
        <w:rPr>
          <w:rFonts w:ascii="Arial" w:hAnsi="Arial" w:cs="Arial"/>
          <w:bCs/>
          <w:iCs/>
          <w:sz w:val="22"/>
          <w:szCs w:val="22"/>
        </w:rPr>
        <w:t xml:space="preserve"> ve výši 904 110,10 Kč tím, že </w:t>
      </w:r>
      <w:r>
        <w:rPr>
          <w:rFonts w:ascii="Arial" w:hAnsi="Arial" w:cs="Arial"/>
          <w:bCs/>
          <w:iCs/>
          <w:sz w:val="22"/>
          <w:szCs w:val="22"/>
        </w:rPr>
        <w:t>příjmy státního rozpočtu</w:t>
      </w:r>
      <w:r w:rsidR="00E47966" w:rsidRPr="00E47966">
        <w:rPr>
          <w:rFonts w:ascii="Arial" w:hAnsi="Arial" w:cs="Arial"/>
          <w:bCs/>
          <w:iCs/>
          <w:sz w:val="22"/>
          <w:szCs w:val="22"/>
        </w:rPr>
        <w:t xml:space="preserve"> neodvedlo ve lhůtě 10 pracovních dnů od jejich přijetí</w:t>
      </w:r>
      <w:r w:rsidR="00DE0C60">
        <w:rPr>
          <w:rFonts w:ascii="Arial" w:hAnsi="Arial" w:cs="Arial"/>
          <w:bCs/>
          <w:iCs/>
          <w:sz w:val="22"/>
          <w:szCs w:val="22"/>
        </w:rPr>
        <w:t xml:space="preserve"> do státního rozpočtu</w:t>
      </w:r>
      <w:r>
        <w:rPr>
          <w:rFonts w:ascii="Arial" w:hAnsi="Arial" w:cs="Arial"/>
          <w:bCs/>
          <w:iCs/>
          <w:sz w:val="22"/>
          <w:szCs w:val="22"/>
        </w:rPr>
        <w:t>, což je v rozporu s § 4</w:t>
      </w:r>
      <w:r w:rsidR="0086271F">
        <w:rPr>
          <w:rFonts w:ascii="Arial" w:hAnsi="Arial" w:cs="Arial"/>
          <w:bCs/>
          <w:iCs/>
          <w:sz w:val="22"/>
          <w:szCs w:val="22"/>
        </w:rPr>
        <w:t>5 odst. 10 tohoto zákona.</w:t>
      </w:r>
    </w:p>
    <w:p w:rsidR="000636C8" w:rsidRDefault="000636C8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770FF" w:rsidRPr="002770FF" w:rsidRDefault="002770FF" w:rsidP="002770F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770FF">
        <w:rPr>
          <w:rFonts w:ascii="Arial" w:hAnsi="Arial" w:cs="Arial"/>
          <w:b/>
          <w:bCs/>
          <w:iCs/>
          <w:sz w:val="22"/>
          <w:szCs w:val="22"/>
        </w:rPr>
        <w:t>Závěrečný účet</w:t>
      </w:r>
    </w:p>
    <w:p w:rsidR="002770FF" w:rsidRPr="002770FF" w:rsidRDefault="002770FF" w:rsidP="002770F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87EFA" w:rsidRDefault="00AC50B3" w:rsidP="003C713A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Při </w:t>
      </w:r>
      <w:r w:rsidR="008C1856">
        <w:rPr>
          <w:rFonts w:ascii="Arial" w:hAnsi="Arial" w:cs="Arial"/>
          <w:bCs/>
          <w:iCs/>
          <w:sz w:val="22"/>
          <w:szCs w:val="22"/>
        </w:rPr>
        <w:t>hodnocení souladu z</w:t>
      </w:r>
      <w:r w:rsidR="002770FF" w:rsidRPr="002770FF">
        <w:rPr>
          <w:rFonts w:ascii="Arial" w:hAnsi="Arial" w:cs="Arial"/>
          <w:bCs/>
          <w:iCs/>
          <w:sz w:val="22"/>
          <w:szCs w:val="22"/>
        </w:rPr>
        <w:t>ávěrečn</w:t>
      </w:r>
      <w:r w:rsidR="008C1856">
        <w:rPr>
          <w:rFonts w:ascii="Arial" w:hAnsi="Arial" w:cs="Arial"/>
          <w:bCs/>
          <w:iCs/>
          <w:sz w:val="22"/>
          <w:szCs w:val="22"/>
        </w:rPr>
        <w:t>ého</w:t>
      </w:r>
      <w:r w:rsidR="002770FF" w:rsidRPr="002770FF">
        <w:rPr>
          <w:rFonts w:ascii="Arial" w:hAnsi="Arial" w:cs="Arial"/>
          <w:bCs/>
          <w:iCs/>
          <w:sz w:val="22"/>
          <w:szCs w:val="22"/>
        </w:rPr>
        <w:t xml:space="preserve"> účt</w:t>
      </w:r>
      <w:r w:rsidR="008C1856">
        <w:rPr>
          <w:rFonts w:ascii="Arial" w:hAnsi="Arial" w:cs="Arial"/>
          <w:bCs/>
          <w:iCs/>
          <w:sz w:val="22"/>
          <w:szCs w:val="22"/>
        </w:rPr>
        <w:t>u</w:t>
      </w:r>
      <w:r w:rsidR="002770FF" w:rsidRPr="002770FF">
        <w:rPr>
          <w:rFonts w:ascii="Arial" w:hAnsi="Arial" w:cs="Arial"/>
          <w:bCs/>
          <w:iCs/>
          <w:sz w:val="22"/>
          <w:szCs w:val="22"/>
        </w:rPr>
        <w:t xml:space="preserve"> kapitoly </w:t>
      </w:r>
      <w:r w:rsidR="00E47966">
        <w:rPr>
          <w:rFonts w:ascii="Arial" w:hAnsi="Arial" w:cs="Arial"/>
          <w:bCs/>
          <w:iCs/>
          <w:sz w:val="22"/>
          <w:szCs w:val="22"/>
        </w:rPr>
        <w:t>329 MZe</w:t>
      </w:r>
      <w:r w:rsidR="008C1856">
        <w:rPr>
          <w:rFonts w:ascii="Arial" w:hAnsi="Arial" w:cs="Arial"/>
          <w:bCs/>
          <w:iCs/>
          <w:sz w:val="22"/>
          <w:szCs w:val="22"/>
        </w:rPr>
        <w:t xml:space="preserve"> s</w:t>
      </w:r>
      <w:r w:rsidR="002E762B">
        <w:rPr>
          <w:rFonts w:ascii="Arial" w:hAnsi="Arial" w:cs="Arial"/>
          <w:bCs/>
          <w:iCs/>
          <w:sz w:val="22"/>
          <w:szCs w:val="22"/>
        </w:rPr>
        <w:t xml:space="preserve"> </w:t>
      </w:r>
      <w:r w:rsidR="002770FF" w:rsidRPr="002770FF">
        <w:rPr>
          <w:rFonts w:ascii="Arial" w:hAnsi="Arial" w:cs="Arial"/>
          <w:bCs/>
          <w:iCs/>
          <w:sz w:val="22"/>
          <w:szCs w:val="22"/>
        </w:rPr>
        <w:t>vyhláškou č. 419/2001 Sb.</w:t>
      </w:r>
      <w:r w:rsidR="000509B8">
        <w:rPr>
          <w:rFonts w:ascii="Arial" w:hAnsi="Arial" w:cs="Arial"/>
          <w:bCs/>
          <w:iCs/>
          <w:sz w:val="22"/>
          <w:szCs w:val="22"/>
        </w:rPr>
        <w:t xml:space="preserve"> </w:t>
      </w:r>
      <w:r w:rsidR="002770FF" w:rsidRPr="002770FF">
        <w:rPr>
          <w:rFonts w:ascii="Arial" w:hAnsi="Arial" w:cs="Arial"/>
          <w:bCs/>
          <w:iCs/>
          <w:sz w:val="22"/>
          <w:szCs w:val="22"/>
        </w:rPr>
        <w:t>byly zjištěny</w:t>
      </w:r>
      <w:r w:rsidR="002F70C7">
        <w:rPr>
          <w:rFonts w:ascii="Arial" w:hAnsi="Arial" w:cs="Arial"/>
          <w:bCs/>
          <w:iCs/>
          <w:sz w:val="22"/>
          <w:szCs w:val="22"/>
        </w:rPr>
        <w:t xml:space="preserve"> </w:t>
      </w:r>
      <w:r w:rsidR="002770FF" w:rsidRPr="002770FF">
        <w:rPr>
          <w:rFonts w:ascii="Arial" w:hAnsi="Arial" w:cs="Arial"/>
          <w:bCs/>
          <w:iCs/>
          <w:sz w:val="22"/>
          <w:szCs w:val="22"/>
        </w:rPr>
        <w:t>drobné nedostatky</w:t>
      </w:r>
      <w:r w:rsidR="008C1856">
        <w:rPr>
          <w:rFonts w:ascii="Arial" w:hAnsi="Arial" w:cs="Arial"/>
          <w:bCs/>
          <w:iCs/>
          <w:sz w:val="22"/>
          <w:szCs w:val="22"/>
        </w:rPr>
        <w:t xml:space="preserve"> v průvodní zprávě</w:t>
      </w:r>
      <w:r w:rsidR="002F70C7">
        <w:rPr>
          <w:rFonts w:ascii="Arial" w:hAnsi="Arial" w:cs="Arial"/>
          <w:bCs/>
          <w:iCs/>
          <w:sz w:val="22"/>
          <w:szCs w:val="22"/>
        </w:rPr>
        <w:t>.</w:t>
      </w:r>
      <w:r w:rsidR="00B01090">
        <w:rPr>
          <w:rFonts w:ascii="Arial" w:hAnsi="Arial" w:cs="Arial"/>
          <w:bCs/>
          <w:iCs/>
          <w:sz w:val="22"/>
          <w:szCs w:val="22"/>
        </w:rPr>
        <w:t xml:space="preserve"> Za závažný nedostatek považuje NKÚ skutečnost, že MZe neuvedlo v průvodní zprávě informace o návratných finančních výpomocích</w:t>
      </w:r>
      <w:r w:rsidR="000E76D1">
        <w:rPr>
          <w:rFonts w:ascii="Arial" w:hAnsi="Arial" w:cs="Arial"/>
          <w:bCs/>
          <w:iCs/>
          <w:sz w:val="22"/>
          <w:szCs w:val="22"/>
        </w:rPr>
        <w:t>. Jejich</w:t>
      </w:r>
      <w:r w:rsidR="00B01090">
        <w:rPr>
          <w:rFonts w:ascii="Arial" w:hAnsi="Arial" w:cs="Arial"/>
          <w:bCs/>
          <w:iCs/>
          <w:sz w:val="22"/>
          <w:szCs w:val="22"/>
        </w:rPr>
        <w:t xml:space="preserve"> stav byl ke konci roku 2013 dle údajů ÚZ M</w:t>
      </w:r>
      <w:r w:rsidR="00E1518E">
        <w:rPr>
          <w:rFonts w:ascii="Arial" w:hAnsi="Arial" w:cs="Arial"/>
          <w:bCs/>
          <w:iCs/>
          <w:sz w:val="22"/>
          <w:szCs w:val="22"/>
        </w:rPr>
        <w:t>Z</w:t>
      </w:r>
      <w:r w:rsidR="00B01090">
        <w:rPr>
          <w:rFonts w:ascii="Arial" w:hAnsi="Arial" w:cs="Arial"/>
          <w:bCs/>
          <w:iCs/>
          <w:sz w:val="22"/>
          <w:szCs w:val="22"/>
        </w:rPr>
        <w:t xml:space="preserve">e ve výši více </w:t>
      </w:r>
      <w:r w:rsidR="00B24C46">
        <w:rPr>
          <w:rFonts w:ascii="Arial" w:hAnsi="Arial" w:cs="Arial"/>
          <w:bCs/>
          <w:iCs/>
          <w:sz w:val="22"/>
          <w:szCs w:val="22"/>
        </w:rPr>
        <w:t>než</w:t>
      </w:r>
      <w:r w:rsidR="00B01090">
        <w:rPr>
          <w:rFonts w:ascii="Arial" w:hAnsi="Arial" w:cs="Arial"/>
          <w:bCs/>
          <w:iCs/>
          <w:sz w:val="22"/>
          <w:szCs w:val="22"/>
        </w:rPr>
        <w:t xml:space="preserve"> 246</w:t>
      </w:r>
      <w:r w:rsidR="00CD7E0C">
        <w:rPr>
          <w:rFonts w:ascii="Arial" w:hAnsi="Arial" w:cs="Arial"/>
          <w:bCs/>
          <w:iCs/>
          <w:sz w:val="22"/>
          <w:szCs w:val="22"/>
        </w:rPr>
        <w:t> </w:t>
      </w:r>
      <w:r w:rsidR="00B01090">
        <w:rPr>
          <w:rFonts w:ascii="Arial" w:hAnsi="Arial" w:cs="Arial"/>
          <w:bCs/>
          <w:iCs/>
          <w:sz w:val="22"/>
          <w:szCs w:val="22"/>
        </w:rPr>
        <w:t>mil.</w:t>
      </w:r>
      <w:r w:rsidR="00CD7E0C">
        <w:rPr>
          <w:rFonts w:ascii="Arial" w:hAnsi="Arial" w:cs="Arial"/>
          <w:bCs/>
          <w:iCs/>
          <w:sz w:val="22"/>
          <w:szCs w:val="22"/>
        </w:rPr>
        <w:t> </w:t>
      </w:r>
      <w:r w:rsidR="00B01090">
        <w:rPr>
          <w:rFonts w:ascii="Arial" w:hAnsi="Arial" w:cs="Arial"/>
          <w:bCs/>
          <w:iCs/>
          <w:sz w:val="22"/>
          <w:szCs w:val="22"/>
        </w:rPr>
        <w:t xml:space="preserve">Kč a </w:t>
      </w:r>
      <w:r w:rsidR="00077908">
        <w:rPr>
          <w:rFonts w:ascii="Arial" w:hAnsi="Arial" w:cs="Arial"/>
          <w:bCs/>
          <w:iCs/>
          <w:sz w:val="22"/>
          <w:szCs w:val="22"/>
        </w:rPr>
        <w:t>vliv snižující hodnotu těchto pohledávek</w:t>
      </w:r>
      <w:r w:rsidR="00B01090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02C7">
        <w:rPr>
          <w:rFonts w:ascii="Arial" w:hAnsi="Arial" w:cs="Arial"/>
          <w:bCs/>
          <w:iCs/>
          <w:sz w:val="22"/>
          <w:szCs w:val="22"/>
        </w:rPr>
        <w:t xml:space="preserve">činil </w:t>
      </w:r>
      <w:r w:rsidR="00B01090">
        <w:rPr>
          <w:rFonts w:ascii="Arial" w:hAnsi="Arial" w:cs="Arial"/>
          <w:bCs/>
          <w:iCs/>
          <w:sz w:val="22"/>
          <w:szCs w:val="22"/>
        </w:rPr>
        <w:t xml:space="preserve">více </w:t>
      </w:r>
      <w:r w:rsidR="00B24C46">
        <w:rPr>
          <w:rFonts w:ascii="Arial" w:hAnsi="Arial" w:cs="Arial"/>
          <w:bCs/>
          <w:iCs/>
          <w:sz w:val="22"/>
          <w:szCs w:val="22"/>
        </w:rPr>
        <w:t>než</w:t>
      </w:r>
      <w:r w:rsidR="00B01090">
        <w:rPr>
          <w:rFonts w:ascii="Arial" w:hAnsi="Arial" w:cs="Arial"/>
          <w:bCs/>
          <w:iCs/>
          <w:sz w:val="22"/>
          <w:szCs w:val="22"/>
        </w:rPr>
        <w:t xml:space="preserve"> 21 mil. Kč.</w:t>
      </w:r>
    </w:p>
    <w:p w:rsidR="00E1518E" w:rsidRDefault="00E1518E" w:rsidP="003C713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87EFA" w:rsidRDefault="00CB6E41" w:rsidP="00D87EFA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Za </w:t>
      </w:r>
      <w:r w:rsidR="00B01090">
        <w:rPr>
          <w:rFonts w:ascii="Arial" w:hAnsi="Arial" w:cs="Arial"/>
          <w:bCs/>
          <w:iCs/>
          <w:sz w:val="22"/>
          <w:szCs w:val="22"/>
        </w:rPr>
        <w:t xml:space="preserve">systémově </w:t>
      </w:r>
      <w:r>
        <w:rPr>
          <w:rFonts w:ascii="Arial" w:hAnsi="Arial" w:cs="Arial"/>
          <w:bCs/>
          <w:iCs/>
          <w:sz w:val="22"/>
          <w:szCs w:val="22"/>
        </w:rPr>
        <w:t>závažnou</w:t>
      </w:r>
      <w:r w:rsidR="00B01090">
        <w:rPr>
          <w:rFonts w:ascii="Arial" w:hAnsi="Arial" w:cs="Arial"/>
          <w:bCs/>
          <w:iCs/>
          <w:sz w:val="22"/>
          <w:szCs w:val="22"/>
        </w:rPr>
        <w:t xml:space="preserve"> pak</w:t>
      </w:r>
      <w:r>
        <w:rPr>
          <w:rFonts w:ascii="Arial" w:hAnsi="Arial" w:cs="Arial"/>
          <w:bCs/>
          <w:iCs/>
          <w:sz w:val="22"/>
          <w:szCs w:val="22"/>
        </w:rPr>
        <w:t xml:space="preserve"> NKÚ </w:t>
      </w:r>
      <w:r w:rsidR="000636C8">
        <w:rPr>
          <w:rFonts w:ascii="Arial" w:hAnsi="Arial" w:cs="Arial"/>
          <w:bCs/>
          <w:iCs/>
          <w:sz w:val="22"/>
          <w:szCs w:val="22"/>
        </w:rPr>
        <w:t xml:space="preserve">považuje </w:t>
      </w:r>
      <w:r>
        <w:rPr>
          <w:rFonts w:ascii="Arial" w:hAnsi="Arial" w:cs="Arial"/>
          <w:bCs/>
          <w:iCs/>
          <w:sz w:val="22"/>
          <w:szCs w:val="22"/>
        </w:rPr>
        <w:t>skutečnost, že</w:t>
      </w:r>
      <w:r w:rsidR="00B01090">
        <w:rPr>
          <w:rFonts w:ascii="Arial" w:hAnsi="Arial" w:cs="Arial"/>
          <w:bCs/>
          <w:iCs/>
          <w:sz w:val="22"/>
          <w:szCs w:val="22"/>
        </w:rPr>
        <w:t xml:space="preserve"> v souladu s obecně závaznými právními předpisy nejsou od roku 2012</w:t>
      </w:r>
      <w:r>
        <w:rPr>
          <w:rFonts w:ascii="Arial" w:hAnsi="Arial" w:cs="Arial"/>
          <w:bCs/>
          <w:iCs/>
          <w:sz w:val="22"/>
          <w:szCs w:val="22"/>
        </w:rPr>
        <w:t xml:space="preserve"> s</w:t>
      </w:r>
      <w:r w:rsidR="003C713A">
        <w:rPr>
          <w:rFonts w:ascii="Arial" w:hAnsi="Arial" w:cs="Arial"/>
          <w:bCs/>
          <w:iCs/>
          <w:sz w:val="22"/>
          <w:szCs w:val="22"/>
        </w:rPr>
        <w:t xml:space="preserve">umáře účetních závěrek za kapitolu státního rozpočtu </w:t>
      </w:r>
      <w:r w:rsidR="008C1856">
        <w:rPr>
          <w:rFonts w:ascii="Arial" w:hAnsi="Arial" w:cs="Arial"/>
          <w:bCs/>
          <w:iCs/>
          <w:sz w:val="22"/>
          <w:szCs w:val="22"/>
        </w:rPr>
        <w:t>povinn</w:t>
      </w:r>
      <w:r w:rsidR="00B01090">
        <w:rPr>
          <w:rFonts w:ascii="Arial" w:hAnsi="Arial" w:cs="Arial"/>
          <w:bCs/>
          <w:iCs/>
          <w:sz w:val="22"/>
          <w:szCs w:val="22"/>
        </w:rPr>
        <w:t>ou</w:t>
      </w:r>
      <w:r w:rsidR="003C713A">
        <w:rPr>
          <w:rFonts w:ascii="Arial" w:hAnsi="Arial" w:cs="Arial"/>
          <w:bCs/>
          <w:iCs/>
          <w:sz w:val="22"/>
          <w:szCs w:val="22"/>
        </w:rPr>
        <w:t xml:space="preserve"> p</w:t>
      </w:r>
      <w:r w:rsidR="003C713A" w:rsidRPr="00E44E8A">
        <w:rPr>
          <w:rFonts w:ascii="Arial" w:hAnsi="Arial" w:cs="Arial"/>
          <w:bCs/>
          <w:iCs/>
          <w:sz w:val="22"/>
          <w:szCs w:val="22"/>
        </w:rPr>
        <w:t>říloh</w:t>
      </w:r>
      <w:r w:rsidR="00B01090">
        <w:rPr>
          <w:rFonts w:ascii="Arial" w:hAnsi="Arial" w:cs="Arial"/>
          <w:bCs/>
          <w:iCs/>
          <w:sz w:val="22"/>
          <w:szCs w:val="22"/>
        </w:rPr>
        <w:t>ou</w:t>
      </w:r>
      <w:r w:rsidR="003C713A" w:rsidRPr="00E44E8A">
        <w:rPr>
          <w:rFonts w:ascii="Arial" w:hAnsi="Arial" w:cs="Arial"/>
          <w:bCs/>
          <w:iCs/>
          <w:sz w:val="22"/>
          <w:szCs w:val="22"/>
        </w:rPr>
        <w:t xml:space="preserve"> závěrečného účtu</w:t>
      </w:r>
      <w:r w:rsidR="003C713A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 xml:space="preserve"> Informace z účetních závěrek, ať agregované nebo konsolidované,</w:t>
      </w:r>
      <w:r w:rsidR="008C1856">
        <w:rPr>
          <w:rFonts w:ascii="Arial" w:hAnsi="Arial" w:cs="Arial"/>
          <w:bCs/>
          <w:iCs/>
          <w:sz w:val="22"/>
          <w:szCs w:val="22"/>
        </w:rPr>
        <w:t xml:space="preserve"> tak</w:t>
      </w:r>
      <w:r>
        <w:rPr>
          <w:rFonts w:ascii="Arial" w:hAnsi="Arial" w:cs="Arial"/>
          <w:bCs/>
          <w:iCs/>
          <w:sz w:val="22"/>
          <w:szCs w:val="22"/>
        </w:rPr>
        <w:t xml:space="preserve"> nejsou součástí </w:t>
      </w:r>
      <w:r w:rsidR="0048756C">
        <w:rPr>
          <w:rFonts w:ascii="Arial" w:hAnsi="Arial" w:cs="Arial"/>
          <w:bCs/>
          <w:iCs/>
          <w:sz w:val="22"/>
          <w:szCs w:val="22"/>
        </w:rPr>
        <w:t>výsledné zprávy o hospodaření za uplynulý rozpočtový rok, které</w:t>
      </w:r>
      <w:r w:rsidR="009F632D">
        <w:rPr>
          <w:rFonts w:ascii="Arial" w:hAnsi="Arial" w:cs="Arial"/>
          <w:bCs/>
          <w:iCs/>
          <w:sz w:val="22"/>
          <w:szCs w:val="22"/>
        </w:rPr>
        <w:t xml:space="preserve"> touto stanovenou formou</w:t>
      </w:r>
      <w:r w:rsidR="0048756C">
        <w:rPr>
          <w:rFonts w:ascii="Arial" w:hAnsi="Arial" w:cs="Arial"/>
          <w:bCs/>
          <w:iCs/>
          <w:sz w:val="22"/>
          <w:szCs w:val="22"/>
        </w:rPr>
        <w:t xml:space="preserve"> podávají správc</w:t>
      </w:r>
      <w:r w:rsidR="009F632D">
        <w:rPr>
          <w:rFonts w:ascii="Arial" w:hAnsi="Arial" w:cs="Arial"/>
          <w:bCs/>
          <w:iCs/>
          <w:sz w:val="22"/>
          <w:szCs w:val="22"/>
        </w:rPr>
        <w:t>i</w:t>
      </w:r>
      <w:r w:rsidR="0048756C">
        <w:rPr>
          <w:rFonts w:ascii="Arial" w:hAnsi="Arial" w:cs="Arial"/>
          <w:bCs/>
          <w:iCs/>
          <w:sz w:val="22"/>
          <w:szCs w:val="22"/>
        </w:rPr>
        <w:t xml:space="preserve"> jednotlivých </w:t>
      </w:r>
      <w:r>
        <w:rPr>
          <w:rFonts w:ascii="Arial" w:hAnsi="Arial" w:cs="Arial"/>
          <w:bCs/>
          <w:iCs/>
          <w:sz w:val="22"/>
          <w:szCs w:val="22"/>
        </w:rPr>
        <w:t>kapitol státního rozpočtu</w:t>
      </w:r>
      <w:r w:rsidR="009F632D">
        <w:rPr>
          <w:rFonts w:ascii="Arial" w:hAnsi="Arial" w:cs="Arial"/>
          <w:bCs/>
          <w:iCs/>
          <w:sz w:val="22"/>
          <w:szCs w:val="22"/>
        </w:rPr>
        <w:t>.</w:t>
      </w:r>
      <w:r w:rsidR="00D87EFA">
        <w:rPr>
          <w:rFonts w:ascii="Arial" w:hAnsi="Arial" w:cs="Arial"/>
          <w:bCs/>
          <w:iCs/>
          <w:sz w:val="22"/>
          <w:szCs w:val="22"/>
        </w:rPr>
        <w:t xml:space="preserve"> Tím</w:t>
      </w:r>
      <w:r w:rsidR="00D87EFA" w:rsidRPr="00D87EFA">
        <w:rPr>
          <w:rFonts w:ascii="Arial" w:hAnsi="Arial" w:cs="Arial"/>
          <w:bCs/>
          <w:iCs/>
          <w:sz w:val="22"/>
          <w:szCs w:val="22"/>
        </w:rPr>
        <w:t xml:space="preserve"> </w:t>
      </w:r>
      <w:r w:rsidR="00D87EFA">
        <w:rPr>
          <w:rFonts w:ascii="Arial" w:hAnsi="Arial" w:cs="Arial"/>
          <w:bCs/>
          <w:iCs/>
          <w:sz w:val="22"/>
          <w:szCs w:val="22"/>
        </w:rPr>
        <w:t>jsou uživatelé připraveni o důležitý zdroj informací o hospodaření kapitol státního rozpočtu jako celku</w:t>
      </w:r>
      <w:r w:rsidR="006F526E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36"/>
      </w:r>
      <w:r w:rsidR="00D87EFA">
        <w:rPr>
          <w:rFonts w:ascii="Arial" w:hAnsi="Arial" w:cs="Arial"/>
          <w:bCs/>
          <w:iCs/>
          <w:sz w:val="22"/>
          <w:szCs w:val="22"/>
        </w:rPr>
        <w:t>.</w:t>
      </w:r>
    </w:p>
    <w:p w:rsidR="00077908" w:rsidRDefault="00077908" w:rsidP="00D87EF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323035" w:rsidRDefault="00CB6E41" w:rsidP="003C713A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Na příkladu</w:t>
      </w:r>
      <w:r w:rsidR="003C713A" w:rsidRPr="00E44E8A">
        <w:rPr>
          <w:rFonts w:ascii="Arial" w:hAnsi="Arial" w:cs="Arial"/>
          <w:bCs/>
          <w:iCs/>
          <w:sz w:val="22"/>
          <w:szCs w:val="22"/>
        </w:rPr>
        <w:t xml:space="preserve"> ocenění majetkových účastí</w:t>
      </w:r>
      <w:r>
        <w:rPr>
          <w:rFonts w:ascii="Arial" w:hAnsi="Arial" w:cs="Arial"/>
          <w:bCs/>
          <w:iCs/>
          <w:sz w:val="22"/>
          <w:szCs w:val="22"/>
        </w:rPr>
        <w:t xml:space="preserve"> státu v obchodních společnostech je možné demonstrovat, že údaje uvedené v</w:t>
      </w:r>
      <w:r w:rsidR="003C713A" w:rsidRPr="00E44E8A">
        <w:rPr>
          <w:rFonts w:ascii="Arial" w:hAnsi="Arial" w:cs="Arial"/>
          <w:bCs/>
          <w:iCs/>
          <w:sz w:val="22"/>
          <w:szCs w:val="22"/>
        </w:rPr>
        <w:t xml:space="preserve"> závěrečném účtu</w:t>
      </w:r>
      <w:r w:rsidR="00822329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37"/>
      </w:r>
      <w:r>
        <w:rPr>
          <w:rFonts w:ascii="Arial" w:hAnsi="Arial" w:cs="Arial"/>
          <w:bCs/>
          <w:iCs/>
          <w:sz w:val="22"/>
          <w:szCs w:val="22"/>
        </w:rPr>
        <w:t xml:space="preserve"> se mohou lišit od údajů</w:t>
      </w:r>
      <w:r w:rsidR="003C713A" w:rsidRPr="00E44E8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(</w:t>
      </w:r>
      <w:r w:rsidR="003C713A" w:rsidRPr="00E44E8A">
        <w:rPr>
          <w:rFonts w:ascii="Arial" w:hAnsi="Arial" w:cs="Arial"/>
          <w:bCs/>
          <w:iCs/>
          <w:sz w:val="22"/>
          <w:szCs w:val="22"/>
        </w:rPr>
        <w:t>ocenění</w:t>
      </w:r>
      <w:r>
        <w:rPr>
          <w:rFonts w:ascii="Arial" w:hAnsi="Arial" w:cs="Arial"/>
          <w:bCs/>
          <w:iCs/>
          <w:sz w:val="22"/>
          <w:szCs w:val="22"/>
        </w:rPr>
        <w:t>)</w:t>
      </w:r>
      <w:r w:rsidR="004B1E8A">
        <w:rPr>
          <w:rFonts w:ascii="Arial" w:hAnsi="Arial" w:cs="Arial"/>
          <w:bCs/>
          <w:iCs/>
          <w:sz w:val="22"/>
          <w:szCs w:val="22"/>
        </w:rPr>
        <w:t xml:space="preserve"> v </w:t>
      </w:r>
      <w:r w:rsidR="003C713A" w:rsidRPr="00E44E8A">
        <w:rPr>
          <w:rFonts w:ascii="Arial" w:hAnsi="Arial" w:cs="Arial"/>
          <w:bCs/>
          <w:iCs/>
          <w:sz w:val="22"/>
          <w:szCs w:val="22"/>
        </w:rPr>
        <w:t>účetní závěrce,</w:t>
      </w:r>
      <w:r>
        <w:rPr>
          <w:rFonts w:ascii="Arial" w:hAnsi="Arial" w:cs="Arial"/>
          <w:bCs/>
          <w:iCs/>
          <w:sz w:val="22"/>
          <w:szCs w:val="22"/>
        </w:rPr>
        <w:t xml:space="preserve"> aniž by to bylo možné hodnotit jako porušení vyhlášky č. 419/2001 Sb. Takové skutečnosti</w:t>
      </w:r>
      <w:r w:rsidR="003C713A" w:rsidRPr="00E44E8A">
        <w:rPr>
          <w:rFonts w:ascii="Arial" w:hAnsi="Arial" w:cs="Arial"/>
          <w:bCs/>
          <w:iCs/>
          <w:sz w:val="22"/>
          <w:szCs w:val="22"/>
        </w:rPr>
        <w:t xml:space="preserve"> snižuj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3C713A" w:rsidRPr="00E44E8A">
        <w:rPr>
          <w:rFonts w:ascii="Arial" w:hAnsi="Arial" w:cs="Arial"/>
          <w:bCs/>
          <w:iCs/>
          <w:sz w:val="22"/>
          <w:szCs w:val="22"/>
        </w:rPr>
        <w:t xml:space="preserve"> vypovídací schopnost</w:t>
      </w:r>
      <w:r w:rsidR="003C713A">
        <w:rPr>
          <w:rFonts w:ascii="Arial" w:hAnsi="Arial" w:cs="Arial"/>
          <w:bCs/>
          <w:iCs/>
          <w:sz w:val="22"/>
          <w:szCs w:val="22"/>
        </w:rPr>
        <w:t xml:space="preserve"> </w:t>
      </w:r>
      <w:r w:rsidR="003C713A" w:rsidRPr="00E44E8A">
        <w:rPr>
          <w:rFonts w:ascii="Arial" w:hAnsi="Arial" w:cs="Arial"/>
          <w:bCs/>
          <w:iCs/>
          <w:sz w:val="22"/>
          <w:szCs w:val="22"/>
        </w:rPr>
        <w:t>informací</w:t>
      </w:r>
      <w:r w:rsidR="003C713A">
        <w:rPr>
          <w:rFonts w:ascii="Arial" w:hAnsi="Arial" w:cs="Arial"/>
          <w:bCs/>
          <w:iCs/>
          <w:sz w:val="22"/>
          <w:szCs w:val="22"/>
        </w:rPr>
        <w:t xml:space="preserve"> uvedených v závěrečném účtu</w:t>
      </w:r>
      <w:r w:rsidR="00124A20">
        <w:rPr>
          <w:rFonts w:ascii="Arial" w:hAnsi="Arial" w:cs="Arial"/>
          <w:bCs/>
          <w:iCs/>
          <w:sz w:val="22"/>
          <w:szCs w:val="22"/>
        </w:rPr>
        <w:t>.</w:t>
      </w:r>
      <w:r w:rsidR="00323035">
        <w:rPr>
          <w:rFonts w:ascii="Arial" w:hAnsi="Arial" w:cs="Arial"/>
          <w:bCs/>
          <w:iCs/>
          <w:sz w:val="22"/>
          <w:szCs w:val="22"/>
        </w:rPr>
        <w:t xml:space="preserve"> </w:t>
      </w:r>
      <w:r w:rsidR="001C4AEF">
        <w:rPr>
          <w:rFonts w:ascii="Arial" w:hAnsi="Arial" w:cs="Arial"/>
          <w:bCs/>
          <w:iCs/>
          <w:sz w:val="22"/>
          <w:szCs w:val="22"/>
        </w:rPr>
        <w:t>Ze</w:t>
      </w:r>
      <w:r w:rsidR="00531A2E">
        <w:rPr>
          <w:rFonts w:ascii="Arial" w:hAnsi="Arial" w:cs="Arial"/>
          <w:bCs/>
          <w:iCs/>
          <w:sz w:val="22"/>
          <w:szCs w:val="22"/>
        </w:rPr>
        <w:t xml:space="preserve"> zveřejněného návrhu ústavního zákona o rozpočtové odpovědnosti</w:t>
      </w:r>
      <w:r w:rsidR="00531A2E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38"/>
      </w:r>
      <w:r w:rsidR="00531A2E">
        <w:rPr>
          <w:rFonts w:ascii="Arial" w:hAnsi="Arial" w:cs="Arial"/>
          <w:bCs/>
          <w:iCs/>
          <w:sz w:val="22"/>
          <w:szCs w:val="22"/>
        </w:rPr>
        <w:t xml:space="preserve"> je zřejmé, že majetkové účasti státu v obchodních společnostech jsou</w:t>
      </w:r>
      <w:r w:rsidR="00AC283A">
        <w:rPr>
          <w:rFonts w:ascii="Arial" w:hAnsi="Arial" w:cs="Arial"/>
          <w:bCs/>
          <w:iCs/>
          <w:sz w:val="22"/>
          <w:szCs w:val="22"/>
        </w:rPr>
        <w:t xml:space="preserve"> přitom</w:t>
      </w:r>
      <w:r w:rsidR="00531A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B01A8">
        <w:rPr>
          <w:rFonts w:ascii="Arial" w:hAnsi="Arial" w:cs="Arial"/>
          <w:bCs/>
          <w:iCs/>
          <w:sz w:val="22"/>
          <w:szCs w:val="22"/>
        </w:rPr>
        <w:t>jednou z důležitých</w:t>
      </w:r>
      <w:r w:rsidR="00531A2E">
        <w:rPr>
          <w:rFonts w:ascii="Arial" w:hAnsi="Arial" w:cs="Arial"/>
          <w:bCs/>
          <w:iCs/>
          <w:sz w:val="22"/>
          <w:szCs w:val="22"/>
        </w:rPr>
        <w:t xml:space="preserve"> informací</w:t>
      </w:r>
      <w:r w:rsidR="006B01A8">
        <w:rPr>
          <w:rFonts w:ascii="Arial" w:hAnsi="Arial" w:cs="Arial"/>
          <w:bCs/>
          <w:iCs/>
          <w:sz w:val="22"/>
          <w:szCs w:val="22"/>
        </w:rPr>
        <w:t xml:space="preserve">, která je určena </w:t>
      </w:r>
      <w:r w:rsidR="00531A2E">
        <w:rPr>
          <w:rFonts w:ascii="Arial" w:hAnsi="Arial" w:cs="Arial"/>
          <w:bCs/>
          <w:iCs/>
          <w:sz w:val="22"/>
          <w:szCs w:val="22"/>
        </w:rPr>
        <w:t>ke zveřejnění</w:t>
      </w:r>
      <w:r w:rsidR="00C7308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31A2E">
        <w:rPr>
          <w:rFonts w:ascii="Arial" w:hAnsi="Arial" w:cs="Arial"/>
          <w:bCs/>
          <w:iCs/>
          <w:sz w:val="22"/>
          <w:szCs w:val="22"/>
        </w:rPr>
        <w:t>i podle požadavků Evropské unie.</w:t>
      </w:r>
    </w:p>
    <w:p w:rsidR="00323035" w:rsidRDefault="00323035" w:rsidP="003C713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53967" w:rsidRPr="00B53967" w:rsidRDefault="00B53967" w:rsidP="003C713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B53967">
        <w:rPr>
          <w:rFonts w:ascii="Arial" w:hAnsi="Arial" w:cs="Arial"/>
          <w:b/>
          <w:bCs/>
          <w:iCs/>
          <w:sz w:val="22"/>
          <w:szCs w:val="22"/>
        </w:rPr>
        <w:t xml:space="preserve">Transparentnost a účetní odpovědnost </w:t>
      </w:r>
    </w:p>
    <w:p w:rsidR="00B53967" w:rsidRDefault="00B53967" w:rsidP="003C713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92EA7" w:rsidRDefault="00703B6B" w:rsidP="003C713A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</w:t>
      </w:r>
      <w:r w:rsidR="006C293E">
        <w:rPr>
          <w:rFonts w:ascii="Arial" w:hAnsi="Arial" w:cs="Arial"/>
          <w:bCs/>
          <w:iCs/>
          <w:sz w:val="22"/>
          <w:szCs w:val="22"/>
        </w:rPr>
        <w:t>ak vyplývá z důvodové zprávy k</w:t>
      </w:r>
      <w:r w:rsidR="007D0935">
        <w:rPr>
          <w:rFonts w:ascii="Arial" w:hAnsi="Arial" w:cs="Arial"/>
          <w:bCs/>
          <w:iCs/>
          <w:sz w:val="22"/>
          <w:szCs w:val="22"/>
        </w:rPr>
        <w:t> </w:t>
      </w:r>
      <w:r w:rsidR="00AC283A">
        <w:rPr>
          <w:rFonts w:ascii="Arial" w:hAnsi="Arial" w:cs="Arial"/>
          <w:bCs/>
          <w:iCs/>
          <w:sz w:val="22"/>
          <w:szCs w:val="22"/>
        </w:rPr>
        <w:t>návrhu</w:t>
      </w:r>
      <w:r w:rsidR="007D0935">
        <w:rPr>
          <w:rFonts w:ascii="Arial" w:hAnsi="Arial" w:cs="Arial"/>
          <w:bCs/>
          <w:iCs/>
          <w:sz w:val="22"/>
          <w:szCs w:val="22"/>
        </w:rPr>
        <w:t xml:space="preserve"> ústavního</w:t>
      </w:r>
      <w:r w:rsidR="00AC283A">
        <w:rPr>
          <w:rFonts w:ascii="Arial" w:hAnsi="Arial" w:cs="Arial"/>
          <w:bCs/>
          <w:iCs/>
          <w:sz w:val="22"/>
          <w:szCs w:val="22"/>
        </w:rPr>
        <w:t xml:space="preserve"> </w:t>
      </w:r>
      <w:r w:rsidR="006C293E">
        <w:rPr>
          <w:rFonts w:ascii="Arial" w:hAnsi="Arial" w:cs="Arial"/>
          <w:bCs/>
          <w:iCs/>
          <w:sz w:val="22"/>
          <w:szCs w:val="22"/>
        </w:rPr>
        <w:t>zákona</w:t>
      </w:r>
      <w:r w:rsidR="00B53967">
        <w:rPr>
          <w:rFonts w:ascii="Arial" w:hAnsi="Arial" w:cs="Arial"/>
          <w:bCs/>
          <w:iCs/>
          <w:sz w:val="22"/>
          <w:szCs w:val="22"/>
        </w:rPr>
        <w:t xml:space="preserve"> o rozpočtové odpovědnosti</w:t>
      </w:r>
      <w:r w:rsidR="006C293E">
        <w:rPr>
          <w:rFonts w:ascii="Arial" w:hAnsi="Arial" w:cs="Arial"/>
          <w:bCs/>
          <w:iCs/>
          <w:sz w:val="22"/>
          <w:szCs w:val="22"/>
        </w:rPr>
        <w:t>, j</w:t>
      </w:r>
      <w:r>
        <w:rPr>
          <w:rFonts w:ascii="Arial" w:hAnsi="Arial" w:cs="Arial"/>
          <w:bCs/>
          <w:iCs/>
          <w:sz w:val="22"/>
          <w:szCs w:val="22"/>
        </w:rPr>
        <w:t xml:space="preserve">edním z prvků </w:t>
      </w:r>
      <w:r w:rsidR="00AC283A">
        <w:rPr>
          <w:rFonts w:ascii="Arial" w:hAnsi="Arial" w:cs="Arial"/>
          <w:bCs/>
          <w:iCs/>
          <w:sz w:val="22"/>
          <w:szCs w:val="22"/>
        </w:rPr>
        <w:t>odpovědnosti j</w:t>
      </w:r>
      <w:r w:rsidR="00B53967">
        <w:rPr>
          <w:rFonts w:ascii="Arial" w:hAnsi="Arial" w:cs="Arial"/>
          <w:bCs/>
          <w:iCs/>
          <w:sz w:val="22"/>
          <w:szCs w:val="22"/>
        </w:rPr>
        <w:t xml:space="preserve">e </w:t>
      </w:r>
      <w:r>
        <w:rPr>
          <w:rFonts w:ascii="Arial" w:hAnsi="Arial" w:cs="Arial"/>
          <w:bCs/>
          <w:iCs/>
          <w:sz w:val="22"/>
          <w:szCs w:val="22"/>
        </w:rPr>
        <w:t xml:space="preserve">i transparentnost. </w:t>
      </w:r>
      <w:r w:rsidR="006C293E">
        <w:rPr>
          <w:rFonts w:ascii="Arial" w:hAnsi="Arial" w:cs="Arial"/>
          <w:bCs/>
          <w:iCs/>
          <w:sz w:val="22"/>
          <w:szCs w:val="22"/>
        </w:rPr>
        <w:t>T</w:t>
      </w:r>
      <w:r w:rsidR="00AC283A">
        <w:rPr>
          <w:rFonts w:ascii="Arial" w:hAnsi="Arial" w:cs="Arial"/>
          <w:bCs/>
          <w:iCs/>
          <w:sz w:val="22"/>
          <w:szCs w:val="22"/>
        </w:rPr>
        <w:t>a by měla být zvyšována mezinárodní</w:t>
      </w:r>
      <w:r w:rsidR="006C293E">
        <w:rPr>
          <w:rFonts w:ascii="Arial" w:hAnsi="Arial" w:cs="Arial"/>
          <w:bCs/>
          <w:iCs/>
          <w:sz w:val="22"/>
          <w:szCs w:val="22"/>
        </w:rPr>
        <w:t xml:space="preserve"> h</w:t>
      </w:r>
      <w:r>
        <w:rPr>
          <w:rFonts w:ascii="Arial" w:hAnsi="Arial" w:cs="Arial"/>
          <w:bCs/>
          <w:iCs/>
          <w:sz w:val="22"/>
          <w:szCs w:val="22"/>
        </w:rPr>
        <w:t>armoniz</w:t>
      </w:r>
      <w:r w:rsidR="00AC283A">
        <w:rPr>
          <w:rFonts w:ascii="Arial" w:hAnsi="Arial" w:cs="Arial"/>
          <w:bCs/>
          <w:iCs/>
          <w:sz w:val="22"/>
          <w:szCs w:val="22"/>
        </w:rPr>
        <w:t>ací</w:t>
      </w:r>
      <w:r>
        <w:rPr>
          <w:rFonts w:ascii="Arial" w:hAnsi="Arial" w:cs="Arial"/>
          <w:bCs/>
          <w:iCs/>
          <w:sz w:val="22"/>
          <w:szCs w:val="22"/>
        </w:rPr>
        <w:t xml:space="preserve"> vládní</w:t>
      </w:r>
      <w:r w:rsidR="00AC283A">
        <w:rPr>
          <w:rFonts w:ascii="Arial" w:hAnsi="Arial" w:cs="Arial"/>
          <w:bCs/>
          <w:iCs/>
          <w:sz w:val="22"/>
          <w:szCs w:val="22"/>
        </w:rPr>
        <w:t>ho</w:t>
      </w:r>
      <w:r>
        <w:rPr>
          <w:rFonts w:ascii="Arial" w:hAnsi="Arial" w:cs="Arial"/>
          <w:bCs/>
          <w:iCs/>
          <w:sz w:val="22"/>
          <w:szCs w:val="22"/>
        </w:rPr>
        <w:t xml:space="preserve"> účetnictví na akruální bázi</w:t>
      </w:r>
      <w:r w:rsidR="006C293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a</w:t>
      </w:r>
      <w:r w:rsidR="006C293E">
        <w:rPr>
          <w:rFonts w:ascii="Arial" w:hAnsi="Arial" w:cs="Arial"/>
          <w:bCs/>
          <w:iCs/>
          <w:sz w:val="22"/>
          <w:szCs w:val="22"/>
        </w:rPr>
        <w:t xml:space="preserve"> tím i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AC283A">
        <w:rPr>
          <w:rFonts w:ascii="Arial" w:hAnsi="Arial" w:cs="Arial"/>
          <w:bCs/>
          <w:iCs/>
          <w:sz w:val="22"/>
          <w:szCs w:val="22"/>
        </w:rPr>
        <w:t xml:space="preserve">zlepšována </w:t>
      </w:r>
      <w:r>
        <w:rPr>
          <w:rFonts w:ascii="Arial" w:hAnsi="Arial" w:cs="Arial"/>
          <w:bCs/>
          <w:iCs/>
          <w:sz w:val="22"/>
          <w:szCs w:val="22"/>
        </w:rPr>
        <w:t xml:space="preserve">srovnatelnost </w:t>
      </w:r>
      <w:r w:rsidR="006C293E">
        <w:rPr>
          <w:rFonts w:ascii="Arial" w:hAnsi="Arial" w:cs="Arial"/>
          <w:bCs/>
          <w:iCs/>
          <w:sz w:val="22"/>
          <w:szCs w:val="22"/>
        </w:rPr>
        <w:t>údajů</w:t>
      </w:r>
      <w:r>
        <w:rPr>
          <w:rFonts w:ascii="Arial" w:hAnsi="Arial" w:cs="Arial"/>
          <w:bCs/>
          <w:iCs/>
          <w:sz w:val="22"/>
          <w:szCs w:val="22"/>
        </w:rPr>
        <w:t xml:space="preserve"> ve veřejném sektoru.</w:t>
      </w:r>
      <w:r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39"/>
      </w:r>
    </w:p>
    <w:p w:rsidR="00D92EA7" w:rsidRDefault="00D92EA7" w:rsidP="003C713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31A2E" w:rsidRDefault="00C73085" w:rsidP="003C713A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Obecně je nutné transparentnost </w:t>
      </w:r>
      <w:r w:rsidR="00FC71B7">
        <w:rPr>
          <w:rFonts w:ascii="Arial" w:hAnsi="Arial" w:cs="Arial"/>
          <w:bCs/>
          <w:iCs/>
          <w:sz w:val="22"/>
          <w:szCs w:val="22"/>
        </w:rPr>
        <w:t>chápat</w:t>
      </w:r>
      <w:r>
        <w:rPr>
          <w:rFonts w:ascii="Arial" w:hAnsi="Arial" w:cs="Arial"/>
          <w:bCs/>
          <w:iCs/>
          <w:sz w:val="22"/>
          <w:szCs w:val="22"/>
        </w:rPr>
        <w:t xml:space="preserve"> nejen ve smyslu zveřejňování údajů, ale také ve smyslu transparentnosti jednotlivých procesů veřejné správy. </w:t>
      </w:r>
      <w:r w:rsidR="00F70C86">
        <w:rPr>
          <w:rFonts w:ascii="Arial" w:hAnsi="Arial" w:cs="Arial"/>
          <w:bCs/>
          <w:iCs/>
          <w:sz w:val="22"/>
          <w:szCs w:val="22"/>
        </w:rPr>
        <w:t xml:space="preserve">Při </w:t>
      </w:r>
      <w:r>
        <w:rPr>
          <w:rFonts w:ascii="Arial" w:hAnsi="Arial" w:cs="Arial"/>
          <w:bCs/>
          <w:iCs/>
          <w:sz w:val="22"/>
          <w:szCs w:val="22"/>
        </w:rPr>
        <w:t>plánované</w:t>
      </w:r>
      <w:r w:rsidR="00F70C86">
        <w:rPr>
          <w:rFonts w:ascii="Arial" w:hAnsi="Arial" w:cs="Arial"/>
          <w:bCs/>
          <w:iCs/>
          <w:sz w:val="22"/>
          <w:szCs w:val="22"/>
        </w:rPr>
        <w:t>m</w:t>
      </w:r>
      <w:r w:rsidR="00AC283A">
        <w:rPr>
          <w:rFonts w:ascii="Arial" w:hAnsi="Arial" w:cs="Arial"/>
          <w:bCs/>
          <w:iCs/>
          <w:sz w:val="22"/>
          <w:szCs w:val="22"/>
        </w:rPr>
        <w:t xml:space="preserve"> </w:t>
      </w:r>
      <w:r w:rsidR="00F70C86">
        <w:rPr>
          <w:rFonts w:ascii="Arial" w:hAnsi="Arial" w:cs="Arial"/>
          <w:bCs/>
          <w:iCs/>
          <w:sz w:val="22"/>
          <w:szCs w:val="22"/>
        </w:rPr>
        <w:t>stanovení</w:t>
      </w:r>
      <w:r>
        <w:rPr>
          <w:rFonts w:ascii="Arial" w:hAnsi="Arial" w:cs="Arial"/>
          <w:bCs/>
          <w:iCs/>
          <w:sz w:val="22"/>
          <w:szCs w:val="22"/>
        </w:rPr>
        <w:t xml:space="preserve"> závazných standardů</w:t>
      </w:r>
      <w:r w:rsidR="00F81917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40"/>
      </w:r>
      <w:r>
        <w:rPr>
          <w:rFonts w:ascii="Arial" w:hAnsi="Arial" w:cs="Arial"/>
          <w:bCs/>
          <w:iCs/>
          <w:sz w:val="22"/>
          <w:szCs w:val="22"/>
        </w:rPr>
        <w:t xml:space="preserve"> pro přímý výkon státní správy</w:t>
      </w:r>
      <w:r w:rsidR="00F70C86">
        <w:rPr>
          <w:rFonts w:ascii="Arial" w:hAnsi="Arial" w:cs="Arial"/>
          <w:bCs/>
          <w:iCs/>
          <w:sz w:val="22"/>
          <w:szCs w:val="22"/>
        </w:rPr>
        <w:t xml:space="preserve"> by</w:t>
      </w:r>
      <w:r w:rsidR="00BE3B8A">
        <w:rPr>
          <w:rFonts w:ascii="Arial" w:hAnsi="Arial" w:cs="Arial"/>
          <w:bCs/>
          <w:iCs/>
          <w:sz w:val="22"/>
          <w:szCs w:val="22"/>
        </w:rPr>
        <w:t xml:space="preserve"> </w:t>
      </w:r>
      <w:r w:rsidR="00F70C86">
        <w:rPr>
          <w:rFonts w:ascii="Arial" w:hAnsi="Arial" w:cs="Arial"/>
          <w:bCs/>
          <w:iCs/>
          <w:sz w:val="22"/>
          <w:szCs w:val="22"/>
        </w:rPr>
        <w:t>východiskem pro definování</w:t>
      </w:r>
      <w:r w:rsidR="00BE3B8A">
        <w:rPr>
          <w:rFonts w:ascii="Arial" w:hAnsi="Arial" w:cs="Arial"/>
          <w:bCs/>
          <w:iCs/>
          <w:sz w:val="22"/>
          <w:szCs w:val="22"/>
        </w:rPr>
        <w:t xml:space="preserve"> jejich finanční nákladové rovnice</w:t>
      </w:r>
      <w:r w:rsidR="00AC283A">
        <w:rPr>
          <w:rFonts w:ascii="Arial" w:hAnsi="Arial" w:cs="Arial"/>
          <w:bCs/>
          <w:iCs/>
          <w:sz w:val="22"/>
          <w:szCs w:val="22"/>
        </w:rPr>
        <w:t xml:space="preserve"> měly být</w:t>
      </w:r>
      <w:r w:rsidR="00BE3B8A">
        <w:rPr>
          <w:rFonts w:ascii="Arial" w:hAnsi="Arial" w:cs="Arial"/>
          <w:bCs/>
          <w:iCs/>
          <w:sz w:val="22"/>
          <w:szCs w:val="22"/>
        </w:rPr>
        <w:t xml:space="preserve"> </w:t>
      </w:r>
      <w:r w:rsidR="00F70C86">
        <w:rPr>
          <w:rFonts w:ascii="Arial" w:hAnsi="Arial" w:cs="Arial"/>
          <w:bCs/>
          <w:iCs/>
          <w:sz w:val="22"/>
          <w:szCs w:val="22"/>
        </w:rPr>
        <w:t>ú</w:t>
      </w:r>
      <w:r w:rsidR="00734A2B">
        <w:rPr>
          <w:rFonts w:ascii="Arial" w:hAnsi="Arial" w:cs="Arial"/>
          <w:bCs/>
          <w:iCs/>
          <w:sz w:val="22"/>
          <w:szCs w:val="22"/>
        </w:rPr>
        <w:t>daje</w:t>
      </w:r>
      <w:r w:rsidR="00124A20">
        <w:rPr>
          <w:rFonts w:ascii="Arial" w:hAnsi="Arial" w:cs="Arial"/>
          <w:bCs/>
          <w:iCs/>
          <w:sz w:val="22"/>
          <w:szCs w:val="22"/>
        </w:rPr>
        <w:t xml:space="preserve"> z</w:t>
      </w:r>
      <w:r w:rsidR="00F81917">
        <w:rPr>
          <w:rFonts w:ascii="Arial" w:hAnsi="Arial" w:cs="Arial"/>
          <w:bCs/>
          <w:iCs/>
          <w:sz w:val="22"/>
          <w:szCs w:val="22"/>
        </w:rPr>
        <w:t> </w:t>
      </w:r>
      <w:r w:rsidR="00BE3B8A">
        <w:rPr>
          <w:rFonts w:ascii="Arial" w:hAnsi="Arial" w:cs="Arial"/>
          <w:bCs/>
          <w:iCs/>
          <w:sz w:val="22"/>
          <w:szCs w:val="22"/>
        </w:rPr>
        <w:t>účetnictví</w:t>
      </w:r>
      <w:r w:rsidR="00F81917">
        <w:rPr>
          <w:rFonts w:ascii="Arial" w:hAnsi="Arial" w:cs="Arial"/>
          <w:bCs/>
          <w:iCs/>
          <w:sz w:val="22"/>
          <w:szCs w:val="22"/>
        </w:rPr>
        <w:t>.</w:t>
      </w:r>
    </w:p>
    <w:p w:rsidR="00B53967" w:rsidRDefault="00B53967" w:rsidP="003C713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72DF5" w:rsidRDefault="00C72DF5" w:rsidP="00C72D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7567A1">
        <w:rPr>
          <w:rFonts w:ascii="Arial" w:hAnsi="Arial" w:cs="Arial"/>
          <w:bCs/>
          <w:iCs/>
          <w:sz w:val="22"/>
          <w:szCs w:val="22"/>
        </w:rPr>
        <w:t> těchto skutečností je zřejmá nutnost posilovat u subjektů veřejné správy účetní odpovědnost.</w:t>
      </w:r>
      <w:r>
        <w:rPr>
          <w:rFonts w:ascii="Arial" w:hAnsi="Arial" w:cs="Arial"/>
          <w:bCs/>
          <w:iCs/>
          <w:sz w:val="22"/>
          <w:szCs w:val="22"/>
        </w:rPr>
        <w:t xml:space="preserve"> To je také j</w:t>
      </w:r>
      <w:r>
        <w:rPr>
          <w:rFonts w:ascii="Arial" w:hAnsi="Arial" w:cs="Arial"/>
          <w:sz w:val="22"/>
          <w:szCs w:val="22"/>
        </w:rPr>
        <w:t xml:space="preserve">eden ze zásadních cílů prosazovaných směrnicí Rady 2011/85/EU </w:t>
      </w:r>
      <w:r w:rsidR="00EE27D2">
        <w:rPr>
          <w:rFonts w:ascii="Arial" w:hAnsi="Arial" w:cs="Arial"/>
          <w:sz w:val="22"/>
          <w:szCs w:val="22"/>
        </w:rPr>
        <w:t>z 8. listopadu 2011</w:t>
      </w:r>
      <w:r w:rsidR="00F602C7">
        <w:rPr>
          <w:rFonts w:ascii="Arial" w:hAnsi="Arial" w:cs="Arial"/>
          <w:sz w:val="22"/>
          <w:szCs w:val="22"/>
        </w:rPr>
        <w:t>,</w:t>
      </w:r>
      <w:r w:rsidR="00EE27D2">
        <w:rPr>
          <w:rFonts w:ascii="Arial" w:hAnsi="Arial" w:cs="Arial"/>
          <w:sz w:val="22"/>
          <w:szCs w:val="22"/>
        </w:rPr>
        <w:t xml:space="preserve"> o požadavcích na rozpočtové rámce členských států.</w:t>
      </w:r>
      <w:r>
        <w:rPr>
          <w:rStyle w:val="Znakapoznpodarou"/>
          <w:rFonts w:ascii="Arial" w:hAnsi="Arial" w:cs="Arial"/>
          <w:sz w:val="22"/>
          <w:szCs w:val="22"/>
        </w:rPr>
        <w:footnoteReference w:id="41"/>
      </w:r>
    </w:p>
    <w:sectPr w:rsidR="00C72DF5" w:rsidSect="00C964C7">
      <w:footerReference w:type="default" r:id="rId10"/>
      <w:pgSz w:w="11906" w:h="16838"/>
      <w:pgMar w:top="1417" w:right="1417" w:bottom="1417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AC" w:rsidRDefault="003B41AC" w:rsidP="00646ABE">
      <w:r>
        <w:separator/>
      </w:r>
    </w:p>
  </w:endnote>
  <w:endnote w:type="continuationSeparator" w:id="0">
    <w:p w:rsidR="003B41AC" w:rsidRDefault="003B41AC" w:rsidP="0064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309380"/>
      <w:docPartObj>
        <w:docPartGallery w:val="Page Numbers (Bottom of Page)"/>
        <w:docPartUnique/>
      </w:docPartObj>
    </w:sdtPr>
    <w:sdtEndPr/>
    <w:sdtContent>
      <w:p w:rsidR="003B41AC" w:rsidRDefault="003B41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80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AC" w:rsidRDefault="003B41AC" w:rsidP="00646ABE">
      <w:r>
        <w:separator/>
      </w:r>
    </w:p>
  </w:footnote>
  <w:footnote w:type="continuationSeparator" w:id="0">
    <w:p w:rsidR="003B41AC" w:rsidRDefault="003B41AC" w:rsidP="00646ABE">
      <w:r>
        <w:continuationSeparator/>
      </w:r>
    </w:p>
  </w:footnote>
  <w:footnote w:id="1">
    <w:p w:rsidR="003B41AC" w:rsidRDefault="003B41AC" w:rsidP="00105B6A">
      <w:pPr>
        <w:pStyle w:val="Textpoznpodarou"/>
        <w:ind w:left="284" w:hanging="284"/>
        <w:jc w:val="both"/>
        <w:rPr>
          <w:rFonts w:ascii="Arial" w:hAnsi="Arial" w:cs="Arial"/>
        </w:rPr>
      </w:pPr>
      <w:r w:rsidRPr="00CA4D3C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F46FD8">
        <w:rPr>
          <w:rFonts w:ascii="Arial" w:hAnsi="Arial" w:cs="Arial"/>
          <w:sz w:val="18"/>
          <w:szCs w:val="18"/>
        </w:rPr>
        <w:t>Kontrolní akc</w:t>
      </w:r>
      <w:r>
        <w:rPr>
          <w:rFonts w:ascii="Arial" w:hAnsi="Arial" w:cs="Arial"/>
          <w:sz w:val="18"/>
          <w:szCs w:val="18"/>
        </w:rPr>
        <w:t>e</w:t>
      </w:r>
      <w:r w:rsidRPr="00F46FD8">
        <w:rPr>
          <w:rFonts w:ascii="Arial" w:hAnsi="Arial" w:cs="Arial"/>
          <w:sz w:val="18"/>
          <w:szCs w:val="18"/>
        </w:rPr>
        <w:t xml:space="preserve"> č. 0</w:t>
      </w:r>
      <w:r>
        <w:rPr>
          <w:rFonts w:ascii="Arial" w:hAnsi="Arial" w:cs="Arial"/>
          <w:sz w:val="18"/>
          <w:szCs w:val="18"/>
        </w:rPr>
        <w:t>9</w:t>
      </w:r>
      <w:r w:rsidRPr="00F46FD8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08</w:t>
      </w:r>
      <w:r w:rsidRPr="00F46FD8">
        <w:rPr>
          <w:rFonts w:ascii="Arial" w:hAnsi="Arial" w:cs="Arial"/>
          <w:sz w:val="18"/>
          <w:szCs w:val="18"/>
        </w:rPr>
        <w:t xml:space="preserve"> (kontrolní závěr byl zveřejněn v částce </w:t>
      </w:r>
      <w:r>
        <w:rPr>
          <w:rFonts w:ascii="Arial" w:hAnsi="Arial" w:cs="Arial"/>
          <w:sz w:val="18"/>
          <w:szCs w:val="18"/>
        </w:rPr>
        <w:t>4</w:t>
      </w:r>
      <w:r w:rsidRPr="00F46FD8">
        <w:rPr>
          <w:rFonts w:ascii="Arial" w:hAnsi="Arial" w:cs="Arial"/>
          <w:sz w:val="18"/>
          <w:szCs w:val="18"/>
        </w:rPr>
        <w:t>/200</w:t>
      </w:r>
      <w:r>
        <w:rPr>
          <w:rFonts w:ascii="Arial" w:hAnsi="Arial" w:cs="Arial"/>
          <w:sz w:val="18"/>
          <w:szCs w:val="18"/>
        </w:rPr>
        <w:t>9</w:t>
      </w:r>
      <w:r w:rsidRPr="00F46FD8">
        <w:rPr>
          <w:rFonts w:ascii="Arial" w:hAnsi="Arial" w:cs="Arial"/>
          <w:sz w:val="18"/>
          <w:szCs w:val="18"/>
        </w:rPr>
        <w:t xml:space="preserve"> </w:t>
      </w:r>
      <w:r w:rsidRPr="00C72219">
        <w:rPr>
          <w:rFonts w:ascii="Arial" w:hAnsi="Arial" w:cs="Arial"/>
          <w:i/>
          <w:sz w:val="18"/>
          <w:szCs w:val="18"/>
        </w:rPr>
        <w:t>Věstníku NKÚ</w:t>
      </w:r>
      <w:r>
        <w:rPr>
          <w:rFonts w:ascii="Arial" w:hAnsi="Arial" w:cs="Arial"/>
          <w:sz w:val="18"/>
          <w:szCs w:val="18"/>
        </w:rPr>
        <w:t xml:space="preserve">), kontrolní akce č. 10/07 </w:t>
      </w:r>
      <w:r w:rsidRPr="00F46FD8">
        <w:rPr>
          <w:rFonts w:ascii="Arial" w:hAnsi="Arial" w:cs="Arial"/>
          <w:sz w:val="18"/>
          <w:szCs w:val="18"/>
        </w:rPr>
        <w:t>(kontrolní závěr byl zveřejněn v částce 4/20</w:t>
      </w:r>
      <w:r>
        <w:rPr>
          <w:rFonts w:ascii="Arial" w:hAnsi="Arial" w:cs="Arial"/>
          <w:sz w:val="18"/>
          <w:szCs w:val="18"/>
        </w:rPr>
        <w:t>1</w:t>
      </w:r>
      <w:r w:rsidRPr="00F46FD8">
        <w:rPr>
          <w:rFonts w:ascii="Arial" w:hAnsi="Arial" w:cs="Arial"/>
          <w:sz w:val="18"/>
          <w:szCs w:val="18"/>
        </w:rPr>
        <w:t xml:space="preserve">0 </w:t>
      </w:r>
      <w:r w:rsidRPr="00C72219">
        <w:rPr>
          <w:rFonts w:ascii="Arial" w:hAnsi="Arial" w:cs="Arial"/>
          <w:i/>
          <w:sz w:val="18"/>
          <w:szCs w:val="18"/>
        </w:rPr>
        <w:t>Věstníku NKÚ</w:t>
      </w:r>
      <w:r w:rsidRPr="00F46FD8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a kontrolní akce č. 12/15 (kontrolní závěr byl zveřejněn v částce 2/2013 </w:t>
      </w:r>
      <w:r w:rsidRPr="00836431">
        <w:rPr>
          <w:rFonts w:ascii="Arial" w:hAnsi="Arial" w:cs="Arial"/>
          <w:i/>
          <w:sz w:val="18"/>
          <w:szCs w:val="18"/>
        </w:rPr>
        <w:t>Věstníku NKÚ</w:t>
      </w:r>
      <w:r>
        <w:rPr>
          <w:rFonts w:ascii="Arial" w:hAnsi="Arial" w:cs="Arial"/>
          <w:sz w:val="18"/>
          <w:szCs w:val="18"/>
        </w:rPr>
        <w:t>)</w:t>
      </w:r>
      <w:r w:rsidRPr="00113872">
        <w:rPr>
          <w:rFonts w:ascii="Arial" w:hAnsi="Arial" w:cs="Arial"/>
          <w:sz w:val="18"/>
          <w:szCs w:val="18"/>
        </w:rPr>
        <w:t>.</w:t>
      </w:r>
    </w:p>
  </w:footnote>
  <w:footnote w:id="2">
    <w:p w:rsidR="003B41AC" w:rsidRPr="00E17714" w:rsidRDefault="003B41AC" w:rsidP="00496EDE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105B6A">
        <w:rPr>
          <w:rStyle w:val="Znakapoznpodarou"/>
          <w:rFonts w:ascii="Arial" w:hAnsi="Arial" w:cs="Arial"/>
          <w:sz w:val="18"/>
          <w:szCs w:val="18"/>
        </w:rPr>
        <w:footnoteRef/>
      </w:r>
      <w:r>
        <w:tab/>
      </w:r>
      <w:r w:rsidRPr="006533DD">
        <w:rPr>
          <w:rFonts w:ascii="Arial" w:hAnsi="Arial" w:cs="Arial"/>
          <w:sz w:val="18"/>
          <w:szCs w:val="18"/>
        </w:rPr>
        <w:t>Finanční výkazy nejsou od 1. ledn</w:t>
      </w:r>
      <w:r>
        <w:rPr>
          <w:rFonts w:ascii="Arial" w:hAnsi="Arial" w:cs="Arial"/>
          <w:sz w:val="18"/>
          <w:szCs w:val="18"/>
        </w:rPr>
        <w:t>a 2010 součástí účetní závěrky.</w:t>
      </w:r>
    </w:p>
  </w:footnote>
  <w:footnote w:id="3">
    <w:p w:rsidR="003B41AC" w:rsidRPr="00E379CA" w:rsidRDefault="003B41AC" w:rsidP="00492FB0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E379CA">
        <w:rPr>
          <w:rStyle w:val="Znakapoznpodarou"/>
          <w:rFonts w:ascii="Arial" w:hAnsi="Arial" w:cs="Arial"/>
          <w:sz w:val="18"/>
          <w:szCs w:val="18"/>
        </w:rPr>
        <w:footnoteRef/>
      </w:r>
      <w:r w:rsidRPr="00E379CA">
        <w:rPr>
          <w:rFonts w:ascii="Arial" w:hAnsi="Arial" w:cs="Arial"/>
          <w:sz w:val="18"/>
          <w:szCs w:val="18"/>
        </w:rPr>
        <w:tab/>
        <w:t>Vybranými účetními jednotkami jsou podle § 1 odst. 3 zákona o účetnictví</w:t>
      </w:r>
      <w:r>
        <w:rPr>
          <w:rFonts w:ascii="Arial" w:hAnsi="Arial" w:cs="Arial"/>
          <w:sz w:val="18"/>
          <w:szCs w:val="18"/>
        </w:rPr>
        <w:t>:</w:t>
      </w:r>
      <w:r w:rsidRPr="00E379CA">
        <w:rPr>
          <w:rFonts w:ascii="Arial" w:hAnsi="Arial" w:cs="Arial"/>
          <w:sz w:val="18"/>
          <w:szCs w:val="18"/>
        </w:rPr>
        <w:t xml:space="preserve"> OSS, státní fondy podle rozpočtových pravidel, územní samosprávné celky, dobrovolné svazky obcí, </w:t>
      </w:r>
      <w:r>
        <w:rPr>
          <w:rFonts w:ascii="Arial" w:hAnsi="Arial" w:cs="Arial"/>
          <w:sz w:val="18"/>
          <w:szCs w:val="18"/>
        </w:rPr>
        <w:t>r</w:t>
      </w:r>
      <w:r w:rsidRPr="00E379CA">
        <w:rPr>
          <w:rFonts w:ascii="Arial" w:hAnsi="Arial" w:cs="Arial"/>
          <w:sz w:val="18"/>
          <w:szCs w:val="18"/>
        </w:rPr>
        <w:t>egionální rady regionů soudržnosti, příspěvkové organizace a zdravotní pojišťovny. Česk</w:t>
      </w:r>
      <w:r>
        <w:rPr>
          <w:rFonts w:ascii="Arial" w:hAnsi="Arial" w:cs="Arial"/>
          <w:sz w:val="18"/>
          <w:szCs w:val="18"/>
        </w:rPr>
        <w:t>é účetní standardy č. 701 až 710</w:t>
      </w:r>
      <w:r w:rsidRPr="00E379CA">
        <w:rPr>
          <w:rFonts w:ascii="Arial" w:hAnsi="Arial" w:cs="Arial"/>
          <w:sz w:val="18"/>
          <w:szCs w:val="18"/>
        </w:rPr>
        <w:t xml:space="preserve"> v bodu 1 uvádějí, že jejich cílem je stanovit postupy účtování</w:t>
      </w:r>
      <w:r>
        <w:rPr>
          <w:rFonts w:ascii="Arial" w:hAnsi="Arial" w:cs="Arial"/>
          <w:sz w:val="18"/>
          <w:szCs w:val="18"/>
        </w:rPr>
        <w:t xml:space="preserve"> podle zákona o účetnictví a vyhlášky č. 410/2009 Sb. pro některé vybrané účetní jednotky.</w:t>
      </w:r>
      <w:r w:rsidRPr="00E379CA">
        <w:rPr>
          <w:rFonts w:ascii="Arial" w:hAnsi="Arial" w:cs="Arial"/>
          <w:sz w:val="18"/>
          <w:szCs w:val="18"/>
        </w:rPr>
        <w:t xml:space="preserve"> Vyhláška č.</w:t>
      </w:r>
      <w:r>
        <w:rPr>
          <w:rFonts w:ascii="Arial" w:hAnsi="Arial" w:cs="Arial"/>
          <w:sz w:val="18"/>
          <w:szCs w:val="18"/>
        </w:rPr>
        <w:t xml:space="preserve"> </w:t>
      </w:r>
      <w:r w:rsidRPr="00E379CA">
        <w:rPr>
          <w:rFonts w:ascii="Arial" w:hAnsi="Arial" w:cs="Arial"/>
          <w:sz w:val="18"/>
          <w:szCs w:val="18"/>
        </w:rPr>
        <w:t>410/2009 Sb. v § 2 uvádí výčet vybraných účetních jednotek, na které se tato vyhláška vztahuje</w:t>
      </w:r>
      <w:r>
        <w:rPr>
          <w:rFonts w:ascii="Arial" w:hAnsi="Arial" w:cs="Arial"/>
          <w:sz w:val="18"/>
          <w:szCs w:val="18"/>
        </w:rPr>
        <w:t>. J</w:t>
      </w:r>
      <w:r w:rsidRPr="00E379CA">
        <w:rPr>
          <w:rFonts w:ascii="Arial" w:hAnsi="Arial" w:cs="Arial"/>
          <w:sz w:val="18"/>
          <w:szCs w:val="18"/>
        </w:rPr>
        <w:t>edná se o</w:t>
      </w:r>
      <w:r>
        <w:rPr>
          <w:rFonts w:ascii="Arial" w:hAnsi="Arial" w:cs="Arial"/>
          <w:sz w:val="18"/>
          <w:szCs w:val="18"/>
        </w:rPr>
        <w:t xml:space="preserve"> </w:t>
      </w:r>
      <w:r w:rsidRPr="00E379CA">
        <w:rPr>
          <w:rFonts w:ascii="Arial" w:hAnsi="Arial" w:cs="Arial"/>
          <w:sz w:val="18"/>
          <w:szCs w:val="18"/>
        </w:rPr>
        <w:t>vybrané účetní jednotky</w:t>
      </w:r>
      <w:r>
        <w:rPr>
          <w:rFonts w:ascii="Arial" w:hAnsi="Arial" w:cs="Arial"/>
          <w:sz w:val="18"/>
          <w:szCs w:val="18"/>
        </w:rPr>
        <w:t xml:space="preserve"> ve vymezení dle zákona o účetnictví, s výjimkou </w:t>
      </w:r>
      <w:r w:rsidRPr="00E379CA">
        <w:rPr>
          <w:rFonts w:ascii="Arial" w:hAnsi="Arial" w:cs="Arial"/>
          <w:sz w:val="18"/>
          <w:szCs w:val="18"/>
        </w:rPr>
        <w:t>zdravotních pojišťoven. Česk</w:t>
      </w:r>
      <w:r>
        <w:rPr>
          <w:rFonts w:ascii="Arial" w:hAnsi="Arial" w:cs="Arial"/>
          <w:sz w:val="18"/>
          <w:szCs w:val="18"/>
        </w:rPr>
        <w:t>é účetní standardy č. 701 až 710</w:t>
      </w:r>
      <w:r w:rsidRPr="00E379CA">
        <w:rPr>
          <w:rFonts w:ascii="Arial" w:hAnsi="Arial" w:cs="Arial"/>
          <w:sz w:val="18"/>
          <w:szCs w:val="18"/>
        </w:rPr>
        <w:t xml:space="preserve"> se tak vztahují na</w:t>
      </w:r>
      <w:r>
        <w:rPr>
          <w:rFonts w:ascii="Arial" w:hAnsi="Arial" w:cs="Arial"/>
          <w:sz w:val="18"/>
          <w:szCs w:val="18"/>
        </w:rPr>
        <w:t xml:space="preserve"> všechny zákonem stanovené</w:t>
      </w:r>
      <w:r w:rsidRPr="00E379CA">
        <w:rPr>
          <w:rFonts w:ascii="Arial" w:hAnsi="Arial" w:cs="Arial"/>
          <w:sz w:val="18"/>
          <w:szCs w:val="18"/>
        </w:rPr>
        <w:t xml:space="preserve"> vybrané účetní jednotky kromě zdravotních pojišťoven.</w:t>
      </w:r>
    </w:p>
  </w:footnote>
  <w:footnote w:id="4">
    <w:p w:rsidR="003B41AC" w:rsidRPr="00986C67" w:rsidRDefault="003B41AC" w:rsidP="0008364F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105B6A">
        <w:rPr>
          <w:rStyle w:val="Znakapoznpodarou"/>
          <w:rFonts w:ascii="Arial" w:hAnsi="Arial" w:cs="Arial"/>
          <w:sz w:val="18"/>
          <w:szCs w:val="18"/>
        </w:rPr>
        <w:footnoteRef/>
      </w:r>
      <w:r>
        <w:tab/>
      </w:r>
      <w:r w:rsidRPr="00986C67">
        <w:rPr>
          <w:rFonts w:ascii="Arial" w:hAnsi="Arial" w:cs="Arial"/>
          <w:sz w:val="18"/>
          <w:szCs w:val="18"/>
        </w:rPr>
        <w:t xml:space="preserve">V rozvaze tyto částky ovlivňují vykázaný konečný zůstatek na účtu 493 – </w:t>
      </w:r>
      <w:r w:rsidRPr="00986C67">
        <w:rPr>
          <w:rFonts w:ascii="Arial" w:hAnsi="Arial" w:cs="Arial"/>
          <w:i/>
          <w:sz w:val="18"/>
          <w:szCs w:val="18"/>
        </w:rPr>
        <w:t>Výsledek hospodaření</w:t>
      </w:r>
      <w:r w:rsidRPr="00986C67">
        <w:rPr>
          <w:rFonts w:ascii="Arial" w:hAnsi="Arial" w:cs="Arial"/>
          <w:sz w:val="18"/>
          <w:szCs w:val="18"/>
        </w:rPr>
        <w:t xml:space="preserve"> </w:t>
      </w:r>
      <w:r w:rsidRPr="00986C67">
        <w:rPr>
          <w:rFonts w:ascii="Arial" w:hAnsi="Arial" w:cs="Arial"/>
          <w:i/>
          <w:sz w:val="18"/>
          <w:szCs w:val="18"/>
        </w:rPr>
        <w:t xml:space="preserve">běžného účetního období, </w:t>
      </w:r>
      <w:r w:rsidRPr="00986C67">
        <w:rPr>
          <w:rFonts w:ascii="Arial" w:hAnsi="Arial" w:cs="Arial"/>
          <w:sz w:val="18"/>
          <w:szCs w:val="18"/>
        </w:rPr>
        <w:t xml:space="preserve">který následně vstupuje do přehledu o peněžních tocích a do přehledu o změnách vlastního kapitálu. V rozvaze je z předchozích účetních období ovlivněn i konečný zůstatek na účtu 432 – </w:t>
      </w:r>
      <w:r w:rsidRPr="00986C67">
        <w:rPr>
          <w:rFonts w:ascii="Arial" w:hAnsi="Arial" w:cs="Arial"/>
          <w:i/>
          <w:sz w:val="18"/>
          <w:szCs w:val="18"/>
        </w:rPr>
        <w:t>Výsledek hospodaření minulých účetních období,</w:t>
      </w:r>
      <w:r w:rsidRPr="00986C67">
        <w:rPr>
          <w:rFonts w:ascii="Arial" w:hAnsi="Arial" w:cs="Arial"/>
          <w:sz w:val="18"/>
          <w:szCs w:val="18"/>
        </w:rPr>
        <w:t xml:space="preserve"> který následně vstupuje do přehledu o změnách vlastního kapitálu. V příloze ÚZ je v souvislosti s uvedenými skutečnostmi vykazován konečný zůstatek podmíněných pohledávek z nástrojů spolufinancovaných ze zahraničí. </w:t>
      </w:r>
    </w:p>
  </w:footnote>
  <w:footnote w:id="5">
    <w:p w:rsidR="003B41AC" w:rsidRPr="00325FAC" w:rsidRDefault="003B41AC" w:rsidP="008E04F2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Viz </w:t>
      </w:r>
      <w:r w:rsidRPr="00325FAC">
        <w:rPr>
          <w:rFonts w:ascii="Arial" w:hAnsi="Arial" w:cs="Arial"/>
          <w:sz w:val="18"/>
          <w:szCs w:val="18"/>
        </w:rPr>
        <w:t>http://www.mfcr.cz/cs/o-ministerstvu/zakladni-informace/informacni-systemy/iissp--monitor</w:t>
      </w:r>
      <w:r>
        <w:rPr>
          <w:rFonts w:ascii="Arial" w:hAnsi="Arial" w:cs="Arial"/>
          <w:sz w:val="18"/>
          <w:szCs w:val="18"/>
        </w:rPr>
        <w:t>.</w:t>
      </w:r>
    </w:p>
  </w:footnote>
  <w:footnote w:id="6">
    <w:p w:rsidR="003B41AC" w:rsidRPr="00325FAC" w:rsidRDefault="003B41AC" w:rsidP="008E04F2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Účetní hodnota brutto.</w:t>
      </w:r>
    </w:p>
  </w:footnote>
  <w:footnote w:id="7">
    <w:p w:rsidR="003B41AC" w:rsidRPr="00325FAC" w:rsidRDefault="003B41AC" w:rsidP="008E04F2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Opravná položka obecně vyjadřuje přechodné snížení hodnoty aktiva k datu účetní závěrky. V souladu s platnou účetní regulací se k těmto pohledávkám vytváří opravné položky ve výši 10 % hodnoty za každých ukončených 90 dnů po splatnosti pohledávky.</w:t>
      </w:r>
    </w:p>
  </w:footnote>
  <w:footnote w:id="8">
    <w:p w:rsidR="003B41AC" w:rsidRPr="00325FAC" w:rsidRDefault="003B41AC" w:rsidP="008E04F2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Účetní hodnota netto.</w:t>
      </w:r>
    </w:p>
  </w:footnote>
  <w:footnote w:id="9">
    <w:p w:rsidR="003B41AC" w:rsidRPr="00325FAC" w:rsidRDefault="003B41AC" w:rsidP="008E04F2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Účetní hodnota netto.</w:t>
      </w:r>
    </w:p>
  </w:footnote>
  <w:footnote w:id="10">
    <w:p w:rsidR="003B41AC" w:rsidRPr="00325FAC" w:rsidRDefault="003B41AC" w:rsidP="00CD7E0C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 xml:space="preserve">Usnesení vlády ze dne 14. ledna 2004 č. 52, </w:t>
      </w:r>
      <w:r w:rsidRPr="00447B2B">
        <w:rPr>
          <w:rFonts w:ascii="Arial" w:hAnsi="Arial" w:cs="Arial"/>
          <w:i/>
          <w:sz w:val="18"/>
          <w:szCs w:val="18"/>
        </w:rPr>
        <w:t>o souhlasu se založením obchodní společnosti Státní zkušebna zemědělských, potravinářských a lesnických strojů, akciová společnost</w:t>
      </w:r>
      <w:r w:rsidRPr="00325FAC">
        <w:rPr>
          <w:rFonts w:ascii="Arial" w:hAnsi="Arial" w:cs="Arial"/>
          <w:sz w:val="18"/>
          <w:szCs w:val="18"/>
        </w:rPr>
        <w:t>.</w:t>
      </w:r>
    </w:p>
  </w:footnote>
  <w:footnote w:id="11">
    <w:p w:rsidR="003B41AC" w:rsidRPr="00325FAC" w:rsidRDefault="003B41AC" w:rsidP="00CD7E0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 xml:space="preserve">Zákon č. 229/1991 Sb., o úpravě vlastnických vztahů k půdě a jinému zemědělskému majetku v § 29 stanoví: </w:t>
      </w:r>
      <w:r w:rsidRPr="005876A6">
        <w:rPr>
          <w:rFonts w:ascii="Arial" w:hAnsi="Arial" w:cs="Arial"/>
          <w:sz w:val="18"/>
          <w:szCs w:val="18"/>
        </w:rPr>
        <w:t>„</w:t>
      </w:r>
      <w:r w:rsidRPr="00325FAC">
        <w:rPr>
          <w:rFonts w:ascii="Arial" w:hAnsi="Arial" w:cs="Arial"/>
          <w:i/>
          <w:sz w:val="18"/>
          <w:szCs w:val="18"/>
        </w:rPr>
        <w:t>Majetek, jehož původním vlastníkem byly církve, náboženské řády a kongregace, nelze převádět do vlastnictví jiným osobám do přijetí zákonů o tomto majetku.</w:t>
      </w:r>
      <w:r w:rsidRPr="005876A6">
        <w:rPr>
          <w:rFonts w:ascii="Arial" w:hAnsi="Arial" w:cs="Arial"/>
          <w:sz w:val="18"/>
          <w:szCs w:val="18"/>
        </w:rPr>
        <w:t>“</w:t>
      </w:r>
    </w:p>
  </w:footnote>
  <w:footnote w:id="12">
    <w:p w:rsidR="003B41AC" w:rsidRPr="00325FAC" w:rsidRDefault="003B41AC" w:rsidP="00CD7E0C">
      <w:pPr>
        <w:pStyle w:val="Textpoznpodarou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lang w:eastAsia="en-US"/>
        </w:rPr>
      </w:pPr>
      <w:r w:rsidRPr="00325FAC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Žádost o souhlas s vkladem byla</w:t>
      </w:r>
      <w:r>
        <w:rPr>
          <w:rFonts w:ascii="Arial" w:hAnsi="Arial" w:cs="Arial"/>
          <w:sz w:val="18"/>
          <w:szCs w:val="18"/>
        </w:rPr>
        <w:t xml:space="preserve"> sepsána</w:t>
      </w:r>
      <w:r w:rsidRPr="00325FAC">
        <w:rPr>
          <w:rFonts w:ascii="Arial" w:hAnsi="Arial" w:cs="Arial"/>
          <w:sz w:val="18"/>
          <w:szCs w:val="18"/>
        </w:rPr>
        <w:t xml:space="preserve"> jen pro parcelní číslo 381,382, 384/2, 385, 386, 387, 391/1, 391/6, 391/7, 391/21, 391/26, 391/27, 393/24 a 393/31.</w:t>
      </w:r>
      <w:r w:rsidRPr="00325FAC">
        <w:rPr>
          <w:rFonts w:ascii="Arial" w:eastAsia="Calibri" w:hAnsi="Arial" w:cs="Arial"/>
          <w:sz w:val="18"/>
          <w:szCs w:val="18"/>
        </w:rPr>
        <w:t xml:space="preserve"> </w:t>
      </w:r>
      <w:r w:rsidRPr="00325FAC">
        <w:rPr>
          <w:rStyle w:val="Znakapoznpodarou"/>
          <w:rFonts w:ascii="Arial" w:hAnsi="Arial" w:cs="Arial"/>
          <w:sz w:val="18"/>
          <w:szCs w:val="18"/>
          <w:lang w:eastAsia="en-US"/>
        </w:rPr>
        <w:t xml:space="preserve"> </w:t>
      </w:r>
    </w:p>
  </w:footnote>
  <w:footnote w:id="13">
    <w:p w:rsidR="003B41AC" w:rsidRPr="00325FAC" w:rsidRDefault="003B41AC" w:rsidP="00CD7E0C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Usnesení vlády ze dne 16. února 2011 č. 123</w:t>
      </w:r>
      <w:r>
        <w:rPr>
          <w:rFonts w:ascii="Arial" w:hAnsi="Arial" w:cs="Arial"/>
          <w:sz w:val="18"/>
          <w:szCs w:val="18"/>
        </w:rPr>
        <w:t>,</w:t>
      </w:r>
      <w:r w:rsidRPr="00325FAC">
        <w:rPr>
          <w:rFonts w:ascii="Arial" w:hAnsi="Arial" w:cs="Arial"/>
          <w:sz w:val="18"/>
          <w:szCs w:val="18"/>
        </w:rPr>
        <w:t xml:space="preserve"> </w:t>
      </w:r>
      <w:r w:rsidRPr="005876A6">
        <w:rPr>
          <w:rFonts w:ascii="Arial" w:hAnsi="Arial" w:cs="Arial"/>
          <w:i/>
          <w:sz w:val="18"/>
          <w:szCs w:val="18"/>
        </w:rPr>
        <w:t>o souhlasu s vkladem majetku do obchodní společnosti Státní zkušebna zemědělských, potravinářských a lesnických strojů, akciová společnost</w:t>
      </w:r>
      <w:r w:rsidRPr="00325FAC">
        <w:rPr>
          <w:rFonts w:ascii="Arial" w:hAnsi="Arial" w:cs="Arial"/>
          <w:sz w:val="18"/>
          <w:szCs w:val="18"/>
        </w:rPr>
        <w:t>.</w:t>
      </w:r>
    </w:p>
  </w:footnote>
  <w:footnote w:id="14">
    <w:p w:rsidR="003B41AC" w:rsidRPr="00325FAC" w:rsidRDefault="003B41AC" w:rsidP="00CD7E0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Účetní hodnota pozemku p. č. 391/34 byla 717 200 Kč. Ocenění tohoto pozemku pro vklad do obchodní společnosti bylo dle znaleckého posudku ve výši 1 739 210 Kč.</w:t>
      </w:r>
    </w:p>
  </w:footnote>
  <w:footnote w:id="15">
    <w:p w:rsidR="003B41AC" w:rsidRPr="00325FAC" w:rsidRDefault="003B41AC" w:rsidP="00CD7E0C">
      <w:pPr>
        <w:pStyle w:val="Prosttext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Dle stavu zveřejněného ke dni 14. dubna 2014 (viz http://www.pfcr.cz/spucr/page.aspx?KategorieID=10901).</w:t>
      </w:r>
    </w:p>
  </w:footnote>
  <w:footnote w:id="16">
    <w:p w:rsidR="003B41AC" w:rsidRPr="00325FAC" w:rsidRDefault="003B41AC" w:rsidP="00CD7E0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Viz </w:t>
      </w:r>
      <w:r w:rsidRPr="00325FAC">
        <w:rPr>
          <w:rFonts w:ascii="Arial" w:hAnsi="Arial" w:cs="Arial"/>
          <w:sz w:val="18"/>
          <w:szCs w:val="18"/>
        </w:rPr>
        <w:t>http://monitor.statnipokladna.cz/2013/statni-rozpocet/oss-sf/00020478</w:t>
      </w:r>
      <w:r>
        <w:rPr>
          <w:rFonts w:ascii="Arial" w:hAnsi="Arial" w:cs="Arial"/>
          <w:sz w:val="18"/>
          <w:szCs w:val="18"/>
        </w:rPr>
        <w:t>.</w:t>
      </w:r>
    </w:p>
  </w:footnote>
  <w:footnote w:id="17">
    <w:p w:rsidR="003B41AC" w:rsidRPr="00325FAC" w:rsidRDefault="003B41AC" w:rsidP="00CD7E0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Viz </w:t>
      </w:r>
      <w:r w:rsidRPr="00325FAC">
        <w:rPr>
          <w:rFonts w:ascii="Arial" w:hAnsi="Arial" w:cs="Arial"/>
          <w:sz w:val="18"/>
          <w:szCs w:val="18"/>
        </w:rPr>
        <w:t>http://monitor.statnipokladna.cz/2013/statni-rozpocet/oss-sf/00020478</w:t>
      </w:r>
      <w:r>
        <w:rPr>
          <w:rFonts w:ascii="Arial" w:hAnsi="Arial" w:cs="Arial"/>
          <w:sz w:val="18"/>
          <w:szCs w:val="18"/>
        </w:rPr>
        <w:t>.</w:t>
      </w:r>
    </w:p>
  </w:footnote>
  <w:footnote w:id="18">
    <w:p w:rsidR="003B41AC" w:rsidRPr="00325FAC" w:rsidRDefault="003B41AC" w:rsidP="00CD7E0C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 xml:space="preserve">Doplňující informace k položkám rozvahy </w:t>
      </w:r>
      <w:r w:rsidRPr="005876A6">
        <w:rPr>
          <w:rFonts w:ascii="Arial" w:hAnsi="Arial" w:cs="Arial"/>
          <w:i/>
          <w:sz w:val="18"/>
          <w:szCs w:val="18"/>
        </w:rPr>
        <w:t>C.I.1. Jmění účetní jednotky</w:t>
      </w:r>
      <w:r w:rsidRPr="00325FAC">
        <w:rPr>
          <w:rFonts w:ascii="Arial" w:hAnsi="Arial" w:cs="Arial"/>
          <w:sz w:val="18"/>
          <w:szCs w:val="18"/>
        </w:rPr>
        <w:t xml:space="preserve"> a </w:t>
      </w:r>
      <w:r w:rsidRPr="005876A6">
        <w:rPr>
          <w:rFonts w:ascii="Arial" w:hAnsi="Arial" w:cs="Arial"/>
          <w:i/>
          <w:sz w:val="18"/>
          <w:szCs w:val="18"/>
        </w:rPr>
        <w:t>C.I.3. Transfery na pořízení dlouhodobého majetku</w:t>
      </w:r>
      <w:r w:rsidRPr="00325FAC">
        <w:rPr>
          <w:rFonts w:ascii="Arial" w:hAnsi="Arial" w:cs="Arial"/>
          <w:sz w:val="18"/>
          <w:szCs w:val="18"/>
        </w:rPr>
        <w:t>.</w:t>
      </w:r>
    </w:p>
  </w:footnote>
  <w:footnote w:id="19">
    <w:p w:rsidR="003B41AC" w:rsidRPr="00325FAC" w:rsidRDefault="003B41AC" w:rsidP="00CD7E0C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Viz </w:t>
      </w:r>
      <w:r w:rsidRPr="00325FAC">
        <w:rPr>
          <w:rFonts w:ascii="Arial" w:hAnsi="Arial" w:cs="Arial"/>
          <w:sz w:val="18"/>
          <w:szCs w:val="18"/>
        </w:rPr>
        <w:t>http://monitor.statnipokladna.cz/2013/statni-rozpocet/oss-sf/00020478</w:t>
      </w:r>
      <w:r>
        <w:rPr>
          <w:rFonts w:ascii="Arial" w:hAnsi="Arial" w:cs="Arial"/>
          <w:sz w:val="18"/>
          <w:szCs w:val="18"/>
        </w:rPr>
        <w:t>.</w:t>
      </w:r>
    </w:p>
  </w:footnote>
  <w:footnote w:id="20">
    <w:p w:rsidR="003B41AC" w:rsidRPr="00325FAC" w:rsidRDefault="003B41AC" w:rsidP="00CD7E0C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Dle vyhlášky č. 383/2009 Sb., o účetních záznamech v technické formě vybraných účetních jednotek a jejich předávání do centrálního systému účetních informací státu a o požadavcích na technické a smíšené formy účetních záznamů (technická vyhláška o účetních záznamech).</w:t>
      </w:r>
    </w:p>
  </w:footnote>
  <w:footnote w:id="21">
    <w:p w:rsidR="003B41AC" w:rsidRPr="00325FAC" w:rsidRDefault="003B41AC" w:rsidP="0060784C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Vyhláška č. 52/2008 Sb., kterou se stanoví zásady a termíny finančního vypořádání vztahů se státním rozpočtem, státními finančními aktivy nebo Národním fondem.</w:t>
      </w:r>
    </w:p>
  </w:footnote>
  <w:footnote w:id="22">
    <w:p w:rsidR="003B41AC" w:rsidRPr="00325FAC" w:rsidRDefault="003B41AC" w:rsidP="0060784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Viz </w:t>
      </w:r>
      <w:r w:rsidRPr="00325FAC">
        <w:rPr>
          <w:rFonts w:ascii="Arial" w:hAnsi="Arial" w:cs="Arial"/>
          <w:sz w:val="18"/>
          <w:szCs w:val="18"/>
        </w:rPr>
        <w:t>http://www.mfcr.cz/cs/verejny-sektor/monitoring/financni-parametry-vykonnosti/kan-provozni-nakladovost</w:t>
      </w:r>
      <w:r>
        <w:rPr>
          <w:rFonts w:ascii="Arial" w:hAnsi="Arial" w:cs="Arial"/>
          <w:sz w:val="18"/>
          <w:szCs w:val="18"/>
        </w:rPr>
        <w:t>.</w:t>
      </w:r>
    </w:p>
  </w:footnote>
  <w:footnote w:id="23">
    <w:p w:rsidR="003B41AC" w:rsidRPr="00325FAC" w:rsidRDefault="003B41AC" w:rsidP="0074542A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Viz </w:t>
      </w:r>
      <w:r w:rsidRPr="00325FAC">
        <w:rPr>
          <w:rFonts w:ascii="Arial" w:hAnsi="Arial" w:cs="Arial"/>
          <w:sz w:val="18"/>
          <w:szCs w:val="18"/>
        </w:rPr>
        <w:t>http://www.mfcr.cz/cs/verejny-sektor/monitoring/financni-parametry-vykonnosti/kan-majetkova-nakladovost</w:t>
      </w:r>
      <w:r>
        <w:rPr>
          <w:rFonts w:ascii="Arial" w:hAnsi="Arial" w:cs="Arial"/>
          <w:sz w:val="18"/>
          <w:szCs w:val="18"/>
        </w:rPr>
        <w:t>.</w:t>
      </w:r>
    </w:p>
  </w:footnote>
  <w:footnote w:id="24">
    <w:p w:rsidR="003B41AC" w:rsidRPr="00325FAC" w:rsidRDefault="003B41AC" w:rsidP="0074542A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Viz </w:t>
      </w:r>
      <w:r w:rsidRPr="00325FAC">
        <w:rPr>
          <w:rFonts w:ascii="Arial" w:hAnsi="Arial" w:cs="Arial"/>
          <w:sz w:val="18"/>
          <w:szCs w:val="18"/>
        </w:rPr>
        <w:t>http://www.mfcr.cz/cs/verejny-sektor/regulace/ucetni-reforma-verejnych-financi-ucetnic/ucetni-vykaznictvi-statu/pokyny-a-sdeleni/2014/seminar--prezentace-klicovych-analyticky-17319</w:t>
      </w:r>
      <w:r>
        <w:rPr>
          <w:rFonts w:ascii="Arial" w:hAnsi="Arial" w:cs="Arial"/>
          <w:sz w:val="18"/>
          <w:szCs w:val="18"/>
        </w:rPr>
        <w:t>.</w:t>
      </w:r>
    </w:p>
  </w:footnote>
  <w:footnote w:id="25">
    <w:p w:rsidR="003B41AC" w:rsidRPr="00325FAC" w:rsidRDefault="003B41AC" w:rsidP="0074542A">
      <w:pPr>
        <w:pStyle w:val="Normlnweb"/>
        <w:ind w:left="284" w:hanging="284"/>
        <w:rPr>
          <w:sz w:val="18"/>
          <w:szCs w:val="18"/>
          <w:lang w:eastAsia="cs-CZ"/>
        </w:rPr>
      </w:pPr>
      <w:r w:rsidRPr="00325FAC"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lang w:eastAsia="cs-CZ"/>
        </w:rPr>
        <w:tab/>
        <w:t xml:space="preserve">Viz </w:t>
      </w:r>
      <w:r w:rsidRPr="00325FAC">
        <w:rPr>
          <w:sz w:val="18"/>
          <w:szCs w:val="18"/>
          <w:lang w:eastAsia="cs-CZ"/>
        </w:rPr>
        <w:t>http://www.mfcr.cz/cs/verejny-sektor/monitoring/financni-parametry-vykonnosti/kan-provozni-nakladovost#14244)</w:t>
      </w:r>
      <w:r>
        <w:rPr>
          <w:sz w:val="18"/>
          <w:szCs w:val="18"/>
          <w:lang w:eastAsia="cs-CZ"/>
        </w:rPr>
        <w:t>.</w:t>
      </w:r>
    </w:p>
  </w:footnote>
  <w:footnote w:id="26">
    <w:p w:rsidR="003B41AC" w:rsidRPr="00325FAC" w:rsidRDefault="003B41AC" w:rsidP="0074542A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Viz </w:t>
      </w:r>
      <w:r w:rsidRPr="00325FAC">
        <w:rPr>
          <w:rFonts w:ascii="Arial" w:hAnsi="Arial" w:cs="Arial"/>
          <w:sz w:val="18"/>
          <w:szCs w:val="18"/>
        </w:rPr>
        <w:t>http://www.mfcr.cz/cs/verejny-sektor/monitoring/financni-parametry-vykonnosti/kan-provozni-nakladovost</w:t>
      </w:r>
      <w:r>
        <w:rPr>
          <w:rFonts w:ascii="Arial" w:hAnsi="Arial" w:cs="Arial"/>
          <w:sz w:val="18"/>
          <w:szCs w:val="18"/>
        </w:rPr>
        <w:t>.</w:t>
      </w:r>
    </w:p>
  </w:footnote>
  <w:footnote w:id="27">
    <w:p w:rsidR="003B41AC" w:rsidRPr="00325FAC" w:rsidRDefault="003B41AC" w:rsidP="0060784C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 xml:space="preserve">Účet 501 – </w:t>
      </w:r>
      <w:r w:rsidRPr="00325FAC">
        <w:rPr>
          <w:rFonts w:ascii="Arial" w:hAnsi="Arial" w:cs="Arial"/>
          <w:i/>
          <w:sz w:val="18"/>
          <w:szCs w:val="18"/>
        </w:rPr>
        <w:t>Spotřeba materiálu</w:t>
      </w:r>
      <w:r w:rsidRPr="00325FAC">
        <w:rPr>
          <w:rFonts w:ascii="Arial" w:hAnsi="Arial" w:cs="Arial"/>
          <w:sz w:val="18"/>
          <w:szCs w:val="18"/>
        </w:rPr>
        <w:t xml:space="preserve">, 502 – </w:t>
      </w:r>
      <w:r w:rsidRPr="00325FAC">
        <w:rPr>
          <w:rFonts w:ascii="Arial" w:hAnsi="Arial" w:cs="Arial"/>
          <w:i/>
          <w:sz w:val="18"/>
          <w:szCs w:val="18"/>
        </w:rPr>
        <w:t>Spotřeba energie</w:t>
      </w:r>
      <w:r w:rsidRPr="00325FAC">
        <w:rPr>
          <w:rFonts w:ascii="Arial" w:hAnsi="Arial" w:cs="Arial"/>
          <w:sz w:val="18"/>
          <w:szCs w:val="18"/>
        </w:rPr>
        <w:t xml:space="preserve">, 511 – </w:t>
      </w:r>
      <w:r w:rsidRPr="00325FAC">
        <w:rPr>
          <w:rFonts w:ascii="Arial" w:hAnsi="Arial" w:cs="Arial"/>
          <w:i/>
          <w:sz w:val="18"/>
          <w:szCs w:val="18"/>
        </w:rPr>
        <w:t>Opravy a udržování</w:t>
      </w:r>
      <w:r w:rsidRPr="00325FAC">
        <w:rPr>
          <w:rFonts w:ascii="Arial" w:hAnsi="Arial" w:cs="Arial"/>
          <w:sz w:val="18"/>
          <w:szCs w:val="18"/>
        </w:rPr>
        <w:t xml:space="preserve">, 512 – </w:t>
      </w:r>
      <w:r w:rsidRPr="00325FAC">
        <w:rPr>
          <w:rFonts w:ascii="Arial" w:hAnsi="Arial" w:cs="Arial"/>
          <w:i/>
          <w:sz w:val="18"/>
          <w:szCs w:val="18"/>
        </w:rPr>
        <w:t>Cestovn</w:t>
      </w:r>
      <w:r w:rsidRPr="00325FAC">
        <w:rPr>
          <w:rFonts w:ascii="Arial" w:hAnsi="Arial" w:cs="Arial"/>
          <w:sz w:val="18"/>
          <w:szCs w:val="18"/>
        </w:rPr>
        <w:t xml:space="preserve">é, 513 – </w:t>
      </w:r>
      <w:r w:rsidRPr="00325FAC">
        <w:rPr>
          <w:rFonts w:ascii="Arial" w:hAnsi="Arial" w:cs="Arial"/>
          <w:i/>
          <w:sz w:val="18"/>
          <w:szCs w:val="18"/>
        </w:rPr>
        <w:t>Náklady na reprezentaci</w:t>
      </w:r>
      <w:r w:rsidRPr="00325FAC">
        <w:rPr>
          <w:rFonts w:ascii="Arial" w:hAnsi="Arial" w:cs="Arial"/>
          <w:sz w:val="18"/>
          <w:szCs w:val="18"/>
        </w:rPr>
        <w:t xml:space="preserve">, 518 – Ostatní služby, 541 – </w:t>
      </w:r>
      <w:r w:rsidRPr="00325FAC">
        <w:rPr>
          <w:rFonts w:ascii="Arial" w:hAnsi="Arial" w:cs="Arial"/>
          <w:i/>
          <w:sz w:val="18"/>
          <w:szCs w:val="18"/>
        </w:rPr>
        <w:t>Smluvní pokuty a úroky z</w:t>
      </w:r>
      <w:r w:rsidRPr="00325FAC">
        <w:rPr>
          <w:rFonts w:ascii="Arial" w:hAnsi="Arial" w:cs="Arial"/>
          <w:sz w:val="18"/>
          <w:szCs w:val="18"/>
        </w:rPr>
        <w:t xml:space="preserve"> </w:t>
      </w:r>
      <w:r w:rsidRPr="00325FAC">
        <w:rPr>
          <w:rFonts w:ascii="Arial" w:hAnsi="Arial" w:cs="Arial"/>
          <w:i/>
          <w:sz w:val="18"/>
          <w:szCs w:val="18"/>
        </w:rPr>
        <w:t>prodlení</w:t>
      </w:r>
      <w:r w:rsidRPr="00325FAC">
        <w:rPr>
          <w:rFonts w:ascii="Arial" w:hAnsi="Arial" w:cs="Arial"/>
          <w:sz w:val="18"/>
          <w:szCs w:val="18"/>
        </w:rPr>
        <w:t xml:space="preserve">, 542 – </w:t>
      </w:r>
      <w:r w:rsidRPr="00325FAC">
        <w:rPr>
          <w:rFonts w:ascii="Arial" w:hAnsi="Arial" w:cs="Arial"/>
          <w:i/>
          <w:sz w:val="18"/>
          <w:szCs w:val="18"/>
        </w:rPr>
        <w:t>Jiné pokuty a penále</w:t>
      </w:r>
      <w:r w:rsidRPr="00325FAC">
        <w:rPr>
          <w:rFonts w:ascii="Arial" w:hAnsi="Arial" w:cs="Arial"/>
          <w:sz w:val="18"/>
          <w:szCs w:val="18"/>
        </w:rPr>
        <w:t xml:space="preserve">, 543 – </w:t>
      </w:r>
      <w:r w:rsidRPr="00325FAC">
        <w:rPr>
          <w:rFonts w:ascii="Arial" w:hAnsi="Arial" w:cs="Arial"/>
          <w:i/>
          <w:sz w:val="18"/>
          <w:szCs w:val="18"/>
        </w:rPr>
        <w:t>Dary</w:t>
      </w:r>
      <w:r w:rsidRPr="00325FAC">
        <w:rPr>
          <w:rFonts w:ascii="Arial" w:hAnsi="Arial" w:cs="Arial"/>
          <w:sz w:val="18"/>
          <w:szCs w:val="18"/>
        </w:rPr>
        <w:t xml:space="preserve">, 547 – </w:t>
      </w:r>
      <w:r w:rsidRPr="00325FAC">
        <w:rPr>
          <w:rFonts w:ascii="Arial" w:hAnsi="Arial" w:cs="Arial"/>
          <w:i/>
          <w:sz w:val="18"/>
          <w:szCs w:val="18"/>
        </w:rPr>
        <w:t>Manka a škody</w:t>
      </w:r>
      <w:r w:rsidRPr="00325FAC">
        <w:rPr>
          <w:rFonts w:ascii="Arial" w:hAnsi="Arial" w:cs="Arial"/>
          <w:sz w:val="18"/>
          <w:szCs w:val="18"/>
        </w:rPr>
        <w:t>, 549 – </w:t>
      </w:r>
      <w:r w:rsidRPr="00325FAC">
        <w:rPr>
          <w:rFonts w:ascii="Arial" w:hAnsi="Arial" w:cs="Arial"/>
          <w:i/>
          <w:sz w:val="18"/>
          <w:szCs w:val="18"/>
        </w:rPr>
        <w:t>Ostatní náklady z činnosti</w:t>
      </w:r>
      <w:r w:rsidRPr="00325FAC">
        <w:rPr>
          <w:rFonts w:ascii="Arial" w:hAnsi="Arial" w:cs="Arial"/>
          <w:sz w:val="18"/>
          <w:szCs w:val="18"/>
        </w:rPr>
        <w:t xml:space="preserve"> a 558 - </w:t>
      </w:r>
      <w:r w:rsidRPr="00325FAC">
        <w:rPr>
          <w:rFonts w:ascii="Arial" w:hAnsi="Arial" w:cs="Arial"/>
          <w:i/>
          <w:sz w:val="18"/>
          <w:szCs w:val="18"/>
        </w:rPr>
        <w:t>Náklady z drobného</w:t>
      </w:r>
      <w:r w:rsidRPr="00325FAC">
        <w:rPr>
          <w:rFonts w:ascii="Arial" w:hAnsi="Arial" w:cs="Arial"/>
          <w:sz w:val="18"/>
          <w:szCs w:val="18"/>
        </w:rPr>
        <w:t xml:space="preserve"> </w:t>
      </w:r>
      <w:r w:rsidRPr="00325FAC">
        <w:rPr>
          <w:rFonts w:ascii="Arial" w:hAnsi="Arial" w:cs="Arial"/>
          <w:i/>
          <w:sz w:val="18"/>
          <w:szCs w:val="18"/>
        </w:rPr>
        <w:t>dlouhodobého majetku</w:t>
      </w:r>
      <w:r w:rsidRPr="00325FAC">
        <w:rPr>
          <w:rFonts w:ascii="Arial" w:hAnsi="Arial" w:cs="Arial"/>
          <w:sz w:val="18"/>
          <w:szCs w:val="18"/>
        </w:rPr>
        <w:t>.</w:t>
      </w:r>
    </w:p>
  </w:footnote>
  <w:footnote w:id="28">
    <w:p w:rsidR="003B41AC" w:rsidRPr="00325FAC" w:rsidRDefault="003B41AC" w:rsidP="00CD4D30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 xml:space="preserve">Hladina významnosti </w:t>
      </w:r>
      <w:r>
        <w:rPr>
          <w:rFonts w:ascii="Arial" w:hAnsi="Arial" w:cs="Arial"/>
          <w:sz w:val="18"/>
          <w:szCs w:val="18"/>
        </w:rPr>
        <w:t xml:space="preserve">pro účetní závěrku jako celek </w:t>
      </w:r>
      <w:r w:rsidRPr="00325FAC">
        <w:rPr>
          <w:rFonts w:ascii="Arial" w:hAnsi="Arial" w:cs="Arial"/>
          <w:sz w:val="18"/>
          <w:szCs w:val="18"/>
        </w:rPr>
        <w:t>byla stanovena v souladu s dlouhodobě uplatňovaným postupem NKÚ pro posuzování spolehlivosti účetních závěrek organizačních složek státu vycházející z mezinárodní uznávané nejlepší praxe</w:t>
      </w:r>
      <w:r w:rsidRPr="00325FAC">
        <w:rPr>
          <w:rFonts w:ascii="Arial" w:hAnsi="Arial" w:cs="Arial"/>
          <w:sz w:val="18"/>
          <w:szCs w:val="18"/>
          <w:lang w:eastAsia="en-US"/>
        </w:rPr>
        <w:t xml:space="preserve"> na úrovni cca 2 % z celkových nákladů MZe k 31. prosinci 2013</w:t>
      </w:r>
      <w:r w:rsidRPr="00325FAC">
        <w:rPr>
          <w:rFonts w:ascii="Arial" w:hAnsi="Arial" w:cs="Arial"/>
          <w:sz w:val="18"/>
          <w:szCs w:val="18"/>
        </w:rPr>
        <w:t>.</w:t>
      </w:r>
    </w:p>
  </w:footnote>
  <w:footnote w:id="29">
    <w:p w:rsidR="003B41AC" w:rsidRPr="00325FAC" w:rsidRDefault="003B41AC" w:rsidP="00CD4D30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 xml:space="preserve">V souladu s bodem 21 mezinárodního standardu ISSAI 200 </w:t>
      </w:r>
      <w:r w:rsidRPr="00F602C7">
        <w:rPr>
          <w:rFonts w:ascii="Arial" w:hAnsi="Arial" w:cs="Arial"/>
          <w:i/>
          <w:sz w:val="18"/>
          <w:szCs w:val="18"/>
        </w:rPr>
        <w:t>Základní principy finančního auditu</w:t>
      </w:r>
      <w:r w:rsidRPr="00325FAC">
        <w:rPr>
          <w:rFonts w:ascii="Arial" w:hAnsi="Arial" w:cs="Arial"/>
          <w:sz w:val="18"/>
          <w:szCs w:val="18"/>
        </w:rPr>
        <w:t xml:space="preserve"> (zveřejněno na http://www.issai.org/media/69910/issai-200-english.pdf). </w:t>
      </w:r>
    </w:p>
  </w:footnote>
  <w:footnote w:id="30">
    <w:p w:rsidR="003B41AC" w:rsidRPr="00325FAC" w:rsidRDefault="003B41AC" w:rsidP="00CD4D30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NKÚ na problematiku nejednoznačnosti předpisů pro účetnictví upozorňuje již od roku 2011</w:t>
      </w:r>
      <w:r>
        <w:rPr>
          <w:rFonts w:ascii="Arial" w:hAnsi="Arial" w:cs="Arial"/>
          <w:sz w:val="18"/>
          <w:szCs w:val="18"/>
        </w:rPr>
        <w:t>,</w:t>
      </w:r>
      <w:r w:rsidRPr="00325FAC">
        <w:rPr>
          <w:rFonts w:ascii="Arial" w:hAnsi="Arial" w:cs="Arial"/>
          <w:sz w:val="18"/>
          <w:szCs w:val="18"/>
        </w:rPr>
        <w:t xml:space="preserve"> např. v kontrolních závěrech z kontrolní akce č. 10/20 (kontrolní závěr byl zveřejněn v částce 3/2011 </w:t>
      </w:r>
      <w:r w:rsidRPr="00325FAC">
        <w:rPr>
          <w:rFonts w:ascii="Arial" w:hAnsi="Arial" w:cs="Arial"/>
          <w:i/>
          <w:sz w:val="18"/>
          <w:szCs w:val="18"/>
        </w:rPr>
        <w:t>Věstníku NKÚ</w:t>
      </w:r>
      <w:r w:rsidRPr="00325FAC">
        <w:rPr>
          <w:rFonts w:ascii="Arial" w:hAnsi="Arial" w:cs="Arial"/>
          <w:sz w:val="18"/>
          <w:szCs w:val="18"/>
        </w:rPr>
        <w:t>),</w:t>
      </w:r>
      <w:r>
        <w:rPr>
          <w:rFonts w:ascii="Arial" w:hAnsi="Arial" w:cs="Arial"/>
          <w:sz w:val="18"/>
          <w:szCs w:val="18"/>
        </w:rPr>
        <w:t xml:space="preserve"> </w:t>
      </w:r>
      <w:r w:rsidRPr="00325FAC">
        <w:rPr>
          <w:rFonts w:ascii="Arial" w:hAnsi="Arial" w:cs="Arial"/>
          <w:sz w:val="18"/>
          <w:szCs w:val="18"/>
        </w:rPr>
        <w:t xml:space="preserve">kontrolní akce č. 11/29 (kontrolní závěr byl zveřejněn v částce 3/2012 </w:t>
      </w:r>
      <w:r w:rsidRPr="00325FAC">
        <w:rPr>
          <w:rFonts w:ascii="Arial" w:hAnsi="Arial" w:cs="Arial"/>
          <w:i/>
          <w:sz w:val="18"/>
          <w:szCs w:val="18"/>
        </w:rPr>
        <w:t>Věstníku NKÚ</w:t>
      </w:r>
      <w:r w:rsidRPr="00325FAC">
        <w:rPr>
          <w:rFonts w:ascii="Arial" w:hAnsi="Arial" w:cs="Arial"/>
          <w:sz w:val="18"/>
          <w:szCs w:val="18"/>
        </w:rPr>
        <w:t xml:space="preserve">), kontrolní akce č. 12/15 (kontrolní závěr byl zveřejněn v částce 2/2013 </w:t>
      </w:r>
      <w:r w:rsidRPr="00325FAC">
        <w:rPr>
          <w:rFonts w:ascii="Arial" w:hAnsi="Arial" w:cs="Arial"/>
          <w:i/>
          <w:sz w:val="18"/>
          <w:szCs w:val="18"/>
        </w:rPr>
        <w:t>Věstníku NKÚ</w:t>
      </w:r>
      <w:r w:rsidRPr="00325FAC">
        <w:rPr>
          <w:rFonts w:ascii="Arial" w:hAnsi="Arial" w:cs="Arial"/>
          <w:sz w:val="18"/>
          <w:szCs w:val="18"/>
        </w:rPr>
        <w:t xml:space="preserve">), kontrolní akce č. 12/30 (kontrolní závěr byl zveřejněn v částce 3/2013 </w:t>
      </w:r>
      <w:r w:rsidRPr="00874A3C">
        <w:rPr>
          <w:rFonts w:ascii="Arial" w:hAnsi="Arial" w:cs="Arial"/>
          <w:i/>
          <w:sz w:val="18"/>
          <w:szCs w:val="18"/>
        </w:rPr>
        <w:t>Věstníku NKÚ</w:t>
      </w:r>
      <w:r w:rsidRPr="00325FAC">
        <w:rPr>
          <w:rFonts w:ascii="Arial" w:hAnsi="Arial" w:cs="Arial"/>
          <w:sz w:val="18"/>
          <w:szCs w:val="18"/>
        </w:rPr>
        <w:t>).</w:t>
      </w:r>
    </w:p>
  </w:footnote>
  <w:footnote w:id="31">
    <w:p w:rsidR="003B41AC" w:rsidRPr="00325FAC" w:rsidRDefault="003B41AC" w:rsidP="00CD4D30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Tak, jak je uvedeno v části II. tohoto kontrolního závěru.</w:t>
      </w:r>
    </w:p>
  </w:footnote>
  <w:footnote w:id="32">
    <w:p w:rsidR="003B41AC" w:rsidRPr="00325FAC" w:rsidRDefault="003B41AC" w:rsidP="00BB3BC5">
      <w:p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</w:t>
      </w:r>
      <w:r w:rsidRPr="00325FAC">
        <w:rPr>
          <w:rFonts w:ascii="Arial" w:hAnsi="Arial" w:cs="Arial"/>
          <w:sz w:val="18"/>
          <w:szCs w:val="18"/>
        </w:rPr>
        <w:t xml:space="preserve">iz usnesení vlády České republiky </w:t>
      </w:r>
      <w:r w:rsidRPr="00325FAC">
        <w:rPr>
          <w:rFonts w:ascii="Arial" w:eastAsiaTheme="minorHAnsi" w:hAnsi="Arial" w:cs="Arial"/>
          <w:sz w:val="18"/>
          <w:szCs w:val="18"/>
        </w:rPr>
        <w:t>ze dne 23. října 2013 č. 798</w:t>
      </w:r>
      <w:r>
        <w:rPr>
          <w:rFonts w:ascii="Arial" w:eastAsiaTheme="minorHAnsi" w:hAnsi="Arial" w:cs="Arial"/>
          <w:sz w:val="18"/>
          <w:szCs w:val="18"/>
        </w:rPr>
        <w:t>,</w:t>
      </w:r>
      <w:r w:rsidRPr="00325FAC">
        <w:rPr>
          <w:rFonts w:ascii="Arial" w:eastAsiaTheme="minorHAnsi" w:hAnsi="Arial" w:cs="Arial"/>
          <w:sz w:val="18"/>
          <w:szCs w:val="18"/>
        </w:rPr>
        <w:t xml:space="preserve"> </w:t>
      </w:r>
      <w:r w:rsidRPr="00F602C7">
        <w:rPr>
          <w:rFonts w:ascii="Arial" w:eastAsiaTheme="minorHAnsi" w:hAnsi="Arial" w:cs="Arial"/>
          <w:i/>
          <w:sz w:val="18"/>
          <w:szCs w:val="18"/>
        </w:rPr>
        <w:t>k dalšímu zapojení výkonových ukazatelů do rozpočtového procesu</w:t>
      </w:r>
      <w:r w:rsidRPr="00325FAC">
        <w:rPr>
          <w:rFonts w:ascii="Arial" w:eastAsiaTheme="minorHAnsi" w:hAnsi="Arial" w:cs="Arial"/>
          <w:sz w:val="18"/>
          <w:szCs w:val="18"/>
        </w:rPr>
        <w:t>.</w:t>
      </w:r>
    </w:p>
  </w:footnote>
  <w:footnote w:id="33">
    <w:p w:rsidR="003B41AC" w:rsidRPr="00325FAC" w:rsidRDefault="003B41AC" w:rsidP="00BB3BC5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Viz </w:t>
      </w:r>
      <w:hyperlink r:id="rId1" w:history="1">
        <w:r w:rsidRPr="00325FAC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http://monitor.statni</w:t>
        </w:r>
      </w:hyperlink>
      <w:r w:rsidRPr="00325FAC">
        <w:rPr>
          <w:rFonts w:ascii="Arial" w:hAnsi="Arial" w:cs="Arial"/>
          <w:sz w:val="18"/>
          <w:szCs w:val="18"/>
        </w:rPr>
        <w:t>pokladna.cz/2013</w:t>
      </w:r>
      <w:r>
        <w:rPr>
          <w:rFonts w:ascii="Arial" w:hAnsi="Arial" w:cs="Arial"/>
          <w:sz w:val="18"/>
          <w:szCs w:val="18"/>
        </w:rPr>
        <w:t>.</w:t>
      </w:r>
    </w:p>
  </w:footnote>
  <w:footnote w:id="34">
    <w:p w:rsidR="003B41AC" w:rsidRPr="00325FAC" w:rsidRDefault="003B41AC" w:rsidP="00BB3BC5">
      <w:pPr>
        <w:pStyle w:val="Normlnweb"/>
        <w:ind w:left="284" w:hanging="284"/>
        <w:jc w:val="both"/>
        <w:rPr>
          <w:sz w:val="18"/>
          <w:szCs w:val="18"/>
          <w:lang w:eastAsia="cs-CZ"/>
        </w:rPr>
      </w:pPr>
      <w:r w:rsidRPr="00325FAC">
        <w:rPr>
          <w:rStyle w:val="Znakapoznpodarou"/>
          <w:sz w:val="18"/>
          <w:szCs w:val="18"/>
        </w:rPr>
        <w:footnoteRef/>
      </w:r>
      <w:r w:rsidRPr="00325FAC">
        <w:rPr>
          <w:sz w:val="18"/>
          <w:szCs w:val="18"/>
          <w:lang w:eastAsia="cs-CZ"/>
        </w:rPr>
        <w:tab/>
        <w:t xml:space="preserve">MONITOR je přitom (na </w:t>
      </w:r>
      <w:hyperlink r:id="rId2" w:history="1">
        <w:r w:rsidRPr="00325FAC">
          <w:rPr>
            <w:rStyle w:val="Hypertextovodkaz"/>
            <w:color w:val="auto"/>
            <w:sz w:val="18"/>
            <w:szCs w:val="18"/>
            <w:u w:val="none"/>
            <w:lang w:eastAsia="cs-CZ"/>
          </w:rPr>
          <w:t>http://www.mfcr.cz/cs/o-ministerstvu/zakladni-informace/informacni-systemy/iissp--monitor</w:t>
        </w:r>
      </w:hyperlink>
      <w:r w:rsidRPr="00325FAC">
        <w:rPr>
          <w:sz w:val="18"/>
          <w:szCs w:val="18"/>
          <w:lang w:eastAsia="cs-CZ"/>
        </w:rPr>
        <w:t xml:space="preserve">) prezentován jako: „… </w:t>
      </w:r>
      <w:r w:rsidRPr="00AC50B3">
        <w:rPr>
          <w:i/>
          <w:sz w:val="18"/>
          <w:szCs w:val="18"/>
          <w:lang w:eastAsia="cs-CZ"/>
        </w:rPr>
        <w:t xml:space="preserve">specializovaný informační portál Ministerstva financí, který umožňuje veřejnosti volný přístup k rozpočtovým a účetním informacím ze všech úrovní státní správy a samosprávy. Prezentované informace pocházejí ze systému Státní pokladny (IISSP – Integrovaný informační systém státní pokladny) a jsou pravidelně aktualizovány. Aktualizace dat probíhá jednou za čtvrtletí z Centrálního systému účetních informací státu a jednou za měsíc z Rozpočtového informačního systému. MONITOR dále zajišťuje zveřejňování účetních závěrek organizačních složek státu podle § 21a zákona č. 563/1991 Sb., o účetnictví, ve znění pozdějších předpisů </w:t>
      </w:r>
      <w:r w:rsidRPr="00325FAC">
        <w:rPr>
          <w:sz w:val="18"/>
          <w:szCs w:val="18"/>
          <w:lang w:eastAsia="cs-CZ"/>
        </w:rPr>
        <w:t>…“.</w:t>
      </w:r>
    </w:p>
  </w:footnote>
  <w:footnote w:id="35">
    <w:p w:rsidR="003B41AC" w:rsidRPr="00325FAC" w:rsidRDefault="003B41AC" w:rsidP="00E1518E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 xml:space="preserve">Viz </w:t>
      </w:r>
      <w:r w:rsidRPr="00472FC6">
        <w:rPr>
          <w:rFonts w:ascii="Arial" w:hAnsi="Arial" w:cs="Arial"/>
          <w:i/>
          <w:sz w:val="18"/>
          <w:szCs w:val="18"/>
        </w:rPr>
        <w:t xml:space="preserve">Stanovisko Nejvyššího kontrolního úřadu k návrhu státního závěrečného účtu České republiky za rok 2013 </w:t>
      </w:r>
      <w:r w:rsidRPr="00325FAC">
        <w:rPr>
          <w:rFonts w:ascii="Arial" w:hAnsi="Arial" w:cs="Arial"/>
          <w:sz w:val="18"/>
          <w:szCs w:val="18"/>
        </w:rPr>
        <w:t>(zveřejněné na http://www.nku.cz/cz/publikace/stanovisko-nku-k-navrhu-statniho-zaverecneho-uctu-cr-za-rok-2013-id7124/).</w:t>
      </w:r>
    </w:p>
  </w:footnote>
  <w:footnote w:id="36">
    <w:p w:rsidR="003B41AC" w:rsidRPr="00325FAC" w:rsidRDefault="003B41AC" w:rsidP="00E1518E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Viz např.</w:t>
      </w:r>
      <w:r w:rsidRPr="00472FC6">
        <w:rPr>
          <w:rFonts w:ascii="Arial" w:hAnsi="Arial" w:cs="Arial"/>
          <w:i/>
          <w:sz w:val="18"/>
          <w:szCs w:val="18"/>
        </w:rPr>
        <w:t xml:space="preserve"> Stanovisko Nejvyššího kontrolního úřadu k návrhu státního závěrečného účtu České republiky za rok 2011</w:t>
      </w:r>
      <w:r w:rsidRPr="00325FAC">
        <w:rPr>
          <w:rFonts w:ascii="Arial" w:hAnsi="Arial" w:cs="Arial"/>
          <w:sz w:val="18"/>
          <w:szCs w:val="18"/>
        </w:rPr>
        <w:t xml:space="preserve"> (zveřejněné na http://www.nku.cz/cz/publikace/stanoviska-statni-rozpocet.htm)</w:t>
      </w:r>
      <w:r>
        <w:rPr>
          <w:rFonts w:ascii="Arial" w:hAnsi="Arial" w:cs="Arial"/>
          <w:sz w:val="18"/>
          <w:szCs w:val="18"/>
        </w:rPr>
        <w:t>.</w:t>
      </w:r>
    </w:p>
  </w:footnote>
  <w:footnote w:id="37">
    <w:p w:rsidR="003B41AC" w:rsidRPr="00325FAC" w:rsidRDefault="003B41AC" w:rsidP="00E1518E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>V souladu s § 29 odst. 4 zákona č. 218/2000 Sb. jsou správci kapitol státního rozpočtu povinni závěrečný účet své kapitoly po jeho projednání v Poslanecké sněmovně uveřejnit v elektronické podobě způsobem umožňující dálkový nebo nepřetržitý přístup.</w:t>
      </w:r>
    </w:p>
  </w:footnote>
  <w:footnote w:id="38">
    <w:p w:rsidR="003B41AC" w:rsidRPr="00325FAC" w:rsidRDefault="003B41AC" w:rsidP="00E1518E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Viz </w:t>
      </w:r>
      <w:r w:rsidRPr="00325FAC">
        <w:rPr>
          <w:rFonts w:ascii="Arial" w:hAnsi="Arial" w:cs="Arial"/>
          <w:sz w:val="18"/>
          <w:szCs w:val="18"/>
        </w:rPr>
        <w:t>https://apps.odok.cz/kpl-detail?pid=KORN9KGM74YC</w:t>
      </w:r>
      <w:r>
        <w:rPr>
          <w:rFonts w:ascii="Arial" w:hAnsi="Arial" w:cs="Arial"/>
          <w:sz w:val="18"/>
          <w:szCs w:val="18"/>
        </w:rPr>
        <w:t>.</w:t>
      </w:r>
    </w:p>
  </w:footnote>
  <w:footnote w:id="39">
    <w:p w:rsidR="003B41AC" w:rsidRPr="00325FAC" w:rsidRDefault="003B41AC" w:rsidP="00472FC6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 xml:space="preserve">Viz </w:t>
      </w:r>
      <w:r>
        <w:rPr>
          <w:rFonts w:ascii="Arial" w:hAnsi="Arial" w:cs="Arial"/>
          <w:sz w:val="18"/>
          <w:szCs w:val="18"/>
        </w:rPr>
        <w:t>z</w:t>
      </w:r>
      <w:r w:rsidRPr="00325FAC">
        <w:rPr>
          <w:rFonts w:ascii="Arial" w:hAnsi="Arial" w:cs="Arial"/>
          <w:sz w:val="18"/>
          <w:szCs w:val="18"/>
        </w:rPr>
        <w:t xml:space="preserve">práva Komise Radě a Evropskému parlamentu ze dne 6. března 2013 </w:t>
      </w:r>
      <w:r w:rsidRPr="00472FC6">
        <w:rPr>
          <w:rFonts w:ascii="Arial" w:hAnsi="Arial" w:cs="Arial"/>
          <w:i/>
          <w:sz w:val="18"/>
          <w:szCs w:val="18"/>
        </w:rPr>
        <w:t>k Zavádění harmonizovaných účetních standardů pro veřejný sektor členských států</w:t>
      </w:r>
      <w:r w:rsidRPr="00325FAC">
        <w:rPr>
          <w:rFonts w:ascii="Arial" w:hAnsi="Arial" w:cs="Arial"/>
          <w:sz w:val="18"/>
          <w:szCs w:val="18"/>
        </w:rPr>
        <w:t xml:space="preserve"> (zveřejněno na http://register.consilium.europa.eu/doc/srv?l=CS&amp;f=ST%207677%202013%20INIT).</w:t>
      </w:r>
    </w:p>
  </w:footnote>
  <w:footnote w:id="40">
    <w:p w:rsidR="003B41AC" w:rsidRPr="00325FAC" w:rsidRDefault="003B41AC" w:rsidP="00496EDE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Viz </w:t>
      </w:r>
      <w:r w:rsidRPr="00325FAC">
        <w:rPr>
          <w:rFonts w:ascii="Arial" w:hAnsi="Arial" w:cs="Arial"/>
          <w:sz w:val="18"/>
          <w:szCs w:val="18"/>
        </w:rPr>
        <w:t>https://apps.odok.cz/djv-agenda?date=2014-07-09</w:t>
      </w:r>
      <w:r>
        <w:rPr>
          <w:rFonts w:ascii="Arial" w:hAnsi="Arial" w:cs="Arial"/>
          <w:sz w:val="18"/>
          <w:szCs w:val="18"/>
        </w:rPr>
        <w:t>.</w:t>
      </w:r>
    </w:p>
  </w:footnote>
  <w:footnote w:id="41">
    <w:p w:rsidR="003B41AC" w:rsidRPr="00325FAC" w:rsidRDefault="003B41AC" w:rsidP="00472FC6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325FAC">
        <w:rPr>
          <w:rStyle w:val="Znakapoznpodarou"/>
          <w:rFonts w:ascii="Arial" w:hAnsi="Arial" w:cs="Arial"/>
          <w:sz w:val="18"/>
          <w:szCs w:val="18"/>
        </w:rPr>
        <w:footnoteRef/>
      </w:r>
      <w:r w:rsidRPr="00325FAC">
        <w:rPr>
          <w:rFonts w:ascii="Arial" w:hAnsi="Arial" w:cs="Arial"/>
          <w:sz w:val="18"/>
          <w:szCs w:val="18"/>
        </w:rPr>
        <w:tab/>
        <w:t xml:space="preserve">Viz </w:t>
      </w:r>
      <w:r>
        <w:rPr>
          <w:rFonts w:ascii="Arial" w:hAnsi="Arial" w:cs="Arial"/>
          <w:sz w:val="18"/>
          <w:szCs w:val="18"/>
        </w:rPr>
        <w:t>z</w:t>
      </w:r>
      <w:r w:rsidRPr="00325FAC">
        <w:rPr>
          <w:rFonts w:ascii="Arial" w:hAnsi="Arial" w:cs="Arial"/>
          <w:sz w:val="18"/>
          <w:szCs w:val="18"/>
        </w:rPr>
        <w:t xml:space="preserve">práva Komise Radě a Evropskému parlamentu ze dne 6. března 2013 </w:t>
      </w:r>
      <w:r w:rsidRPr="00472FC6">
        <w:rPr>
          <w:rFonts w:ascii="Arial" w:hAnsi="Arial" w:cs="Arial"/>
          <w:i/>
          <w:sz w:val="18"/>
          <w:szCs w:val="18"/>
        </w:rPr>
        <w:t>k Zavádění harmonizovaných účetních standardů pro veřejný sektor členských států</w:t>
      </w:r>
      <w:r w:rsidRPr="00325FAC">
        <w:rPr>
          <w:rFonts w:ascii="Arial" w:hAnsi="Arial" w:cs="Arial"/>
          <w:sz w:val="18"/>
          <w:szCs w:val="18"/>
        </w:rPr>
        <w:t xml:space="preserve"> (zveřejněno na http://register.consilium.europa.eu/doc/srv?l=CS&amp;f=ST%207677%202013%20INIT).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610"/>
    <w:multiLevelType w:val="hybridMultilevel"/>
    <w:tmpl w:val="72AE1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11E04"/>
    <w:multiLevelType w:val="hybridMultilevel"/>
    <w:tmpl w:val="2E049F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0A9F1855"/>
    <w:multiLevelType w:val="hybridMultilevel"/>
    <w:tmpl w:val="7012C9EC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0DC862DD"/>
    <w:multiLevelType w:val="hybridMultilevel"/>
    <w:tmpl w:val="1ACC4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948EA"/>
    <w:multiLevelType w:val="hybridMultilevel"/>
    <w:tmpl w:val="FDD4548E"/>
    <w:lvl w:ilvl="0" w:tplc="5490A942">
      <w:numFmt w:val="bullet"/>
      <w:lvlText w:val="–"/>
      <w:lvlJc w:val="left"/>
      <w:pPr>
        <w:tabs>
          <w:tab w:val="num" w:pos="684"/>
        </w:tabs>
        <w:ind w:left="684" w:hanging="684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ascii="Times New Roman" w:hAnsi="Times New Roman" w:cs="Times New Roman"/>
      </w:rPr>
    </w:lvl>
  </w:abstractNum>
  <w:abstractNum w:abstractNumId="5">
    <w:nsid w:val="14C86A38"/>
    <w:multiLevelType w:val="hybridMultilevel"/>
    <w:tmpl w:val="6B949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C75D6"/>
    <w:multiLevelType w:val="hybridMultilevel"/>
    <w:tmpl w:val="B7026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B3317"/>
    <w:multiLevelType w:val="hybridMultilevel"/>
    <w:tmpl w:val="47749DB0"/>
    <w:lvl w:ilvl="0" w:tplc="5490A94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CD421C"/>
    <w:multiLevelType w:val="hybridMultilevel"/>
    <w:tmpl w:val="F49E07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F700B"/>
    <w:multiLevelType w:val="hybridMultilevel"/>
    <w:tmpl w:val="64C2F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55317"/>
    <w:multiLevelType w:val="hybridMultilevel"/>
    <w:tmpl w:val="E2E4E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33FC6"/>
    <w:multiLevelType w:val="hybridMultilevel"/>
    <w:tmpl w:val="9C7A6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F3887"/>
    <w:multiLevelType w:val="hybridMultilevel"/>
    <w:tmpl w:val="B1E05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D3C70"/>
    <w:multiLevelType w:val="hybridMultilevel"/>
    <w:tmpl w:val="9D86C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25832"/>
    <w:multiLevelType w:val="hybridMultilevel"/>
    <w:tmpl w:val="B6882B38"/>
    <w:lvl w:ilvl="0" w:tplc="5490A94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532B58"/>
    <w:multiLevelType w:val="multilevel"/>
    <w:tmpl w:val="F74E063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nsid w:val="374F1FC9"/>
    <w:multiLevelType w:val="hybridMultilevel"/>
    <w:tmpl w:val="58309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B46E1"/>
    <w:multiLevelType w:val="hybridMultilevel"/>
    <w:tmpl w:val="CB865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E34487"/>
    <w:multiLevelType w:val="hybridMultilevel"/>
    <w:tmpl w:val="751AC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35BBC"/>
    <w:multiLevelType w:val="hybridMultilevel"/>
    <w:tmpl w:val="1C5A2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129C9"/>
    <w:multiLevelType w:val="hybridMultilevel"/>
    <w:tmpl w:val="73700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F65F2"/>
    <w:multiLevelType w:val="hybridMultilevel"/>
    <w:tmpl w:val="93EE9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2625B"/>
    <w:multiLevelType w:val="hybridMultilevel"/>
    <w:tmpl w:val="11BE2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56A6B"/>
    <w:multiLevelType w:val="hybridMultilevel"/>
    <w:tmpl w:val="C8060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56AAD"/>
    <w:multiLevelType w:val="hybridMultilevel"/>
    <w:tmpl w:val="98D80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4D1805"/>
    <w:multiLevelType w:val="hybridMultilevel"/>
    <w:tmpl w:val="5290EF6A"/>
    <w:lvl w:ilvl="0" w:tplc="E1CE56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54673"/>
    <w:multiLevelType w:val="hybridMultilevel"/>
    <w:tmpl w:val="4022D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854D7C"/>
    <w:multiLevelType w:val="hybridMultilevel"/>
    <w:tmpl w:val="AE9E8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1E67D7"/>
    <w:multiLevelType w:val="hybridMultilevel"/>
    <w:tmpl w:val="D6E83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31D4C"/>
    <w:multiLevelType w:val="hybridMultilevel"/>
    <w:tmpl w:val="94365BFC"/>
    <w:lvl w:ilvl="0" w:tplc="BAA00A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7E65A3"/>
    <w:multiLevelType w:val="hybridMultilevel"/>
    <w:tmpl w:val="E9E0C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B1340"/>
    <w:multiLevelType w:val="hybridMultilevel"/>
    <w:tmpl w:val="6B982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C76C61"/>
    <w:multiLevelType w:val="hybridMultilevel"/>
    <w:tmpl w:val="9F6C6784"/>
    <w:lvl w:ilvl="0" w:tplc="5490A94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49C4BDE"/>
    <w:multiLevelType w:val="multilevel"/>
    <w:tmpl w:val="A462D1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4">
    <w:nsid w:val="75521D67"/>
    <w:multiLevelType w:val="hybridMultilevel"/>
    <w:tmpl w:val="4E044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25138E"/>
    <w:multiLevelType w:val="hybridMultilevel"/>
    <w:tmpl w:val="B3928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66E70"/>
    <w:multiLevelType w:val="hybridMultilevel"/>
    <w:tmpl w:val="8334E6D6"/>
    <w:lvl w:ilvl="0" w:tplc="29BC92A6">
      <w:start w:val="1"/>
      <w:numFmt w:val="lowerLetter"/>
      <w:pStyle w:val="Mallen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33"/>
  </w:num>
  <w:num w:numId="4">
    <w:abstractNumId w:val="12"/>
  </w:num>
  <w:num w:numId="5">
    <w:abstractNumId w:val="7"/>
  </w:num>
  <w:num w:numId="6">
    <w:abstractNumId w:val="32"/>
  </w:num>
  <w:num w:numId="7">
    <w:abstractNumId w:val="14"/>
  </w:num>
  <w:num w:numId="8">
    <w:abstractNumId w:val="24"/>
  </w:num>
  <w:num w:numId="9">
    <w:abstractNumId w:val="28"/>
  </w:num>
  <w:num w:numId="10">
    <w:abstractNumId w:val="20"/>
  </w:num>
  <w:num w:numId="11">
    <w:abstractNumId w:val="1"/>
  </w:num>
  <w:num w:numId="12">
    <w:abstractNumId w:val="26"/>
  </w:num>
  <w:num w:numId="13">
    <w:abstractNumId w:val="29"/>
  </w:num>
  <w:num w:numId="14">
    <w:abstractNumId w:val="25"/>
  </w:num>
  <w:num w:numId="15">
    <w:abstractNumId w:val="8"/>
  </w:num>
  <w:num w:numId="16">
    <w:abstractNumId w:val="15"/>
  </w:num>
  <w:num w:numId="17">
    <w:abstractNumId w:val="3"/>
  </w:num>
  <w:num w:numId="18">
    <w:abstractNumId w:val="13"/>
  </w:num>
  <w:num w:numId="19">
    <w:abstractNumId w:val="6"/>
  </w:num>
  <w:num w:numId="20">
    <w:abstractNumId w:val="18"/>
  </w:num>
  <w:num w:numId="21">
    <w:abstractNumId w:val="30"/>
  </w:num>
  <w:num w:numId="22">
    <w:abstractNumId w:val="19"/>
  </w:num>
  <w:num w:numId="23">
    <w:abstractNumId w:val="22"/>
  </w:num>
  <w:num w:numId="24">
    <w:abstractNumId w:val="5"/>
  </w:num>
  <w:num w:numId="25">
    <w:abstractNumId w:val="11"/>
  </w:num>
  <w:num w:numId="26">
    <w:abstractNumId w:val="17"/>
  </w:num>
  <w:num w:numId="27">
    <w:abstractNumId w:val="31"/>
  </w:num>
  <w:num w:numId="28">
    <w:abstractNumId w:val="9"/>
  </w:num>
  <w:num w:numId="29">
    <w:abstractNumId w:val="16"/>
  </w:num>
  <w:num w:numId="30">
    <w:abstractNumId w:val="23"/>
  </w:num>
  <w:num w:numId="31">
    <w:abstractNumId w:val="10"/>
  </w:num>
  <w:num w:numId="32">
    <w:abstractNumId w:val="27"/>
  </w:num>
  <w:num w:numId="33">
    <w:abstractNumId w:val="2"/>
  </w:num>
  <w:num w:numId="34">
    <w:abstractNumId w:val="21"/>
  </w:num>
  <w:num w:numId="35">
    <w:abstractNumId w:val="34"/>
  </w:num>
  <w:num w:numId="36">
    <w:abstractNumId w:val="35"/>
  </w:num>
  <w:num w:numId="3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7A"/>
    <w:rsid w:val="0001120C"/>
    <w:rsid w:val="00011D44"/>
    <w:rsid w:val="0001493E"/>
    <w:rsid w:val="00022618"/>
    <w:rsid w:val="00023333"/>
    <w:rsid w:val="00031A3A"/>
    <w:rsid w:val="000328B2"/>
    <w:rsid w:val="000400DE"/>
    <w:rsid w:val="00043678"/>
    <w:rsid w:val="000509B8"/>
    <w:rsid w:val="00051E78"/>
    <w:rsid w:val="000533F8"/>
    <w:rsid w:val="0005395A"/>
    <w:rsid w:val="00053C40"/>
    <w:rsid w:val="00062C98"/>
    <w:rsid w:val="000636C8"/>
    <w:rsid w:val="0006627D"/>
    <w:rsid w:val="00067B75"/>
    <w:rsid w:val="00077353"/>
    <w:rsid w:val="00077908"/>
    <w:rsid w:val="000802FA"/>
    <w:rsid w:val="0008364F"/>
    <w:rsid w:val="00085078"/>
    <w:rsid w:val="000856E8"/>
    <w:rsid w:val="000A0CD5"/>
    <w:rsid w:val="000B06A9"/>
    <w:rsid w:val="000B102E"/>
    <w:rsid w:val="000B37CA"/>
    <w:rsid w:val="000B6590"/>
    <w:rsid w:val="000C3B50"/>
    <w:rsid w:val="000C565C"/>
    <w:rsid w:val="000D16E3"/>
    <w:rsid w:val="000D3024"/>
    <w:rsid w:val="000D3BF9"/>
    <w:rsid w:val="000D3C02"/>
    <w:rsid w:val="000D40D3"/>
    <w:rsid w:val="000D4F62"/>
    <w:rsid w:val="000D6A3C"/>
    <w:rsid w:val="000D705C"/>
    <w:rsid w:val="000D7A65"/>
    <w:rsid w:val="000E0929"/>
    <w:rsid w:val="000E20D3"/>
    <w:rsid w:val="000E37D9"/>
    <w:rsid w:val="000E66D3"/>
    <w:rsid w:val="000E76D1"/>
    <w:rsid w:val="000F709A"/>
    <w:rsid w:val="00105B6A"/>
    <w:rsid w:val="00106056"/>
    <w:rsid w:val="00107B2A"/>
    <w:rsid w:val="0011037B"/>
    <w:rsid w:val="00116D32"/>
    <w:rsid w:val="0011722B"/>
    <w:rsid w:val="00120E9A"/>
    <w:rsid w:val="00122894"/>
    <w:rsid w:val="00124A20"/>
    <w:rsid w:val="00127A3B"/>
    <w:rsid w:val="00132983"/>
    <w:rsid w:val="001344E5"/>
    <w:rsid w:val="00135F0C"/>
    <w:rsid w:val="0013685A"/>
    <w:rsid w:val="001408AA"/>
    <w:rsid w:val="00145653"/>
    <w:rsid w:val="00151029"/>
    <w:rsid w:val="00151B97"/>
    <w:rsid w:val="00154B39"/>
    <w:rsid w:val="00155074"/>
    <w:rsid w:val="00162EC8"/>
    <w:rsid w:val="00166A10"/>
    <w:rsid w:val="00167427"/>
    <w:rsid w:val="00167C2E"/>
    <w:rsid w:val="00167F80"/>
    <w:rsid w:val="00172207"/>
    <w:rsid w:val="00172A74"/>
    <w:rsid w:val="00173355"/>
    <w:rsid w:val="0018074A"/>
    <w:rsid w:val="001927C7"/>
    <w:rsid w:val="0019362E"/>
    <w:rsid w:val="001A052E"/>
    <w:rsid w:val="001A0CAB"/>
    <w:rsid w:val="001A13F7"/>
    <w:rsid w:val="001B3527"/>
    <w:rsid w:val="001C17A3"/>
    <w:rsid w:val="001C3230"/>
    <w:rsid w:val="001C3446"/>
    <w:rsid w:val="001C4AEF"/>
    <w:rsid w:val="001C62A4"/>
    <w:rsid w:val="001C794D"/>
    <w:rsid w:val="001D0B61"/>
    <w:rsid w:val="001D2F52"/>
    <w:rsid w:val="001D7D74"/>
    <w:rsid w:val="001F2EF7"/>
    <w:rsid w:val="001F72FA"/>
    <w:rsid w:val="001F7919"/>
    <w:rsid w:val="00202885"/>
    <w:rsid w:val="00216978"/>
    <w:rsid w:val="0022151F"/>
    <w:rsid w:val="002215D0"/>
    <w:rsid w:val="00223F94"/>
    <w:rsid w:val="0023022F"/>
    <w:rsid w:val="00230AD8"/>
    <w:rsid w:val="00240F5E"/>
    <w:rsid w:val="00247111"/>
    <w:rsid w:val="00253D70"/>
    <w:rsid w:val="00253FE0"/>
    <w:rsid w:val="00260AD3"/>
    <w:rsid w:val="0026117A"/>
    <w:rsid w:val="0026499D"/>
    <w:rsid w:val="002770FF"/>
    <w:rsid w:val="002776AB"/>
    <w:rsid w:val="00290599"/>
    <w:rsid w:val="002A1628"/>
    <w:rsid w:val="002A1A49"/>
    <w:rsid w:val="002A6B9A"/>
    <w:rsid w:val="002A6FF4"/>
    <w:rsid w:val="002A778E"/>
    <w:rsid w:val="002B54CD"/>
    <w:rsid w:val="002B5B02"/>
    <w:rsid w:val="002B6C66"/>
    <w:rsid w:val="002B6F92"/>
    <w:rsid w:val="002B7342"/>
    <w:rsid w:val="002C5C28"/>
    <w:rsid w:val="002D2BBF"/>
    <w:rsid w:val="002D41C7"/>
    <w:rsid w:val="002D64F0"/>
    <w:rsid w:val="002E4395"/>
    <w:rsid w:val="002E6561"/>
    <w:rsid w:val="002E6ADE"/>
    <w:rsid w:val="002E762B"/>
    <w:rsid w:val="002F26B1"/>
    <w:rsid w:val="002F401C"/>
    <w:rsid w:val="002F5562"/>
    <w:rsid w:val="002F70C7"/>
    <w:rsid w:val="00311E3E"/>
    <w:rsid w:val="00313FE2"/>
    <w:rsid w:val="003225A6"/>
    <w:rsid w:val="00323035"/>
    <w:rsid w:val="00325FAC"/>
    <w:rsid w:val="0032777D"/>
    <w:rsid w:val="00330266"/>
    <w:rsid w:val="003321D7"/>
    <w:rsid w:val="00335022"/>
    <w:rsid w:val="00335559"/>
    <w:rsid w:val="00335A35"/>
    <w:rsid w:val="003378A9"/>
    <w:rsid w:val="00354599"/>
    <w:rsid w:val="00354AD3"/>
    <w:rsid w:val="00355F91"/>
    <w:rsid w:val="003614FE"/>
    <w:rsid w:val="0036754B"/>
    <w:rsid w:val="00374457"/>
    <w:rsid w:val="00376CCD"/>
    <w:rsid w:val="00377E36"/>
    <w:rsid w:val="003813DF"/>
    <w:rsid w:val="00381DE9"/>
    <w:rsid w:val="0038417A"/>
    <w:rsid w:val="003852E4"/>
    <w:rsid w:val="00387851"/>
    <w:rsid w:val="00387A09"/>
    <w:rsid w:val="00395D96"/>
    <w:rsid w:val="0039784B"/>
    <w:rsid w:val="003B401F"/>
    <w:rsid w:val="003B41AC"/>
    <w:rsid w:val="003C081A"/>
    <w:rsid w:val="003C13E9"/>
    <w:rsid w:val="003C3DCC"/>
    <w:rsid w:val="003C713A"/>
    <w:rsid w:val="003D477B"/>
    <w:rsid w:val="003E4104"/>
    <w:rsid w:val="003F152D"/>
    <w:rsid w:val="003F4928"/>
    <w:rsid w:val="00400963"/>
    <w:rsid w:val="0041005E"/>
    <w:rsid w:val="00412400"/>
    <w:rsid w:val="0041441D"/>
    <w:rsid w:val="00414C67"/>
    <w:rsid w:val="00416895"/>
    <w:rsid w:val="00426CEA"/>
    <w:rsid w:val="004302BA"/>
    <w:rsid w:val="004304A0"/>
    <w:rsid w:val="00430D9B"/>
    <w:rsid w:val="00431A81"/>
    <w:rsid w:val="00437166"/>
    <w:rsid w:val="004379DF"/>
    <w:rsid w:val="004415AC"/>
    <w:rsid w:val="004452EA"/>
    <w:rsid w:val="00447758"/>
    <w:rsid w:val="00447B2B"/>
    <w:rsid w:val="004513BE"/>
    <w:rsid w:val="004578E5"/>
    <w:rsid w:val="0046359D"/>
    <w:rsid w:val="0046569F"/>
    <w:rsid w:val="00467544"/>
    <w:rsid w:val="0047110F"/>
    <w:rsid w:val="00472FC6"/>
    <w:rsid w:val="00486D04"/>
    <w:rsid w:val="00487042"/>
    <w:rsid w:val="0048756C"/>
    <w:rsid w:val="00487CD5"/>
    <w:rsid w:val="00492FB0"/>
    <w:rsid w:val="00495A70"/>
    <w:rsid w:val="00496EDE"/>
    <w:rsid w:val="00497466"/>
    <w:rsid w:val="004A0137"/>
    <w:rsid w:val="004A531C"/>
    <w:rsid w:val="004B1E8A"/>
    <w:rsid w:val="004B2F6F"/>
    <w:rsid w:val="004B7DAA"/>
    <w:rsid w:val="004C0001"/>
    <w:rsid w:val="004C26EF"/>
    <w:rsid w:val="004C4A5A"/>
    <w:rsid w:val="004C5B28"/>
    <w:rsid w:val="004C5C83"/>
    <w:rsid w:val="004D1CD1"/>
    <w:rsid w:val="004D29EB"/>
    <w:rsid w:val="004D63C6"/>
    <w:rsid w:val="004E3284"/>
    <w:rsid w:val="004E4ECD"/>
    <w:rsid w:val="00500545"/>
    <w:rsid w:val="00502723"/>
    <w:rsid w:val="0050410C"/>
    <w:rsid w:val="00506120"/>
    <w:rsid w:val="00513B1C"/>
    <w:rsid w:val="0052371E"/>
    <w:rsid w:val="00523F45"/>
    <w:rsid w:val="00531A2E"/>
    <w:rsid w:val="00533741"/>
    <w:rsid w:val="0053752D"/>
    <w:rsid w:val="005470CF"/>
    <w:rsid w:val="005519C2"/>
    <w:rsid w:val="005528E7"/>
    <w:rsid w:val="00565578"/>
    <w:rsid w:val="00565B84"/>
    <w:rsid w:val="00567C58"/>
    <w:rsid w:val="00572FFB"/>
    <w:rsid w:val="00573D51"/>
    <w:rsid w:val="00582F89"/>
    <w:rsid w:val="00584D8A"/>
    <w:rsid w:val="005876A6"/>
    <w:rsid w:val="00594AD6"/>
    <w:rsid w:val="005A1D06"/>
    <w:rsid w:val="005A4C77"/>
    <w:rsid w:val="005B10FD"/>
    <w:rsid w:val="005B1B65"/>
    <w:rsid w:val="005B5BB4"/>
    <w:rsid w:val="005C0E84"/>
    <w:rsid w:val="005C0FDB"/>
    <w:rsid w:val="005C558B"/>
    <w:rsid w:val="005C7F23"/>
    <w:rsid w:val="005D2186"/>
    <w:rsid w:val="005D337D"/>
    <w:rsid w:val="005D7083"/>
    <w:rsid w:val="005E244B"/>
    <w:rsid w:val="005F40EF"/>
    <w:rsid w:val="0060312A"/>
    <w:rsid w:val="00603B27"/>
    <w:rsid w:val="0060784C"/>
    <w:rsid w:val="00613FFC"/>
    <w:rsid w:val="00615F9B"/>
    <w:rsid w:val="00626E4F"/>
    <w:rsid w:val="006303C3"/>
    <w:rsid w:val="00630C2E"/>
    <w:rsid w:val="00635D67"/>
    <w:rsid w:val="00636DDB"/>
    <w:rsid w:val="00646ABE"/>
    <w:rsid w:val="006470ED"/>
    <w:rsid w:val="006508D6"/>
    <w:rsid w:val="0065114E"/>
    <w:rsid w:val="00656175"/>
    <w:rsid w:val="00662FD8"/>
    <w:rsid w:val="0066311C"/>
    <w:rsid w:val="0066685A"/>
    <w:rsid w:val="00666E36"/>
    <w:rsid w:val="00666E53"/>
    <w:rsid w:val="00667D44"/>
    <w:rsid w:val="0067098D"/>
    <w:rsid w:val="00674910"/>
    <w:rsid w:val="00677B1D"/>
    <w:rsid w:val="0068724A"/>
    <w:rsid w:val="0068738C"/>
    <w:rsid w:val="00692ACF"/>
    <w:rsid w:val="00693873"/>
    <w:rsid w:val="006949CA"/>
    <w:rsid w:val="00696451"/>
    <w:rsid w:val="006966D0"/>
    <w:rsid w:val="006A02BE"/>
    <w:rsid w:val="006A51C7"/>
    <w:rsid w:val="006B01A8"/>
    <w:rsid w:val="006B4E35"/>
    <w:rsid w:val="006B59F5"/>
    <w:rsid w:val="006C1FFC"/>
    <w:rsid w:val="006C293E"/>
    <w:rsid w:val="006C2AB8"/>
    <w:rsid w:val="006C458C"/>
    <w:rsid w:val="006C7111"/>
    <w:rsid w:val="006D0C57"/>
    <w:rsid w:val="006D1169"/>
    <w:rsid w:val="006D1779"/>
    <w:rsid w:val="006D4720"/>
    <w:rsid w:val="006D5403"/>
    <w:rsid w:val="006D6873"/>
    <w:rsid w:val="006E00CE"/>
    <w:rsid w:val="006E1D28"/>
    <w:rsid w:val="006E2E61"/>
    <w:rsid w:val="006E32C1"/>
    <w:rsid w:val="006F0273"/>
    <w:rsid w:val="006F0E1D"/>
    <w:rsid w:val="006F526E"/>
    <w:rsid w:val="006F73B1"/>
    <w:rsid w:val="007034D8"/>
    <w:rsid w:val="00703B6B"/>
    <w:rsid w:val="00704327"/>
    <w:rsid w:val="00704349"/>
    <w:rsid w:val="00707465"/>
    <w:rsid w:val="00710C84"/>
    <w:rsid w:val="00716969"/>
    <w:rsid w:val="00716F7C"/>
    <w:rsid w:val="007171E9"/>
    <w:rsid w:val="00717B4D"/>
    <w:rsid w:val="00721097"/>
    <w:rsid w:val="00721664"/>
    <w:rsid w:val="00734A2B"/>
    <w:rsid w:val="0074103C"/>
    <w:rsid w:val="007438B1"/>
    <w:rsid w:val="0074542A"/>
    <w:rsid w:val="007475D0"/>
    <w:rsid w:val="00747C12"/>
    <w:rsid w:val="00755A36"/>
    <w:rsid w:val="00755CD7"/>
    <w:rsid w:val="007567A1"/>
    <w:rsid w:val="00764F5A"/>
    <w:rsid w:val="00767246"/>
    <w:rsid w:val="00772D71"/>
    <w:rsid w:val="007752D7"/>
    <w:rsid w:val="00780001"/>
    <w:rsid w:val="0078001B"/>
    <w:rsid w:val="00782998"/>
    <w:rsid w:val="00783C7F"/>
    <w:rsid w:val="00784CBD"/>
    <w:rsid w:val="007872A2"/>
    <w:rsid w:val="007977F1"/>
    <w:rsid w:val="007A0D33"/>
    <w:rsid w:val="007A1CD7"/>
    <w:rsid w:val="007A48AF"/>
    <w:rsid w:val="007A516C"/>
    <w:rsid w:val="007A5267"/>
    <w:rsid w:val="007B299B"/>
    <w:rsid w:val="007B33D9"/>
    <w:rsid w:val="007B50B5"/>
    <w:rsid w:val="007C4101"/>
    <w:rsid w:val="007C593B"/>
    <w:rsid w:val="007D0935"/>
    <w:rsid w:val="007D3B39"/>
    <w:rsid w:val="007D3E73"/>
    <w:rsid w:val="007D44BE"/>
    <w:rsid w:val="007D7E7C"/>
    <w:rsid w:val="007E6632"/>
    <w:rsid w:val="007F6683"/>
    <w:rsid w:val="008018FC"/>
    <w:rsid w:val="00804CDF"/>
    <w:rsid w:val="00822329"/>
    <w:rsid w:val="00822647"/>
    <w:rsid w:val="00825807"/>
    <w:rsid w:val="008302AF"/>
    <w:rsid w:val="00834D1B"/>
    <w:rsid w:val="00836431"/>
    <w:rsid w:val="008379A1"/>
    <w:rsid w:val="00841D32"/>
    <w:rsid w:val="00842460"/>
    <w:rsid w:val="00845251"/>
    <w:rsid w:val="00850D54"/>
    <w:rsid w:val="008520AD"/>
    <w:rsid w:val="00856C99"/>
    <w:rsid w:val="008577C6"/>
    <w:rsid w:val="0086068E"/>
    <w:rsid w:val="008613D7"/>
    <w:rsid w:val="0086271F"/>
    <w:rsid w:val="00867BE2"/>
    <w:rsid w:val="00874A3C"/>
    <w:rsid w:val="00890453"/>
    <w:rsid w:val="00896ACD"/>
    <w:rsid w:val="008A56E4"/>
    <w:rsid w:val="008B1133"/>
    <w:rsid w:val="008B62D5"/>
    <w:rsid w:val="008C1856"/>
    <w:rsid w:val="008C1A5C"/>
    <w:rsid w:val="008C6529"/>
    <w:rsid w:val="008C65BF"/>
    <w:rsid w:val="008C73BF"/>
    <w:rsid w:val="008D22AB"/>
    <w:rsid w:val="008D417A"/>
    <w:rsid w:val="008E01DB"/>
    <w:rsid w:val="008E04F2"/>
    <w:rsid w:val="008E41B0"/>
    <w:rsid w:val="008E4A3E"/>
    <w:rsid w:val="008E678C"/>
    <w:rsid w:val="008F2DAA"/>
    <w:rsid w:val="008F43A5"/>
    <w:rsid w:val="00900F16"/>
    <w:rsid w:val="00901EC4"/>
    <w:rsid w:val="00905122"/>
    <w:rsid w:val="009069A8"/>
    <w:rsid w:val="00906EF4"/>
    <w:rsid w:val="00911642"/>
    <w:rsid w:val="00917580"/>
    <w:rsid w:val="009202B4"/>
    <w:rsid w:val="00922BE9"/>
    <w:rsid w:val="00925FB6"/>
    <w:rsid w:val="00933E50"/>
    <w:rsid w:val="00934DAD"/>
    <w:rsid w:val="00934DBB"/>
    <w:rsid w:val="00942DB6"/>
    <w:rsid w:val="00943E51"/>
    <w:rsid w:val="00944AB8"/>
    <w:rsid w:val="00947518"/>
    <w:rsid w:val="009522FE"/>
    <w:rsid w:val="0095732B"/>
    <w:rsid w:val="0097370C"/>
    <w:rsid w:val="009842A2"/>
    <w:rsid w:val="00985497"/>
    <w:rsid w:val="00986C67"/>
    <w:rsid w:val="009877BE"/>
    <w:rsid w:val="00987B89"/>
    <w:rsid w:val="00996BB1"/>
    <w:rsid w:val="00997F1A"/>
    <w:rsid w:val="009A58B0"/>
    <w:rsid w:val="009B313E"/>
    <w:rsid w:val="009B63FB"/>
    <w:rsid w:val="009B6FBA"/>
    <w:rsid w:val="009B7F21"/>
    <w:rsid w:val="009C3C39"/>
    <w:rsid w:val="009C5556"/>
    <w:rsid w:val="009C584E"/>
    <w:rsid w:val="009C6B76"/>
    <w:rsid w:val="009C766F"/>
    <w:rsid w:val="009D0A7A"/>
    <w:rsid w:val="009D1E1F"/>
    <w:rsid w:val="009D6261"/>
    <w:rsid w:val="009D6E8A"/>
    <w:rsid w:val="009E4A87"/>
    <w:rsid w:val="009E5CC0"/>
    <w:rsid w:val="009E5FB6"/>
    <w:rsid w:val="009F5C85"/>
    <w:rsid w:val="009F617C"/>
    <w:rsid w:val="009F632D"/>
    <w:rsid w:val="00A02736"/>
    <w:rsid w:val="00A04197"/>
    <w:rsid w:val="00A13BE5"/>
    <w:rsid w:val="00A13EA3"/>
    <w:rsid w:val="00A22C08"/>
    <w:rsid w:val="00A26779"/>
    <w:rsid w:val="00A2755F"/>
    <w:rsid w:val="00A312AC"/>
    <w:rsid w:val="00A31C46"/>
    <w:rsid w:val="00A326AE"/>
    <w:rsid w:val="00A32F41"/>
    <w:rsid w:val="00A334D2"/>
    <w:rsid w:val="00A3395D"/>
    <w:rsid w:val="00A34598"/>
    <w:rsid w:val="00A36BAB"/>
    <w:rsid w:val="00A372CC"/>
    <w:rsid w:val="00A3777B"/>
    <w:rsid w:val="00A446CE"/>
    <w:rsid w:val="00A44BD8"/>
    <w:rsid w:val="00A45825"/>
    <w:rsid w:val="00A5005E"/>
    <w:rsid w:val="00A54D35"/>
    <w:rsid w:val="00A57D2A"/>
    <w:rsid w:val="00A616AD"/>
    <w:rsid w:val="00A6553F"/>
    <w:rsid w:val="00A6728C"/>
    <w:rsid w:val="00A7736B"/>
    <w:rsid w:val="00A81126"/>
    <w:rsid w:val="00A859EC"/>
    <w:rsid w:val="00A910BC"/>
    <w:rsid w:val="00A9207A"/>
    <w:rsid w:val="00A92D53"/>
    <w:rsid w:val="00AA706A"/>
    <w:rsid w:val="00AC10E6"/>
    <w:rsid w:val="00AC283A"/>
    <w:rsid w:val="00AC50B3"/>
    <w:rsid w:val="00AD0562"/>
    <w:rsid w:val="00AD6817"/>
    <w:rsid w:val="00AE033A"/>
    <w:rsid w:val="00AE15C2"/>
    <w:rsid w:val="00AE49BA"/>
    <w:rsid w:val="00AE7A70"/>
    <w:rsid w:val="00AE7C9D"/>
    <w:rsid w:val="00B01090"/>
    <w:rsid w:val="00B010ED"/>
    <w:rsid w:val="00B01F67"/>
    <w:rsid w:val="00B03390"/>
    <w:rsid w:val="00B03AE0"/>
    <w:rsid w:val="00B073C2"/>
    <w:rsid w:val="00B0769B"/>
    <w:rsid w:val="00B12079"/>
    <w:rsid w:val="00B13536"/>
    <w:rsid w:val="00B14269"/>
    <w:rsid w:val="00B2087F"/>
    <w:rsid w:val="00B21514"/>
    <w:rsid w:val="00B22A90"/>
    <w:rsid w:val="00B22E03"/>
    <w:rsid w:val="00B24C46"/>
    <w:rsid w:val="00B344B6"/>
    <w:rsid w:val="00B43E0D"/>
    <w:rsid w:val="00B53967"/>
    <w:rsid w:val="00B62BC7"/>
    <w:rsid w:val="00B72800"/>
    <w:rsid w:val="00B72DDA"/>
    <w:rsid w:val="00B75E61"/>
    <w:rsid w:val="00B80116"/>
    <w:rsid w:val="00B827C1"/>
    <w:rsid w:val="00B93C8A"/>
    <w:rsid w:val="00B979A8"/>
    <w:rsid w:val="00BA4226"/>
    <w:rsid w:val="00BA58B5"/>
    <w:rsid w:val="00BA78BE"/>
    <w:rsid w:val="00BB2639"/>
    <w:rsid w:val="00BB3BC5"/>
    <w:rsid w:val="00BB5174"/>
    <w:rsid w:val="00BB5477"/>
    <w:rsid w:val="00BB7757"/>
    <w:rsid w:val="00BC7A21"/>
    <w:rsid w:val="00BD229E"/>
    <w:rsid w:val="00BD264A"/>
    <w:rsid w:val="00BD6092"/>
    <w:rsid w:val="00BE0DF9"/>
    <w:rsid w:val="00BE263A"/>
    <w:rsid w:val="00BE2C72"/>
    <w:rsid w:val="00BE3B8A"/>
    <w:rsid w:val="00BF2299"/>
    <w:rsid w:val="00BF4306"/>
    <w:rsid w:val="00BF781C"/>
    <w:rsid w:val="00C15FB1"/>
    <w:rsid w:val="00C16C29"/>
    <w:rsid w:val="00C239FE"/>
    <w:rsid w:val="00C2660F"/>
    <w:rsid w:val="00C26CCE"/>
    <w:rsid w:val="00C276C3"/>
    <w:rsid w:val="00C3098E"/>
    <w:rsid w:val="00C35020"/>
    <w:rsid w:val="00C40D70"/>
    <w:rsid w:val="00C41F12"/>
    <w:rsid w:val="00C50AEB"/>
    <w:rsid w:val="00C55840"/>
    <w:rsid w:val="00C57093"/>
    <w:rsid w:val="00C6418B"/>
    <w:rsid w:val="00C64760"/>
    <w:rsid w:val="00C70DA9"/>
    <w:rsid w:val="00C72DF5"/>
    <w:rsid w:val="00C73085"/>
    <w:rsid w:val="00C73E3A"/>
    <w:rsid w:val="00C767E9"/>
    <w:rsid w:val="00C77FA2"/>
    <w:rsid w:val="00C81280"/>
    <w:rsid w:val="00C81407"/>
    <w:rsid w:val="00C83D9C"/>
    <w:rsid w:val="00C964C7"/>
    <w:rsid w:val="00C9679E"/>
    <w:rsid w:val="00C96FFA"/>
    <w:rsid w:val="00C973F8"/>
    <w:rsid w:val="00CA44F0"/>
    <w:rsid w:val="00CA633A"/>
    <w:rsid w:val="00CA6F97"/>
    <w:rsid w:val="00CB49D1"/>
    <w:rsid w:val="00CB6E41"/>
    <w:rsid w:val="00CB76E4"/>
    <w:rsid w:val="00CB770C"/>
    <w:rsid w:val="00CC32D9"/>
    <w:rsid w:val="00CC337E"/>
    <w:rsid w:val="00CC42D6"/>
    <w:rsid w:val="00CC64EB"/>
    <w:rsid w:val="00CD2243"/>
    <w:rsid w:val="00CD4CBA"/>
    <w:rsid w:val="00CD4D30"/>
    <w:rsid w:val="00CD6CDE"/>
    <w:rsid w:val="00CD7E0C"/>
    <w:rsid w:val="00CD7E59"/>
    <w:rsid w:val="00CE50CC"/>
    <w:rsid w:val="00CF3276"/>
    <w:rsid w:val="00CF630A"/>
    <w:rsid w:val="00D0030B"/>
    <w:rsid w:val="00D041D0"/>
    <w:rsid w:val="00D058C1"/>
    <w:rsid w:val="00D05F35"/>
    <w:rsid w:val="00D1601C"/>
    <w:rsid w:val="00D208CD"/>
    <w:rsid w:val="00D222BD"/>
    <w:rsid w:val="00D22AD3"/>
    <w:rsid w:val="00D22F0A"/>
    <w:rsid w:val="00D241E0"/>
    <w:rsid w:val="00D507BD"/>
    <w:rsid w:val="00D53171"/>
    <w:rsid w:val="00D54E10"/>
    <w:rsid w:val="00D61924"/>
    <w:rsid w:val="00D66299"/>
    <w:rsid w:val="00D7061D"/>
    <w:rsid w:val="00D75939"/>
    <w:rsid w:val="00D82DC1"/>
    <w:rsid w:val="00D85A18"/>
    <w:rsid w:val="00D85D97"/>
    <w:rsid w:val="00D87EFA"/>
    <w:rsid w:val="00D9039A"/>
    <w:rsid w:val="00D91EAD"/>
    <w:rsid w:val="00D92EA7"/>
    <w:rsid w:val="00D93A1F"/>
    <w:rsid w:val="00DA4F9D"/>
    <w:rsid w:val="00DA53B4"/>
    <w:rsid w:val="00DA7E61"/>
    <w:rsid w:val="00DB0C42"/>
    <w:rsid w:val="00DB5CAA"/>
    <w:rsid w:val="00DB7223"/>
    <w:rsid w:val="00DB7497"/>
    <w:rsid w:val="00DB77CA"/>
    <w:rsid w:val="00DC0536"/>
    <w:rsid w:val="00DC0AAD"/>
    <w:rsid w:val="00DC30D2"/>
    <w:rsid w:val="00DC38C1"/>
    <w:rsid w:val="00DC56B4"/>
    <w:rsid w:val="00DD028B"/>
    <w:rsid w:val="00DD0441"/>
    <w:rsid w:val="00DD606F"/>
    <w:rsid w:val="00DD79B7"/>
    <w:rsid w:val="00DE0C60"/>
    <w:rsid w:val="00DE0DDC"/>
    <w:rsid w:val="00DE0FAE"/>
    <w:rsid w:val="00DE1D91"/>
    <w:rsid w:val="00DE3746"/>
    <w:rsid w:val="00DE523F"/>
    <w:rsid w:val="00DE6F0A"/>
    <w:rsid w:val="00DF3B77"/>
    <w:rsid w:val="00DF3CDF"/>
    <w:rsid w:val="00E03ADC"/>
    <w:rsid w:val="00E14487"/>
    <w:rsid w:val="00E1469E"/>
    <w:rsid w:val="00E1518E"/>
    <w:rsid w:val="00E176A0"/>
    <w:rsid w:val="00E17714"/>
    <w:rsid w:val="00E17DE8"/>
    <w:rsid w:val="00E2556E"/>
    <w:rsid w:val="00E279F9"/>
    <w:rsid w:val="00E27A39"/>
    <w:rsid w:val="00E37E58"/>
    <w:rsid w:val="00E40BE7"/>
    <w:rsid w:val="00E44E8A"/>
    <w:rsid w:val="00E45852"/>
    <w:rsid w:val="00E47966"/>
    <w:rsid w:val="00E5112C"/>
    <w:rsid w:val="00E53886"/>
    <w:rsid w:val="00E5533E"/>
    <w:rsid w:val="00E568A1"/>
    <w:rsid w:val="00E61E85"/>
    <w:rsid w:val="00E70279"/>
    <w:rsid w:val="00E70512"/>
    <w:rsid w:val="00E7252D"/>
    <w:rsid w:val="00E730C1"/>
    <w:rsid w:val="00E8340E"/>
    <w:rsid w:val="00E9018C"/>
    <w:rsid w:val="00E94C5B"/>
    <w:rsid w:val="00E978E0"/>
    <w:rsid w:val="00EA03AE"/>
    <w:rsid w:val="00EA4A34"/>
    <w:rsid w:val="00EA4AE8"/>
    <w:rsid w:val="00EA6BB1"/>
    <w:rsid w:val="00EA7CE7"/>
    <w:rsid w:val="00EB1432"/>
    <w:rsid w:val="00EB5DC3"/>
    <w:rsid w:val="00EB6C4D"/>
    <w:rsid w:val="00EC07A4"/>
    <w:rsid w:val="00EC35F4"/>
    <w:rsid w:val="00EC6431"/>
    <w:rsid w:val="00ED062A"/>
    <w:rsid w:val="00ED3C3D"/>
    <w:rsid w:val="00ED69F3"/>
    <w:rsid w:val="00EE0797"/>
    <w:rsid w:val="00EE1FAD"/>
    <w:rsid w:val="00EE27D2"/>
    <w:rsid w:val="00EE2968"/>
    <w:rsid w:val="00EE5312"/>
    <w:rsid w:val="00EE6952"/>
    <w:rsid w:val="00EF1E28"/>
    <w:rsid w:val="00EF6B4C"/>
    <w:rsid w:val="00EF6F19"/>
    <w:rsid w:val="00F00CBF"/>
    <w:rsid w:val="00F02411"/>
    <w:rsid w:val="00F10E0E"/>
    <w:rsid w:val="00F1271D"/>
    <w:rsid w:val="00F245C5"/>
    <w:rsid w:val="00F255CF"/>
    <w:rsid w:val="00F27AFD"/>
    <w:rsid w:val="00F31508"/>
    <w:rsid w:val="00F31C92"/>
    <w:rsid w:val="00F3503A"/>
    <w:rsid w:val="00F42D18"/>
    <w:rsid w:val="00F44B09"/>
    <w:rsid w:val="00F45FB9"/>
    <w:rsid w:val="00F602C7"/>
    <w:rsid w:val="00F67F30"/>
    <w:rsid w:val="00F70C86"/>
    <w:rsid w:val="00F73081"/>
    <w:rsid w:val="00F73558"/>
    <w:rsid w:val="00F7763E"/>
    <w:rsid w:val="00F81917"/>
    <w:rsid w:val="00F86A83"/>
    <w:rsid w:val="00F936FE"/>
    <w:rsid w:val="00F937F4"/>
    <w:rsid w:val="00F954FE"/>
    <w:rsid w:val="00FA2B70"/>
    <w:rsid w:val="00FA3AF2"/>
    <w:rsid w:val="00FA58D5"/>
    <w:rsid w:val="00FB1817"/>
    <w:rsid w:val="00FB57B8"/>
    <w:rsid w:val="00FC525D"/>
    <w:rsid w:val="00FC71B7"/>
    <w:rsid w:val="00FC7671"/>
    <w:rsid w:val="00FD6506"/>
    <w:rsid w:val="00FD7103"/>
    <w:rsid w:val="00FD74A0"/>
    <w:rsid w:val="00FE38AF"/>
    <w:rsid w:val="00FE6C35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2371E"/>
    <w:pPr>
      <w:keepNext/>
      <w:keepLines/>
      <w:numPr>
        <w:numId w:val="3"/>
      </w:numPr>
      <w:spacing w:after="12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Nadpis2">
    <w:name w:val="heading 2"/>
    <w:basedOn w:val="Nadpis1"/>
    <w:next w:val="Normln"/>
    <w:link w:val="Nadpis2Char1"/>
    <w:autoRedefine/>
    <w:uiPriority w:val="9"/>
    <w:qFormat/>
    <w:rsid w:val="0052371E"/>
    <w:pPr>
      <w:numPr>
        <w:ilvl w:val="1"/>
      </w:numPr>
      <w:spacing w:before="240" w:after="60"/>
      <w:ind w:left="567" w:hanging="567"/>
      <w:jc w:val="both"/>
      <w:outlineLvl w:val="1"/>
    </w:pPr>
    <w:rPr>
      <w:rFonts w:eastAsia="Times New Roman" w:cs="Times New Roman"/>
      <w:bCs w:val="0"/>
      <w:iCs/>
      <w:sz w:val="27"/>
      <w:szCs w:val="27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2371E"/>
    <w:pPr>
      <w:keepNext/>
      <w:keepLines/>
      <w:numPr>
        <w:ilvl w:val="2"/>
        <w:numId w:val="3"/>
      </w:numPr>
      <w:spacing w:before="200"/>
      <w:jc w:val="both"/>
      <w:outlineLvl w:val="2"/>
    </w:pPr>
    <w:rPr>
      <w:rFonts w:ascii="Arial" w:eastAsiaTheme="majorEastAsia" w:hAnsi="Arial" w:cs="Arial"/>
      <w:b/>
      <w:bCs/>
    </w:rPr>
  </w:style>
  <w:style w:type="paragraph" w:styleId="Nadpis4">
    <w:name w:val="heading 4"/>
    <w:basedOn w:val="Nadpis3"/>
    <w:next w:val="Normln"/>
    <w:link w:val="Nadpis4Char1"/>
    <w:uiPriority w:val="9"/>
    <w:qFormat/>
    <w:rsid w:val="0052371E"/>
    <w:pPr>
      <w:numPr>
        <w:ilvl w:val="3"/>
      </w:numPr>
      <w:spacing w:before="360" w:after="240"/>
      <w:outlineLvl w:val="3"/>
    </w:pPr>
    <w:rPr>
      <w:rFonts w:eastAsia="Times New Roman" w:cs="Times New Roman"/>
      <w:bCs w:val="0"/>
      <w:iCs/>
    </w:rPr>
  </w:style>
  <w:style w:type="paragraph" w:styleId="Nadpis5">
    <w:name w:val="heading 5"/>
    <w:basedOn w:val="Nadpis4"/>
    <w:next w:val="Normln"/>
    <w:link w:val="Nadpis5Char1"/>
    <w:uiPriority w:val="9"/>
    <w:qFormat/>
    <w:rsid w:val="0052371E"/>
    <w:pPr>
      <w:numPr>
        <w:ilvl w:val="4"/>
      </w:numPr>
      <w:outlineLvl w:val="4"/>
    </w:pPr>
    <w:rPr>
      <w:bCs/>
      <w:iCs w:val="0"/>
      <w:sz w:val="22"/>
      <w:szCs w:val="22"/>
    </w:rPr>
  </w:style>
  <w:style w:type="paragraph" w:styleId="Nadpis6">
    <w:name w:val="heading 6"/>
    <w:basedOn w:val="Nadpis5"/>
    <w:next w:val="Normln"/>
    <w:link w:val="Nadpis6Char1"/>
    <w:qFormat/>
    <w:rsid w:val="0052371E"/>
    <w:pPr>
      <w:numPr>
        <w:ilvl w:val="5"/>
      </w:numPr>
      <w:outlineLvl w:val="5"/>
    </w:pPr>
    <w:rPr>
      <w:bCs w:val="0"/>
    </w:rPr>
  </w:style>
  <w:style w:type="paragraph" w:styleId="Nadpis7">
    <w:name w:val="heading 7"/>
    <w:basedOn w:val="Nadpis6"/>
    <w:next w:val="Normln"/>
    <w:link w:val="Nadpis7Char"/>
    <w:qFormat/>
    <w:rsid w:val="0052371E"/>
    <w:pPr>
      <w:numPr>
        <w:ilvl w:val="6"/>
      </w:numPr>
      <w:ind w:left="5040" w:hanging="3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52371E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2371E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rsid w:val="00646ABE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646ABE"/>
    <w:pPr>
      <w:jc w:val="center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646ABE"/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rsid w:val="00646ABE"/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46A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KZ">
    <w:name w:val="Normální KZ"/>
    <w:basedOn w:val="Normln"/>
    <w:rsid w:val="00836431"/>
    <w:pPr>
      <w:spacing w:after="120"/>
      <w:ind w:firstLine="425"/>
      <w:jc w:val="both"/>
    </w:pPr>
    <w:rPr>
      <w:sz w:val="22"/>
      <w:lang w:eastAsia="cs-CZ"/>
    </w:rPr>
  </w:style>
  <w:style w:type="paragraph" w:styleId="Titulek">
    <w:name w:val="caption"/>
    <w:basedOn w:val="Normln"/>
    <w:next w:val="Normln"/>
    <w:uiPriority w:val="35"/>
    <w:qFormat/>
    <w:rsid w:val="00836431"/>
    <w:pPr>
      <w:spacing w:before="120" w:after="120"/>
    </w:pPr>
    <w:rPr>
      <w:b/>
      <w:bCs/>
      <w:sz w:val="20"/>
      <w:szCs w:val="20"/>
      <w:lang w:eastAsia="cs-CZ"/>
    </w:rPr>
  </w:style>
  <w:style w:type="paragraph" w:styleId="Odstavecseseznamem">
    <w:name w:val="List Paragraph"/>
    <w:aliases w:val="Nadpis pro KZ"/>
    <w:basedOn w:val="Normln"/>
    <w:link w:val="OdstavecseseznamemChar"/>
    <w:uiPriority w:val="34"/>
    <w:qFormat/>
    <w:rsid w:val="00BB547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2371E"/>
    <w:rPr>
      <w:rFonts w:ascii="Arial" w:eastAsiaTheme="majorEastAsia" w:hAnsi="Arial" w:cs="Arial"/>
      <w:b/>
      <w:bCs/>
      <w:sz w:val="28"/>
      <w:szCs w:val="28"/>
    </w:rPr>
  </w:style>
  <w:style w:type="character" w:customStyle="1" w:styleId="Nadpis2Char">
    <w:name w:val="Nadpis 2 Char"/>
    <w:basedOn w:val="Standardnpsmoodstavce"/>
    <w:rsid w:val="00523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2371E"/>
    <w:rPr>
      <w:rFonts w:ascii="Arial" w:eastAsiaTheme="majorEastAsia" w:hAnsi="Arial" w:cs="Arial"/>
      <w:b/>
      <w:bCs/>
      <w:sz w:val="24"/>
      <w:szCs w:val="24"/>
    </w:rPr>
  </w:style>
  <w:style w:type="character" w:customStyle="1" w:styleId="Nadpis4Char">
    <w:name w:val="Nadpis 4 Char"/>
    <w:basedOn w:val="Standardnpsmoodstavce"/>
    <w:rsid w:val="005237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rsid w:val="005237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rsid w:val="0052371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52371E"/>
    <w:rPr>
      <w:rFonts w:ascii="Arial" w:eastAsia="Times New Roman" w:hAnsi="Arial" w:cs="Times New Roman"/>
      <w:b/>
    </w:rPr>
  </w:style>
  <w:style w:type="character" w:customStyle="1" w:styleId="Nadpis8Char">
    <w:name w:val="Nadpis 8 Char"/>
    <w:basedOn w:val="Standardnpsmoodstavce"/>
    <w:link w:val="Nadpis8"/>
    <w:rsid w:val="0052371E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rsid w:val="0052371E"/>
    <w:rPr>
      <w:rFonts w:ascii="Arial" w:eastAsia="Times New Roman" w:hAnsi="Arial" w:cs="Arial"/>
    </w:rPr>
  </w:style>
  <w:style w:type="numbering" w:customStyle="1" w:styleId="Bezseznamu1">
    <w:name w:val="Bez seznamu1"/>
    <w:next w:val="Bezseznamu"/>
    <w:uiPriority w:val="99"/>
    <w:semiHidden/>
    <w:unhideWhenUsed/>
    <w:rsid w:val="0052371E"/>
  </w:style>
  <w:style w:type="paragraph" w:styleId="Nzev">
    <w:name w:val="Title"/>
    <w:basedOn w:val="Normln"/>
    <w:link w:val="NzevChar"/>
    <w:uiPriority w:val="10"/>
    <w:qFormat/>
    <w:rsid w:val="0052371E"/>
    <w:pPr>
      <w:jc w:val="center"/>
    </w:pPr>
    <w:rPr>
      <w:rFonts w:ascii="Arial" w:hAnsi="Arial"/>
      <w:b/>
      <w:bCs/>
      <w:sz w:val="22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52371E"/>
    <w:rPr>
      <w:rFonts w:ascii="Arial" w:eastAsia="Times New Roman" w:hAnsi="Arial" w:cs="Times New Roman"/>
      <w:b/>
      <w:bCs/>
      <w:szCs w:val="24"/>
      <w:u w:val="single"/>
    </w:rPr>
  </w:style>
  <w:style w:type="paragraph" w:styleId="Bezmezer">
    <w:name w:val="No Spacing"/>
    <w:aliases w:val="KP,Bez mezer1,No Spacing"/>
    <w:basedOn w:val="Normln"/>
    <w:uiPriority w:val="1"/>
    <w:qFormat/>
    <w:rsid w:val="0052371E"/>
    <w:pPr>
      <w:spacing w:after="120"/>
      <w:ind w:firstLine="567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52371E"/>
    <w:pPr>
      <w:jc w:val="both"/>
    </w:pPr>
    <w:rPr>
      <w:rFonts w:ascii="Arial" w:hAnsi="Arial" w:cs="Arial"/>
      <w:i/>
      <w:sz w:val="22"/>
    </w:rPr>
  </w:style>
  <w:style w:type="character" w:customStyle="1" w:styleId="ZkladntextChar">
    <w:name w:val="Základní text Char"/>
    <w:basedOn w:val="Standardnpsmoodstavce"/>
    <w:link w:val="Zkladntext"/>
    <w:rsid w:val="0052371E"/>
    <w:rPr>
      <w:rFonts w:ascii="Arial" w:eastAsia="Times New Roman" w:hAnsi="Arial" w:cs="Arial"/>
      <w:i/>
      <w:szCs w:val="24"/>
    </w:rPr>
  </w:style>
  <w:style w:type="paragraph" w:styleId="Normlnodsazen">
    <w:name w:val="Normal Indent"/>
    <w:basedOn w:val="Normln"/>
    <w:uiPriority w:val="99"/>
    <w:unhideWhenUsed/>
    <w:rsid w:val="0052371E"/>
    <w:pPr>
      <w:ind w:left="708"/>
    </w:pPr>
  </w:style>
  <w:style w:type="character" w:customStyle="1" w:styleId="Nadpis1Char1">
    <w:name w:val="Nadpis 1 Char1"/>
    <w:rsid w:val="0052371E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Nadpis2Char1">
    <w:name w:val="Nadpis 2 Char1"/>
    <w:link w:val="Nadpis2"/>
    <w:uiPriority w:val="9"/>
    <w:rsid w:val="0052371E"/>
    <w:rPr>
      <w:rFonts w:ascii="Arial" w:eastAsia="Times New Roman" w:hAnsi="Arial" w:cs="Times New Roman"/>
      <w:b/>
      <w:iCs/>
      <w:sz w:val="27"/>
      <w:szCs w:val="27"/>
      <w:lang w:eastAsia="cs-CZ"/>
    </w:rPr>
  </w:style>
  <w:style w:type="character" w:customStyle="1" w:styleId="Nadpis3Char1">
    <w:name w:val="Nadpis 3 Char1"/>
    <w:rsid w:val="0052371E"/>
    <w:rPr>
      <w:rFonts w:ascii="Arial" w:eastAsia="Times New Roman" w:hAnsi="Arial"/>
      <w:b/>
      <w:bCs/>
      <w:iCs/>
      <w:sz w:val="26"/>
      <w:szCs w:val="26"/>
      <w:lang w:eastAsia="en-US"/>
    </w:rPr>
  </w:style>
  <w:style w:type="character" w:customStyle="1" w:styleId="Nadpis4Char1">
    <w:name w:val="Nadpis 4 Char1"/>
    <w:link w:val="Nadpis4"/>
    <w:uiPriority w:val="9"/>
    <w:rsid w:val="0052371E"/>
    <w:rPr>
      <w:rFonts w:ascii="Arial" w:eastAsia="Times New Roman" w:hAnsi="Arial" w:cs="Times New Roman"/>
      <w:b/>
      <w:iCs/>
      <w:sz w:val="24"/>
      <w:szCs w:val="24"/>
    </w:rPr>
  </w:style>
  <w:style w:type="character" w:customStyle="1" w:styleId="Nadpis5Char1">
    <w:name w:val="Nadpis 5 Char1"/>
    <w:link w:val="Nadpis5"/>
    <w:uiPriority w:val="9"/>
    <w:rsid w:val="0052371E"/>
    <w:rPr>
      <w:rFonts w:ascii="Arial" w:eastAsia="Times New Roman" w:hAnsi="Arial" w:cs="Times New Roman"/>
      <w:b/>
      <w:bCs/>
    </w:rPr>
  </w:style>
  <w:style w:type="character" w:customStyle="1" w:styleId="Nadpis6Char1">
    <w:name w:val="Nadpis 6 Char1"/>
    <w:link w:val="Nadpis6"/>
    <w:rsid w:val="0052371E"/>
    <w:rPr>
      <w:rFonts w:ascii="Arial" w:eastAsia="Times New Roman" w:hAnsi="Arial" w:cs="Times New Roman"/>
      <w:b/>
    </w:rPr>
  </w:style>
  <w:style w:type="paragraph" w:styleId="Zpat">
    <w:name w:val="footer"/>
    <w:basedOn w:val="Normln"/>
    <w:link w:val="ZpatChar"/>
    <w:uiPriority w:val="99"/>
    <w:unhideWhenUsed/>
    <w:rsid w:val="0052371E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52371E"/>
    <w:rPr>
      <w:rFonts w:ascii="Arial" w:eastAsia="Times New Roman" w:hAnsi="Arial" w:cs="Times New Roman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52371E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52371E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52371E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character" w:styleId="Hypertextovodkaz">
    <w:name w:val="Hyperlink"/>
    <w:uiPriority w:val="99"/>
    <w:unhideWhenUsed/>
    <w:rsid w:val="0052371E"/>
    <w:rPr>
      <w:color w:val="0000FF"/>
      <w:u w:val="single"/>
    </w:rPr>
  </w:style>
  <w:style w:type="paragraph" w:customStyle="1" w:styleId="Normln0">
    <w:name w:val="Norm‡ln’"/>
    <w:rsid w:val="00523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52371E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2371E"/>
    <w:pPr>
      <w:spacing w:after="120"/>
      <w:ind w:left="283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2371E"/>
    <w:rPr>
      <w:rFonts w:ascii="Arial" w:eastAsia="Times New Roman" w:hAnsi="Arial" w:cs="Times New Roman"/>
      <w:szCs w:val="24"/>
    </w:rPr>
  </w:style>
  <w:style w:type="paragraph" w:customStyle="1" w:styleId="Styl9">
    <w:name w:val="Styl9"/>
    <w:rsid w:val="00523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52371E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ZhlavChar">
    <w:name w:val="Záhlaví Char"/>
    <w:basedOn w:val="Standardnpsmoodstavce"/>
    <w:link w:val="Zhlav"/>
    <w:rsid w:val="0052371E"/>
    <w:rPr>
      <w:rFonts w:ascii="Arial" w:eastAsia="Times New Roman" w:hAnsi="Arial" w:cs="Times New Roman"/>
      <w:szCs w:val="24"/>
    </w:rPr>
  </w:style>
  <w:style w:type="paragraph" w:styleId="Obsah5">
    <w:name w:val="toc 5"/>
    <w:basedOn w:val="Normln"/>
    <w:next w:val="Normln"/>
    <w:autoRedefine/>
    <w:uiPriority w:val="39"/>
    <w:unhideWhenUsed/>
    <w:rsid w:val="0052371E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52371E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Citt">
    <w:name w:val="Quote"/>
    <w:aliases w:val="Citace"/>
    <w:basedOn w:val="Normln"/>
    <w:next w:val="Normln"/>
    <w:link w:val="CittChar1"/>
    <w:qFormat/>
    <w:rsid w:val="0052371E"/>
    <w:pPr>
      <w:spacing w:after="120"/>
      <w:ind w:firstLine="539"/>
      <w:jc w:val="both"/>
    </w:pPr>
    <w:rPr>
      <w:rFonts w:ascii="Arial" w:hAnsi="Arial"/>
      <w:i/>
      <w:iCs/>
      <w:sz w:val="22"/>
    </w:rPr>
  </w:style>
  <w:style w:type="character" w:customStyle="1" w:styleId="CittChar">
    <w:name w:val="Citát Char"/>
    <w:basedOn w:val="Standardnpsmoodstavce"/>
    <w:rsid w:val="0052371E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CittChar1">
    <w:name w:val="Citát Char1"/>
    <w:aliases w:val="Citace Char"/>
    <w:link w:val="Citt"/>
    <w:rsid w:val="0052371E"/>
    <w:rPr>
      <w:rFonts w:ascii="Arial" w:eastAsia="Times New Roman" w:hAnsi="Arial" w:cs="Times New Roman"/>
      <w:i/>
      <w:iCs/>
      <w:szCs w:val="24"/>
    </w:rPr>
  </w:style>
  <w:style w:type="paragraph" w:customStyle="1" w:styleId="citace">
    <w:name w:val="citace"/>
    <w:basedOn w:val="Normln"/>
    <w:next w:val="Normln"/>
    <w:rsid w:val="0052371E"/>
    <w:pPr>
      <w:spacing w:after="120"/>
      <w:ind w:firstLine="720"/>
      <w:jc w:val="both"/>
    </w:pPr>
    <w:rPr>
      <w:rFonts w:ascii="Arial" w:hAnsi="Arial"/>
      <w:i/>
      <w:sz w:val="22"/>
    </w:rPr>
  </w:style>
  <w:style w:type="table" w:styleId="Mkatabulky">
    <w:name w:val="Table Grid"/>
    <w:basedOn w:val="Normlntabulka"/>
    <w:uiPriority w:val="59"/>
    <w:rsid w:val="005237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d">
    <w:name w:val="Úvod"/>
    <w:basedOn w:val="Normln"/>
    <w:rsid w:val="0052371E"/>
    <w:pPr>
      <w:keepNext/>
      <w:tabs>
        <w:tab w:val="num" w:pos="787"/>
      </w:tabs>
      <w:spacing w:before="360" w:after="240"/>
      <w:jc w:val="both"/>
      <w:outlineLvl w:val="0"/>
    </w:pPr>
    <w:rPr>
      <w:rFonts w:ascii="Arial" w:hAnsi="Arial"/>
      <w:b/>
      <w:bCs/>
      <w:sz w:val="28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2371E"/>
    <w:pPr>
      <w:spacing w:after="120" w:line="480" w:lineRule="auto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2371E"/>
    <w:rPr>
      <w:rFonts w:ascii="Arial" w:eastAsia="Times New Roman" w:hAnsi="Arial" w:cs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2371E"/>
    <w:pPr>
      <w:spacing w:after="120" w:line="480" w:lineRule="auto"/>
      <w:ind w:left="283"/>
    </w:pPr>
    <w:rPr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237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7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71E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semiHidden/>
    <w:rsid w:val="0052371E"/>
    <w:rPr>
      <w:rFonts w:cs="Times New Roman"/>
    </w:rPr>
  </w:style>
  <w:style w:type="paragraph" w:customStyle="1" w:styleId="Styl6">
    <w:name w:val="Styl 6"/>
    <w:basedOn w:val="Nadpis6"/>
    <w:link w:val="Styl6Char"/>
    <w:qFormat/>
    <w:rsid w:val="0052371E"/>
    <w:pPr>
      <w:numPr>
        <w:ilvl w:val="0"/>
        <w:numId w:val="0"/>
      </w:numPr>
      <w:ind w:left="794" w:hanging="454"/>
    </w:pPr>
  </w:style>
  <w:style w:type="character" w:customStyle="1" w:styleId="Styl6Char">
    <w:name w:val="Styl 6 Char"/>
    <w:basedOn w:val="Nadpis6Char1"/>
    <w:link w:val="Styl6"/>
    <w:rsid w:val="0052371E"/>
    <w:rPr>
      <w:rFonts w:ascii="Arial" w:eastAsia="Times New Roman" w:hAnsi="Arial" w:cs="Times New Roman"/>
      <w:b/>
    </w:rPr>
  </w:style>
  <w:style w:type="paragraph" w:styleId="Obsah6">
    <w:name w:val="toc 6"/>
    <w:basedOn w:val="Normln"/>
    <w:next w:val="Normln"/>
    <w:autoRedefine/>
    <w:uiPriority w:val="39"/>
    <w:unhideWhenUsed/>
    <w:rsid w:val="0052371E"/>
    <w:pPr>
      <w:ind w:left="1100"/>
    </w:pPr>
    <w:rPr>
      <w:rFonts w:asciiTheme="minorHAnsi" w:hAnsiTheme="minorHAnsi" w:cstheme="minorHAnsi"/>
      <w:sz w:val="18"/>
      <w:szCs w:val="18"/>
    </w:rPr>
  </w:style>
  <w:style w:type="character" w:styleId="Odkaznakoment">
    <w:name w:val="annotation reference"/>
    <w:uiPriority w:val="99"/>
    <w:semiHidden/>
    <w:unhideWhenUsed/>
    <w:rsid w:val="005237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371E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371E"/>
    <w:rPr>
      <w:rFonts w:ascii="Calibri" w:eastAsia="Calibri" w:hAnsi="Calibri" w:cs="Times New Roman"/>
      <w:sz w:val="20"/>
      <w:szCs w:val="20"/>
    </w:rPr>
  </w:style>
  <w:style w:type="paragraph" w:styleId="Revize">
    <w:name w:val="Revision"/>
    <w:hidden/>
    <w:uiPriority w:val="99"/>
    <w:semiHidden/>
    <w:rsid w:val="0052371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52371E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2371E"/>
    <w:rPr>
      <w:rFonts w:ascii="Consolas" w:eastAsia="Times New Roman" w:hAnsi="Consolas" w:cs="Times New Roman"/>
      <w:sz w:val="21"/>
      <w:szCs w:val="21"/>
    </w:rPr>
  </w:style>
  <w:style w:type="character" w:customStyle="1" w:styleId="OdstavecseseznamemChar">
    <w:name w:val="Odstavec se seznamem Char"/>
    <w:aliases w:val="Nadpis pro KZ Char"/>
    <w:link w:val="Odstavecseseznamem"/>
    <w:uiPriority w:val="34"/>
    <w:rsid w:val="0052371E"/>
    <w:rPr>
      <w:rFonts w:ascii="Times New Roman" w:eastAsia="Times New Roman" w:hAnsi="Times New Roman"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2371E"/>
    <w:rPr>
      <w:sz w:val="20"/>
      <w:szCs w:val="20"/>
      <w:lang w:val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237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vysvtlivky">
    <w:name w:val="endnote reference"/>
    <w:uiPriority w:val="99"/>
    <w:semiHidden/>
    <w:unhideWhenUsed/>
    <w:rsid w:val="0052371E"/>
    <w:rPr>
      <w:rFonts w:cs="Times New Roman"/>
      <w:vertAlign w:val="superscript"/>
    </w:rPr>
  </w:style>
  <w:style w:type="paragraph" w:customStyle="1" w:styleId="Default">
    <w:name w:val="Default"/>
    <w:rsid w:val="005237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adpisrove2">
    <w:name w:val="Nadpis_úroveň 2"/>
    <w:basedOn w:val="Nadpis1"/>
    <w:link w:val="Nadpisrove2Char"/>
    <w:qFormat/>
    <w:rsid w:val="0052371E"/>
    <w:pPr>
      <w:numPr>
        <w:numId w:val="0"/>
      </w:numPr>
      <w:spacing w:before="600" w:after="240"/>
      <w:ind w:left="993" w:hanging="567"/>
      <w:jc w:val="both"/>
    </w:pPr>
    <w:rPr>
      <w:rFonts w:eastAsia="Times New Roman"/>
    </w:rPr>
  </w:style>
  <w:style w:type="paragraph" w:customStyle="1" w:styleId="Mallenn">
    <w:name w:val="Malé členění"/>
    <w:basedOn w:val="Normln"/>
    <w:link w:val="MallennChar"/>
    <w:qFormat/>
    <w:rsid w:val="0052371E"/>
    <w:pPr>
      <w:keepNext/>
      <w:numPr>
        <w:numId w:val="2"/>
      </w:numPr>
      <w:spacing w:before="240"/>
    </w:pPr>
    <w:rPr>
      <w:rFonts w:ascii="Arial" w:hAnsi="Arial" w:cs="Arial"/>
      <w:b/>
      <w:bCs/>
      <w:iCs/>
      <w:sz w:val="22"/>
      <w:szCs w:val="22"/>
    </w:rPr>
  </w:style>
  <w:style w:type="character" w:customStyle="1" w:styleId="Nadpisrove2Char">
    <w:name w:val="Nadpis_úroveň 2 Char"/>
    <w:basedOn w:val="Nadpis1Char1"/>
    <w:link w:val="Nadpisrove2"/>
    <w:rsid w:val="0052371E"/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NoList1">
    <w:name w:val="No List1"/>
    <w:rsid w:val="00523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allennChar">
    <w:name w:val="Malé členění Char"/>
    <w:link w:val="Mallenn"/>
    <w:rsid w:val="0052371E"/>
    <w:rPr>
      <w:rFonts w:ascii="Arial" w:eastAsia="Times New Roman" w:hAnsi="Arial" w:cs="Arial"/>
      <w:b/>
      <w:bCs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371E"/>
    <w:pPr>
      <w:spacing w:after="0"/>
    </w:pPr>
    <w:rPr>
      <w:rFonts w:ascii="Arial" w:eastAsia="Times New Roman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371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Odstavecseseznamem1">
    <w:name w:val="Odstavec se seznamem1"/>
    <w:basedOn w:val="Normln"/>
    <w:qFormat/>
    <w:rsid w:val="0052371E"/>
    <w:pPr>
      <w:ind w:left="720"/>
      <w:contextualSpacing/>
      <w:jc w:val="both"/>
    </w:pPr>
    <w:rPr>
      <w:szCs w:val="22"/>
    </w:rPr>
  </w:style>
  <w:style w:type="paragraph" w:customStyle="1" w:styleId="Styl2">
    <w:name w:val="Styl2"/>
    <w:basedOn w:val="Zkladntext3"/>
    <w:rsid w:val="0052371E"/>
    <w:pPr>
      <w:ind w:firstLine="708"/>
      <w:jc w:val="both"/>
    </w:pPr>
    <w:rPr>
      <w:rFonts w:ascii="Arial" w:hAnsi="Arial" w:cs="Arial"/>
      <w:bCs/>
      <w:szCs w:val="24"/>
      <w:lang w:val="x-none" w:eastAsia="x-none"/>
    </w:rPr>
  </w:style>
  <w:style w:type="table" w:customStyle="1" w:styleId="NormalTable">
    <w:name w:val="NormalTable"/>
    <w:semiHidden/>
    <w:unhideWhenUsed/>
    <w:qFormat/>
    <w:rsid w:val="0052371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2371E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52371E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52371E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52371E"/>
    <w:pPr>
      <w:ind w:left="1760"/>
    </w:pPr>
    <w:rPr>
      <w:rFonts w:asciiTheme="minorHAnsi" w:hAnsiTheme="minorHAnsi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2371E"/>
    <w:pPr>
      <w:keepNext/>
      <w:keepLines/>
      <w:numPr>
        <w:numId w:val="3"/>
      </w:numPr>
      <w:spacing w:after="12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Nadpis2">
    <w:name w:val="heading 2"/>
    <w:basedOn w:val="Nadpis1"/>
    <w:next w:val="Normln"/>
    <w:link w:val="Nadpis2Char1"/>
    <w:autoRedefine/>
    <w:uiPriority w:val="9"/>
    <w:qFormat/>
    <w:rsid w:val="0052371E"/>
    <w:pPr>
      <w:numPr>
        <w:ilvl w:val="1"/>
      </w:numPr>
      <w:spacing w:before="240" w:after="60"/>
      <w:ind w:left="567" w:hanging="567"/>
      <w:jc w:val="both"/>
      <w:outlineLvl w:val="1"/>
    </w:pPr>
    <w:rPr>
      <w:rFonts w:eastAsia="Times New Roman" w:cs="Times New Roman"/>
      <w:bCs w:val="0"/>
      <w:iCs/>
      <w:sz w:val="27"/>
      <w:szCs w:val="27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2371E"/>
    <w:pPr>
      <w:keepNext/>
      <w:keepLines/>
      <w:numPr>
        <w:ilvl w:val="2"/>
        <w:numId w:val="3"/>
      </w:numPr>
      <w:spacing w:before="200"/>
      <w:jc w:val="both"/>
      <w:outlineLvl w:val="2"/>
    </w:pPr>
    <w:rPr>
      <w:rFonts w:ascii="Arial" w:eastAsiaTheme="majorEastAsia" w:hAnsi="Arial" w:cs="Arial"/>
      <w:b/>
      <w:bCs/>
    </w:rPr>
  </w:style>
  <w:style w:type="paragraph" w:styleId="Nadpis4">
    <w:name w:val="heading 4"/>
    <w:basedOn w:val="Nadpis3"/>
    <w:next w:val="Normln"/>
    <w:link w:val="Nadpis4Char1"/>
    <w:uiPriority w:val="9"/>
    <w:qFormat/>
    <w:rsid w:val="0052371E"/>
    <w:pPr>
      <w:numPr>
        <w:ilvl w:val="3"/>
      </w:numPr>
      <w:spacing w:before="360" w:after="240"/>
      <w:outlineLvl w:val="3"/>
    </w:pPr>
    <w:rPr>
      <w:rFonts w:eastAsia="Times New Roman" w:cs="Times New Roman"/>
      <w:bCs w:val="0"/>
      <w:iCs/>
    </w:rPr>
  </w:style>
  <w:style w:type="paragraph" w:styleId="Nadpis5">
    <w:name w:val="heading 5"/>
    <w:basedOn w:val="Nadpis4"/>
    <w:next w:val="Normln"/>
    <w:link w:val="Nadpis5Char1"/>
    <w:uiPriority w:val="9"/>
    <w:qFormat/>
    <w:rsid w:val="0052371E"/>
    <w:pPr>
      <w:numPr>
        <w:ilvl w:val="4"/>
      </w:numPr>
      <w:outlineLvl w:val="4"/>
    </w:pPr>
    <w:rPr>
      <w:bCs/>
      <w:iCs w:val="0"/>
      <w:sz w:val="22"/>
      <w:szCs w:val="22"/>
    </w:rPr>
  </w:style>
  <w:style w:type="paragraph" w:styleId="Nadpis6">
    <w:name w:val="heading 6"/>
    <w:basedOn w:val="Nadpis5"/>
    <w:next w:val="Normln"/>
    <w:link w:val="Nadpis6Char1"/>
    <w:qFormat/>
    <w:rsid w:val="0052371E"/>
    <w:pPr>
      <w:numPr>
        <w:ilvl w:val="5"/>
      </w:numPr>
      <w:outlineLvl w:val="5"/>
    </w:pPr>
    <w:rPr>
      <w:bCs w:val="0"/>
    </w:rPr>
  </w:style>
  <w:style w:type="paragraph" w:styleId="Nadpis7">
    <w:name w:val="heading 7"/>
    <w:basedOn w:val="Nadpis6"/>
    <w:next w:val="Normln"/>
    <w:link w:val="Nadpis7Char"/>
    <w:qFormat/>
    <w:rsid w:val="0052371E"/>
    <w:pPr>
      <w:numPr>
        <w:ilvl w:val="6"/>
      </w:numPr>
      <w:ind w:left="5040" w:hanging="3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52371E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2371E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rsid w:val="00646ABE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646ABE"/>
    <w:pPr>
      <w:jc w:val="center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646ABE"/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rsid w:val="00646ABE"/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46A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KZ">
    <w:name w:val="Normální KZ"/>
    <w:basedOn w:val="Normln"/>
    <w:rsid w:val="00836431"/>
    <w:pPr>
      <w:spacing w:after="120"/>
      <w:ind w:firstLine="425"/>
      <w:jc w:val="both"/>
    </w:pPr>
    <w:rPr>
      <w:sz w:val="22"/>
      <w:lang w:eastAsia="cs-CZ"/>
    </w:rPr>
  </w:style>
  <w:style w:type="paragraph" w:styleId="Titulek">
    <w:name w:val="caption"/>
    <w:basedOn w:val="Normln"/>
    <w:next w:val="Normln"/>
    <w:uiPriority w:val="35"/>
    <w:qFormat/>
    <w:rsid w:val="00836431"/>
    <w:pPr>
      <w:spacing w:before="120" w:after="120"/>
    </w:pPr>
    <w:rPr>
      <w:b/>
      <w:bCs/>
      <w:sz w:val="20"/>
      <w:szCs w:val="20"/>
      <w:lang w:eastAsia="cs-CZ"/>
    </w:rPr>
  </w:style>
  <w:style w:type="paragraph" w:styleId="Odstavecseseznamem">
    <w:name w:val="List Paragraph"/>
    <w:aliases w:val="Nadpis pro KZ"/>
    <w:basedOn w:val="Normln"/>
    <w:link w:val="OdstavecseseznamemChar"/>
    <w:uiPriority w:val="34"/>
    <w:qFormat/>
    <w:rsid w:val="00BB547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2371E"/>
    <w:rPr>
      <w:rFonts w:ascii="Arial" w:eastAsiaTheme="majorEastAsia" w:hAnsi="Arial" w:cs="Arial"/>
      <w:b/>
      <w:bCs/>
      <w:sz w:val="28"/>
      <w:szCs w:val="28"/>
    </w:rPr>
  </w:style>
  <w:style w:type="character" w:customStyle="1" w:styleId="Nadpis2Char">
    <w:name w:val="Nadpis 2 Char"/>
    <w:basedOn w:val="Standardnpsmoodstavce"/>
    <w:rsid w:val="00523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2371E"/>
    <w:rPr>
      <w:rFonts w:ascii="Arial" w:eastAsiaTheme="majorEastAsia" w:hAnsi="Arial" w:cs="Arial"/>
      <w:b/>
      <w:bCs/>
      <w:sz w:val="24"/>
      <w:szCs w:val="24"/>
    </w:rPr>
  </w:style>
  <w:style w:type="character" w:customStyle="1" w:styleId="Nadpis4Char">
    <w:name w:val="Nadpis 4 Char"/>
    <w:basedOn w:val="Standardnpsmoodstavce"/>
    <w:rsid w:val="005237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rsid w:val="005237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rsid w:val="0052371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52371E"/>
    <w:rPr>
      <w:rFonts w:ascii="Arial" w:eastAsia="Times New Roman" w:hAnsi="Arial" w:cs="Times New Roman"/>
      <w:b/>
    </w:rPr>
  </w:style>
  <w:style w:type="character" w:customStyle="1" w:styleId="Nadpis8Char">
    <w:name w:val="Nadpis 8 Char"/>
    <w:basedOn w:val="Standardnpsmoodstavce"/>
    <w:link w:val="Nadpis8"/>
    <w:rsid w:val="0052371E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rsid w:val="0052371E"/>
    <w:rPr>
      <w:rFonts w:ascii="Arial" w:eastAsia="Times New Roman" w:hAnsi="Arial" w:cs="Arial"/>
    </w:rPr>
  </w:style>
  <w:style w:type="numbering" w:customStyle="1" w:styleId="Bezseznamu1">
    <w:name w:val="Bez seznamu1"/>
    <w:next w:val="Bezseznamu"/>
    <w:uiPriority w:val="99"/>
    <w:semiHidden/>
    <w:unhideWhenUsed/>
    <w:rsid w:val="0052371E"/>
  </w:style>
  <w:style w:type="paragraph" w:styleId="Nzev">
    <w:name w:val="Title"/>
    <w:basedOn w:val="Normln"/>
    <w:link w:val="NzevChar"/>
    <w:uiPriority w:val="10"/>
    <w:qFormat/>
    <w:rsid w:val="0052371E"/>
    <w:pPr>
      <w:jc w:val="center"/>
    </w:pPr>
    <w:rPr>
      <w:rFonts w:ascii="Arial" w:hAnsi="Arial"/>
      <w:b/>
      <w:bCs/>
      <w:sz w:val="22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52371E"/>
    <w:rPr>
      <w:rFonts w:ascii="Arial" w:eastAsia="Times New Roman" w:hAnsi="Arial" w:cs="Times New Roman"/>
      <w:b/>
      <w:bCs/>
      <w:szCs w:val="24"/>
      <w:u w:val="single"/>
    </w:rPr>
  </w:style>
  <w:style w:type="paragraph" w:styleId="Bezmezer">
    <w:name w:val="No Spacing"/>
    <w:aliases w:val="KP,Bez mezer1,No Spacing"/>
    <w:basedOn w:val="Normln"/>
    <w:uiPriority w:val="1"/>
    <w:qFormat/>
    <w:rsid w:val="0052371E"/>
    <w:pPr>
      <w:spacing w:after="120"/>
      <w:ind w:firstLine="567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52371E"/>
    <w:pPr>
      <w:jc w:val="both"/>
    </w:pPr>
    <w:rPr>
      <w:rFonts w:ascii="Arial" w:hAnsi="Arial" w:cs="Arial"/>
      <w:i/>
      <w:sz w:val="22"/>
    </w:rPr>
  </w:style>
  <w:style w:type="character" w:customStyle="1" w:styleId="ZkladntextChar">
    <w:name w:val="Základní text Char"/>
    <w:basedOn w:val="Standardnpsmoodstavce"/>
    <w:link w:val="Zkladntext"/>
    <w:rsid w:val="0052371E"/>
    <w:rPr>
      <w:rFonts w:ascii="Arial" w:eastAsia="Times New Roman" w:hAnsi="Arial" w:cs="Arial"/>
      <w:i/>
      <w:szCs w:val="24"/>
    </w:rPr>
  </w:style>
  <w:style w:type="paragraph" w:styleId="Normlnodsazen">
    <w:name w:val="Normal Indent"/>
    <w:basedOn w:val="Normln"/>
    <w:uiPriority w:val="99"/>
    <w:unhideWhenUsed/>
    <w:rsid w:val="0052371E"/>
    <w:pPr>
      <w:ind w:left="708"/>
    </w:pPr>
  </w:style>
  <w:style w:type="character" w:customStyle="1" w:styleId="Nadpis1Char1">
    <w:name w:val="Nadpis 1 Char1"/>
    <w:rsid w:val="0052371E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Nadpis2Char1">
    <w:name w:val="Nadpis 2 Char1"/>
    <w:link w:val="Nadpis2"/>
    <w:uiPriority w:val="9"/>
    <w:rsid w:val="0052371E"/>
    <w:rPr>
      <w:rFonts w:ascii="Arial" w:eastAsia="Times New Roman" w:hAnsi="Arial" w:cs="Times New Roman"/>
      <w:b/>
      <w:iCs/>
      <w:sz w:val="27"/>
      <w:szCs w:val="27"/>
      <w:lang w:eastAsia="cs-CZ"/>
    </w:rPr>
  </w:style>
  <w:style w:type="character" w:customStyle="1" w:styleId="Nadpis3Char1">
    <w:name w:val="Nadpis 3 Char1"/>
    <w:rsid w:val="0052371E"/>
    <w:rPr>
      <w:rFonts w:ascii="Arial" w:eastAsia="Times New Roman" w:hAnsi="Arial"/>
      <w:b/>
      <w:bCs/>
      <w:iCs/>
      <w:sz w:val="26"/>
      <w:szCs w:val="26"/>
      <w:lang w:eastAsia="en-US"/>
    </w:rPr>
  </w:style>
  <w:style w:type="character" w:customStyle="1" w:styleId="Nadpis4Char1">
    <w:name w:val="Nadpis 4 Char1"/>
    <w:link w:val="Nadpis4"/>
    <w:uiPriority w:val="9"/>
    <w:rsid w:val="0052371E"/>
    <w:rPr>
      <w:rFonts w:ascii="Arial" w:eastAsia="Times New Roman" w:hAnsi="Arial" w:cs="Times New Roman"/>
      <w:b/>
      <w:iCs/>
      <w:sz w:val="24"/>
      <w:szCs w:val="24"/>
    </w:rPr>
  </w:style>
  <w:style w:type="character" w:customStyle="1" w:styleId="Nadpis5Char1">
    <w:name w:val="Nadpis 5 Char1"/>
    <w:link w:val="Nadpis5"/>
    <w:uiPriority w:val="9"/>
    <w:rsid w:val="0052371E"/>
    <w:rPr>
      <w:rFonts w:ascii="Arial" w:eastAsia="Times New Roman" w:hAnsi="Arial" w:cs="Times New Roman"/>
      <w:b/>
      <w:bCs/>
    </w:rPr>
  </w:style>
  <w:style w:type="character" w:customStyle="1" w:styleId="Nadpis6Char1">
    <w:name w:val="Nadpis 6 Char1"/>
    <w:link w:val="Nadpis6"/>
    <w:rsid w:val="0052371E"/>
    <w:rPr>
      <w:rFonts w:ascii="Arial" w:eastAsia="Times New Roman" w:hAnsi="Arial" w:cs="Times New Roman"/>
      <w:b/>
    </w:rPr>
  </w:style>
  <w:style w:type="paragraph" w:styleId="Zpat">
    <w:name w:val="footer"/>
    <w:basedOn w:val="Normln"/>
    <w:link w:val="ZpatChar"/>
    <w:uiPriority w:val="99"/>
    <w:unhideWhenUsed/>
    <w:rsid w:val="0052371E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52371E"/>
    <w:rPr>
      <w:rFonts w:ascii="Arial" w:eastAsia="Times New Roman" w:hAnsi="Arial" w:cs="Times New Roman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52371E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52371E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52371E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character" w:styleId="Hypertextovodkaz">
    <w:name w:val="Hyperlink"/>
    <w:uiPriority w:val="99"/>
    <w:unhideWhenUsed/>
    <w:rsid w:val="0052371E"/>
    <w:rPr>
      <w:color w:val="0000FF"/>
      <w:u w:val="single"/>
    </w:rPr>
  </w:style>
  <w:style w:type="paragraph" w:customStyle="1" w:styleId="Normln0">
    <w:name w:val="Norm‡ln’"/>
    <w:rsid w:val="00523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52371E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2371E"/>
    <w:pPr>
      <w:spacing w:after="120"/>
      <w:ind w:left="283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2371E"/>
    <w:rPr>
      <w:rFonts w:ascii="Arial" w:eastAsia="Times New Roman" w:hAnsi="Arial" w:cs="Times New Roman"/>
      <w:szCs w:val="24"/>
    </w:rPr>
  </w:style>
  <w:style w:type="paragraph" w:customStyle="1" w:styleId="Styl9">
    <w:name w:val="Styl9"/>
    <w:rsid w:val="00523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52371E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ZhlavChar">
    <w:name w:val="Záhlaví Char"/>
    <w:basedOn w:val="Standardnpsmoodstavce"/>
    <w:link w:val="Zhlav"/>
    <w:rsid w:val="0052371E"/>
    <w:rPr>
      <w:rFonts w:ascii="Arial" w:eastAsia="Times New Roman" w:hAnsi="Arial" w:cs="Times New Roman"/>
      <w:szCs w:val="24"/>
    </w:rPr>
  </w:style>
  <w:style w:type="paragraph" w:styleId="Obsah5">
    <w:name w:val="toc 5"/>
    <w:basedOn w:val="Normln"/>
    <w:next w:val="Normln"/>
    <w:autoRedefine/>
    <w:uiPriority w:val="39"/>
    <w:unhideWhenUsed/>
    <w:rsid w:val="0052371E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52371E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Citt">
    <w:name w:val="Quote"/>
    <w:aliases w:val="Citace"/>
    <w:basedOn w:val="Normln"/>
    <w:next w:val="Normln"/>
    <w:link w:val="CittChar1"/>
    <w:qFormat/>
    <w:rsid w:val="0052371E"/>
    <w:pPr>
      <w:spacing w:after="120"/>
      <w:ind w:firstLine="539"/>
      <w:jc w:val="both"/>
    </w:pPr>
    <w:rPr>
      <w:rFonts w:ascii="Arial" w:hAnsi="Arial"/>
      <w:i/>
      <w:iCs/>
      <w:sz w:val="22"/>
    </w:rPr>
  </w:style>
  <w:style w:type="character" w:customStyle="1" w:styleId="CittChar">
    <w:name w:val="Citát Char"/>
    <w:basedOn w:val="Standardnpsmoodstavce"/>
    <w:rsid w:val="0052371E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CittChar1">
    <w:name w:val="Citát Char1"/>
    <w:aliases w:val="Citace Char"/>
    <w:link w:val="Citt"/>
    <w:rsid w:val="0052371E"/>
    <w:rPr>
      <w:rFonts w:ascii="Arial" w:eastAsia="Times New Roman" w:hAnsi="Arial" w:cs="Times New Roman"/>
      <w:i/>
      <w:iCs/>
      <w:szCs w:val="24"/>
    </w:rPr>
  </w:style>
  <w:style w:type="paragraph" w:customStyle="1" w:styleId="citace">
    <w:name w:val="citace"/>
    <w:basedOn w:val="Normln"/>
    <w:next w:val="Normln"/>
    <w:rsid w:val="0052371E"/>
    <w:pPr>
      <w:spacing w:after="120"/>
      <w:ind w:firstLine="720"/>
      <w:jc w:val="both"/>
    </w:pPr>
    <w:rPr>
      <w:rFonts w:ascii="Arial" w:hAnsi="Arial"/>
      <w:i/>
      <w:sz w:val="22"/>
    </w:rPr>
  </w:style>
  <w:style w:type="table" w:styleId="Mkatabulky">
    <w:name w:val="Table Grid"/>
    <w:basedOn w:val="Normlntabulka"/>
    <w:uiPriority w:val="59"/>
    <w:rsid w:val="005237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d">
    <w:name w:val="Úvod"/>
    <w:basedOn w:val="Normln"/>
    <w:rsid w:val="0052371E"/>
    <w:pPr>
      <w:keepNext/>
      <w:tabs>
        <w:tab w:val="num" w:pos="787"/>
      </w:tabs>
      <w:spacing w:before="360" w:after="240"/>
      <w:jc w:val="both"/>
      <w:outlineLvl w:val="0"/>
    </w:pPr>
    <w:rPr>
      <w:rFonts w:ascii="Arial" w:hAnsi="Arial"/>
      <w:b/>
      <w:bCs/>
      <w:sz w:val="28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2371E"/>
    <w:pPr>
      <w:spacing w:after="120" w:line="480" w:lineRule="auto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2371E"/>
    <w:rPr>
      <w:rFonts w:ascii="Arial" w:eastAsia="Times New Roman" w:hAnsi="Arial" w:cs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2371E"/>
    <w:pPr>
      <w:spacing w:after="120" w:line="480" w:lineRule="auto"/>
      <w:ind w:left="283"/>
    </w:pPr>
    <w:rPr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237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7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71E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semiHidden/>
    <w:rsid w:val="0052371E"/>
    <w:rPr>
      <w:rFonts w:cs="Times New Roman"/>
    </w:rPr>
  </w:style>
  <w:style w:type="paragraph" w:customStyle="1" w:styleId="Styl6">
    <w:name w:val="Styl 6"/>
    <w:basedOn w:val="Nadpis6"/>
    <w:link w:val="Styl6Char"/>
    <w:qFormat/>
    <w:rsid w:val="0052371E"/>
    <w:pPr>
      <w:numPr>
        <w:ilvl w:val="0"/>
        <w:numId w:val="0"/>
      </w:numPr>
      <w:ind w:left="794" w:hanging="454"/>
    </w:pPr>
  </w:style>
  <w:style w:type="character" w:customStyle="1" w:styleId="Styl6Char">
    <w:name w:val="Styl 6 Char"/>
    <w:basedOn w:val="Nadpis6Char1"/>
    <w:link w:val="Styl6"/>
    <w:rsid w:val="0052371E"/>
    <w:rPr>
      <w:rFonts w:ascii="Arial" w:eastAsia="Times New Roman" w:hAnsi="Arial" w:cs="Times New Roman"/>
      <w:b/>
    </w:rPr>
  </w:style>
  <w:style w:type="paragraph" w:styleId="Obsah6">
    <w:name w:val="toc 6"/>
    <w:basedOn w:val="Normln"/>
    <w:next w:val="Normln"/>
    <w:autoRedefine/>
    <w:uiPriority w:val="39"/>
    <w:unhideWhenUsed/>
    <w:rsid w:val="0052371E"/>
    <w:pPr>
      <w:ind w:left="1100"/>
    </w:pPr>
    <w:rPr>
      <w:rFonts w:asciiTheme="minorHAnsi" w:hAnsiTheme="minorHAnsi" w:cstheme="minorHAnsi"/>
      <w:sz w:val="18"/>
      <w:szCs w:val="18"/>
    </w:rPr>
  </w:style>
  <w:style w:type="character" w:styleId="Odkaznakoment">
    <w:name w:val="annotation reference"/>
    <w:uiPriority w:val="99"/>
    <w:semiHidden/>
    <w:unhideWhenUsed/>
    <w:rsid w:val="005237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371E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371E"/>
    <w:rPr>
      <w:rFonts w:ascii="Calibri" w:eastAsia="Calibri" w:hAnsi="Calibri" w:cs="Times New Roman"/>
      <w:sz w:val="20"/>
      <w:szCs w:val="20"/>
    </w:rPr>
  </w:style>
  <w:style w:type="paragraph" w:styleId="Revize">
    <w:name w:val="Revision"/>
    <w:hidden/>
    <w:uiPriority w:val="99"/>
    <w:semiHidden/>
    <w:rsid w:val="0052371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52371E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2371E"/>
    <w:rPr>
      <w:rFonts w:ascii="Consolas" w:eastAsia="Times New Roman" w:hAnsi="Consolas" w:cs="Times New Roman"/>
      <w:sz w:val="21"/>
      <w:szCs w:val="21"/>
    </w:rPr>
  </w:style>
  <w:style w:type="character" w:customStyle="1" w:styleId="OdstavecseseznamemChar">
    <w:name w:val="Odstavec se seznamem Char"/>
    <w:aliases w:val="Nadpis pro KZ Char"/>
    <w:link w:val="Odstavecseseznamem"/>
    <w:uiPriority w:val="34"/>
    <w:rsid w:val="0052371E"/>
    <w:rPr>
      <w:rFonts w:ascii="Times New Roman" w:eastAsia="Times New Roman" w:hAnsi="Times New Roman"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2371E"/>
    <w:rPr>
      <w:sz w:val="20"/>
      <w:szCs w:val="20"/>
      <w:lang w:val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237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vysvtlivky">
    <w:name w:val="endnote reference"/>
    <w:uiPriority w:val="99"/>
    <w:semiHidden/>
    <w:unhideWhenUsed/>
    <w:rsid w:val="0052371E"/>
    <w:rPr>
      <w:rFonts w:cs="Times New Roman"/>
      <w:vertAlign w:val="superscript"/>
    </w:rPr>
  </w:style>
  <w:style w:type="paragraph" w:customStyle="1" w:styleId="Default">
    <w:name w:val="Default"/>
    <w:rsid w:val="005237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adpisrove2">
    <w:name w:val="Nadpis_úroveň 2"/>
    <w:basedOn w:val="Nadpis1"/>
    <w:link w:val="Nadpisrove2Char"/>
    <w:qFormat/>
    <w:rsid w:val="0052371E"/>
    <w:pPr>
      <w:numPr>
        <w:numId w:val="0"/>
      </w:numPr>
      <w:spacing w:before="600" w:after="240"/>
      <w:ind w:left="993" w:hanging="567"/>
      <w:jc w:val="both"/>
    </w:pPr>
    <w:rPr>
      <w:rFonts w:eastAsia="Times New Roman"/>
    </w:rPr>
  </w:style>
  <w:style w:type="paragraph" w:customStyle="1" w:styleId="Mallenn">
    <w:name w:val="Malé členění"/>
    <w:basedOn w:val="Normln"/>
    <w:link w:val="MallennChar"/>
    <w:qFormat/>
    <w:rsid w:val="0052371E"/>
    <w:pPr>
      <w:keepNext/>
      <w:numPr>
        <w:numId w:val="2"/>
      </w:numPr>
      <w:spacing w:before="240"/>
    </w:pPr>
    <w:rPr>
      <w:rFonts w:ascii="Arial" w:hAnsi="Arial" w:cs="Arial"/>
      <w:b/>
      <w:bCs/>
      <w:iCs/>
      <w:sz w:val="22"/>
      <w:szCs w:val="22"/>
    </w:rPr>
  </w:style>
  <w:style w:type="character" w:customStyle="1" w:styleId="Nadpisrove2Char">
    <w:name w:val="Nadpis_úroveň 2 Char"/>
    <w:basedOn w:val="Nadpis1Char1"/>
    <w:link w:val="Nadpisrove2"/>
    <w:rsid w:val="0052371E"/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NoList1">
    <w:name w:val="No List1"/>
    <w:rsid w:val="00523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allennChar">
    <w:name w:val="Malé členění Char"/>
    <w:link w:val="Mallenn"/>
    <w:rsid w:val="0052371E"/>
    <w:rPr>
      <w:rFonts w:ascii="Arial" w:eastAsia="Times New Roman" w:hAnsi="Arial" w:cs="Arial"/>
      <w:b/>
      <w:bCs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371E"/>
    <w:pPr>
      <w:spacing w:after="0"/>
    </w:pPr>
    <w:rPr>
      <w:rFonts w:ascii="Arial" w:eastAsia="Times New Roman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371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Odstavecseseznamem1">
    <w:name w:val="Odstavec se seznamem1"/>
    <w:basedOn w:val="Normln"/>
    <w:qFormat/>
    <w:rsid w:val="0052371E"/>
    <w:pPr>
      <w:ind w:left="720"/>
      <w:contextualSpacing/>
      <w:jc w:val="both"/>
    </w:pPr>
    <w:rPr>
      <w:szCs w:val="22"/>
    </w:rPr>
  </w:style>
  <w:style w:type="paragraph" w:customStyle="1" w:styleId="Styl2">
    <w:name w:val="Styl2"/>
    <w:basedOn w:val="Zkladntext3"/>
    <w:rsid w:val="0052371E"/>
    <w:pPr>
      <w:ind w:firstLine="708"/>
      <w:jc w:val="both"/>
    </w:pPr>
    <w:rPr>
      <w:rFonts w:ascii="Arial" w:hAnsi="Arial" w:cs="Arial"/>
      <w:bCs/>
      <w:szCs w:val="24"/>
      <w:lang w:val="x-none" w:eastAsia="x-none"/>
    </w:rPr>
  </w:style>
  <w:style w:type="table" w:customStyle="1" w:styleId="NormalTable">
    <w:name w:val="NormalTable"/>
    <w:semiHidden/>
    <w:unhideWhenUsed/>
    <w:qFormat/>
    <w:rsid w:val="0052371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2371E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52371E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52371E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52371E"/>
    <w:pPr>
      <w:ind w:left="176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6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cr.cz/cs/o-ministerstvu/zakladni-informace/informacni-systemy/iissp--monitor" TargetMode="External"/><Relationship Id="rId1" Type="http://schemas.openxmlformats.org/officeDocument/2006/relationships/hyperlink" Target="http://monitor.statn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8D1B1-212B-4732-A55D-3171225FF4B3}"/>
</file>

<file path=customXml/itemProps2.xml><?xml version="1.0" encoding="utf-8"?>
<ds:datastoreItem xmlns:ds="http://schemas.openxmlformats.org/officeDocument/2006/customXml" ds:itemID="{E49818F3-E805-463F-8F95-99B57C5DAC53}"/>
</file>

<file path=customXml/itemProps3.xml><?xml version="1.0" encoding="utf-8"?>
<ds:datastoreItem xmlns:ds="http://schemas.openxmlformats.org/officeDocument/2006/customXml" ds:itemID="{977BA9C5-E9B6-4E5F-A49E-D0B165966E11}"/>
</file>

<file path=customXml/itemProps4.xml><?xml version="1.0" encoding="utf-8"?>
<ds:datastoreItem xmlns:ds="http://schemas.openxmlformats.org/officeDocument/2006/customXml" ds:itemID="{8DE255A9-F7A7-4F4E-9A26-03C4233F6EB9}"/>
</file>

<file path=docProps/app.xml><?xml version="1.0" encoding="utf-8"?>
<Properties xmlns="http://schemas.openxmlformats.org/officeDocument/2006/extended-properties" xmlns:vt="http://schemas.openxmlformats.org/officeDocument/2006/docPropsVTypes">
  <Template>61E37CDC</Template>
  <TotalTime>7</TotalTime>
  <Pages>15</Pages>
  <Words>5790</Words>
  <Characters>34161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39872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13/38</dc:title>
  <dc:creator>KOTKOVÁ Marie</dc:creator>
  <cp:lastModifiedBy>GREŠOVÁ Romana</cp:lastModifiedBy>
  <cp:revision>4</cp:revision>
  <cp:lastPrinted>2014-08-01T10:39:00Z</cp:lastPrinted>
  <dcterms:created xsi:type="dcterms:W3CDTF">2014-08-01T10:33:00Z</dcterms:created>
  <dcterms:modified xsi:type="dcterms:W3CDTF">2014-08-01T10:43:00Z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