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13" w:rsidRPr="00AC3752" w:rsidRDefault="00B33E13" w:rsidP="003C5721">
      <w:pPr>
        <w:spacing w:after="120" w:line="276" w:lineRule="auto"/>
        <w:rPr>
          <w:rFonts w:cs="Arial"/>
        </w:rPr>
      </w:pPr>
      <w:r w:rsidRPr="00AC3752">
        <w:rPr>
          <w:rFonts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0836382" wp14:editId="4B8D1FC8">
            <wp:simplePos x="0" y="0"/>
            <wp:positionH relativeFrom="column">
              <wp:posOffset>2524125</wp:posOffset>
            </wp:positionH>
            <wp:positionV relativeFrom="paragraph">
              <wp:posOffset>-152400</wp:posOffset>
            </wp:positionV>
            <wp:extent cx="791210" cy="559435"/>
            <wp:effectExtent l="0" t="0" r="889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E13" w:rsidRPr="00AC3752" w:rsidRDefault="00B33E13" w:rsidP="003C5721">
      <w:pPr>
        <w:spacing w:after="120" w:line="276" w:lineRule="auto"/>
        <w:rPr>
          <w:rFonts w:cs="Arial"/>
        </w:rPr>
      </w:pPr>
    </w:p>
    <w:p w:rsidR="00B33E13" w:rsidRPr="00AC3752" w:rsidRDefault="00B33E13" w:rsidP="003C5721">
      <w:pPr>
        <w:spacing w:after="120" w:line="276" w:lineRule="auto"/>
        <w:jc w:val="center"/>
        <w:rPr>
          <w:rFonts w:cs="Arial"/>
          <w:b/>
        </w:rPr>
      </w:pPr>
    </w:p>
    <w:p w:rsidR="00B33E13" w:rsidRPr="006229FE" w:rsidRDefault="00B33E13" w:rsidP="003C5721">
      <w:pPr>
        <w:spacing w:after="120" w:line="276" w:lineRule="auto"/>
        <w:jc w:val="center"/>
        <w:rPr>
          <w:rFonts w:cs="Arial"/>
          <w:b/>
          <w:sz w:val="28"/>
          <w:szCs w:val="28"/>
        </w:rPr>
      </w:pPr>
      <w:r w:rsidRPr="006229FE">
        <w:rPr>
          <w:rFonts w:cs="Arial"/>
          <w:b/>
          <w:sz w:val="28"/>
          <w:szCs w:val="28"/>
        </w:rPr>
        <w:t>Kontrolní závěr z kontrolní akce</w:t>
      </w:r>
    </w:p>
    <w:p w:rsidR="00B33E13" w:rsidRPr="006229FE" w:rsidRDefault="00B33E13" w:rsidP="003C5721">
      <w:pPr>
        <w:spacing w:after="120" w:line="276" w:lineRule="auto"/>
        <w:jc w:val="center"/>
        <w:rPr>
          <w:rFonts w:cs="Arial"/>
          <w:b/>
          <w:sz w:val="28"/>
          <w:szCs w:val="28"/>
        </w:rPr>
      </w:pPr>
      <w:r w:rsidRPr="006229FE">
        <w:rPr>
          <w:rFonts w:cs="Arial"/>
          <w:b/>
          <w:sz w:val="28"/>
          <w:szCs w:val="28"/>
        </w:rPr>
        <w:t>1</w:t>
      </w:r>
      <w:r w:rsidR="008C0BD4" w:rsidRPr="006229FE">
        <w:rPr>
          <w:rFonts w:cs="Arial"/>
          <w:b/>
          <w:sz w:val="28"/>
          <w:szCs w:val="28"/>
        </w:rPr>
        <w:t>3/31</w:t>
      </w:r>
    </w:p>
    <w:p w:rsidR="00B33E13" w:rsidRPr="006229FE" w:rsidRDefault="008C0BD4" w:rsidP="003C5721">
      <w:pPr>
        <w:spacing w:after="120" w:line="276" w:lineRule="auto"/>
        <w:jc w:val="center"/>
        <w:rPr>
          <w:rFonts w:cs="Arial"/>
          <w:b/>
          <w:sz w:val="28"/>
          <w:szCs w:val="28"/>
        </w:rPr>
      </w:pPr>
      <w:r w:rsidRPr="006229FE">
        <w:rPr>
          <w:rFonts w:eastAsia="Times New Roman" w:cs="Arial"/>
          <w:b/>
          <w:sz w:val="28"/>
          <w:szCs w:val="28"/>
        </w:rPr>
        <w:t>Majetek a peněžní prostředky státu, se kterými je příslušné hospodařit Ministerstvo zdravotnictví</w:t>
      </w:r>
    </w:p>
    <w:p w:rsidR="00F55011" w:rsidRPr="00AC3752" w:rsidRDefault="00F55011" w:rsidP="003C5721">
      <w:pPr>
        <w:spacing w:after="120" w:line="276" w:lineRule="auto"/>
        <w:jc w:val="center"/>
        <w:rPr>
          <w:rFonts w:cs="Arial"/>
          <w:b/>
          <w:szCs w:val="24"/>
        </w:rPr>
      </w:pPr>
    </w:p>
    <w:p w:rsidR="00B33E13" w:rsidRDefault="00B33E13" w:rsidP="006229FE">
      <w:pPr>
        <w:rPr>
          <w:rFonts w:cs="Arial"/>
        </w:rPr>
      </w:pPr>
      <w:r w:rsidRPr="00AC3752">
        <w:rPr>
          <w:rFonts w:cs="Arial"/>
        </w:rPr>
        <w:t>Kontrolní akce byla zařazena do plánu kontrolní činnosti Nejvyššího kontrolního úřadu (dále jen „NKÚ“) na rok 201</w:t>
      </w:r>
      <w:r w:rsidR="008C0BD4" w:rsidRPr="00AC3752">
        <w:rPr>
          <w:rFonts w:cs="Arial"/>
        </w:rPr>
        <w:t>3</w:t>
      </w:r>
      <w:r w:rsidRPr="00AC3752">
        <w:rPr>
          <w:rFonts w:cs="Arial"/>
        </w:rPr>
        <w:t xml:space="preserve"> pod číslem 1</w:t>
      </w:r>
      <w:r w:rsidR="008C0BD4" w:rsidRPr="00AC3752">
        <w:rPr>
          <w:rFonts w:cs="Arial"/>
        </w:rPr>
        <w:t>3</w:t>
      </w:r>
      <w:r w:rsidRPr="00AC3752">
        <w:rPr>
          <w:rFonts w:cs="Arial"/>
        </w:rPr>
        <w:t>/3</w:t>
      </w:r>
      <w:r w:rsidR="008C0BD4" w:rsidRPr="00AC3752">
        <w:rPr>
          <w:rFonts w:cs="Arial"/>
        </w:rPr>
        <w:t>1. Kontrolní akci řídil a kontrolní závěr vypracoval člen</w:t>
      </w:r>
      <w:r w:rsidRPr="00AC3752">
        <w:rPr>
          <w:rFonts w:cs="Arial"/>
        </w:rPr>
        <w:t xml:space="preserve"> NKÚ </w:t>
      </w:r>
      <w:r w:rsidR="008C0BD4" w:rsidRPr="00AC3752">
        <w:rPr>
          <w:rFonts w:cs="Arial"/>
        </w:rPr>
        <w:t>Ing. Antonín Macháček.</w:t>
      </w:r>
    </w:p>
    <w:p w:rsidR="00321045" w:rsidRPr="00AC3752" w:rsidRDefault="00321045" w:rsidP="006229FE">
      <w:pPr>
        <w:rPr>
          <w:rFonts w:cs="Arial"/>
        </w:rPr>
      </w:pPr>
    </w:p>
    <w:p w:rsidR="00B33E13" w:rsidRDefault="00885ECB" w:rsidP="006229FE">
      <w:pPr>
        <w:rPr>
          <w:rFonts w:cs="Arial"/>
        </w:rPr>
      </w:pPr>
      <w:r>
        <w:rPr>
          <w:rFonts w:cs="Arial"/>
        </w:rPr>
        <w:t>Cílem kontroly bylo p</w:t>
      </w:r>
      <w:r w:rsidR="008C0BD4" w:rsidRPr="00AC3752">
        <w:rPr>
          <w:rFonts w:cs="Arial"/>
        </w:rPr>
        <w:t xml:space="preserve">rověřit hospodaření </w:t>
      </w:r>
      <w:r w:rsidR="008C2012">
        <w:rPr>
          <w:rFonts w:cs="Arial"/>
        </w:rPr>
        <w:t>s </w:t>
      </w:r>
      <w:r w:rsidR="008C0BD4" w:rsidRPr="00AC3752">
        <w:rPr>
          <w:rFonts w:cs="Arial"/>
        </w:rPr>
        <w:t>majetkem a peněžními prostředky státu, se kterými je příslušné hospodařit Ministerstvo zdravotnictví.</w:t>
      </w:r>
    </w:p>
    <w:p w:rsidR="00321045" w:rsidRPr="00AC3752" w:rsidRDefault="00321045" w:rsidP="006229FE">
      <w:pPr>
        <w:rPr>
          <w:rFonts w:cs="Arial"/>
        </w:rPr>
      </w:pPr>
    </w:p>
    <w:p w:rsidR="00B33E13" w:rsidRDefault="00B33E13" w:rsidP="006229FE">
      <w:pPr>
        <w:rPr>
          <w:rFonts w:cs="Arial"/>
        </w:rPr>
      </w:pPr>
      <w:r w:rsidRPr="00AC3752">
        <w:rPr>
          <w:rFonts w:cs="Arial"/>
        </w:rPr>
        <w:t xml:space="preserve">Kontrola byla prováděna </w:t>
      </w:r>
      <w:r w:rsidR="008C2012">
        <w:rPr>
          <w:rFonts w:cs="Arial"/>
        </w:rPr>
        <w:t>v </w:t>
      </w:r>
      <w:r w:rsidRPr="00AC3752">
        <w:rPr>
          <w:rFonts w:cs="Arial"/>
        </w:rPr>
        <w:t xml:space="preserve">době od </w:t>
      </w:r>
      <w:r w:rsidR="008C0BD4" w:rsidRPr="00AC3752">
        <w:rPr>
          <w:rFonts w:cs="Arial"/>
        </w:rPr>
        <w:t>září</w:t>
      </w:r>
      <w:r w:rsidRPr="00AC3752">
        <w:rPr>
          <w:rFonts w:cs="Arial"/>
        </w:rPr>
        <w:t xml:space="preserve"> 201</w:t>
      </w:r>
      <w:r w:rsidR="008C0BD4" w:rsidRPr="00AC3752">
        <w:rPr>
          <w:rFonts w:cs="Arial"/>
        </w:rPr>
        <w:t>3</w:t>
      </w:r>
      <w:r w:rsidRPr="00AC3752">
        <w:rPr>
          <w:rFonts w:cs="Arial"/>
        </w:rPr>
        <w:t xml:space="preserve"> do </w:t>
      </w:r>
      <w:r w:rsidR="008C0BD4" w:rsidRPr="00AC3752">
        <w:rPr>
          <w:rFonts w:cs="Arial"/>
        </w:rPr>
        <w:t>března</w:t>
      </w:r>
      <w:r w:rsidRPr="00AC3752">
        <w:rPr>
          <w:rFonts w:cs="Arial"/>
        </w:rPr>
        <w:t xml:space="preserve"> 201</w:t>
      </w:r>
      <w:r w:rsidR="008C0BD4" w:rsidRPr="00AC3752">
        <w:rPr>
          <w:rFonts w:cs="Arial"/>
        </w:rPr>
        <w:t>4</w:t>
      </w:r>
      <w:r w:rsidRPr="00AC3752">
        <w:rPr>
          <w:rFonts w:cs="Arial"/>
        </w:rPr>
        <w:t>.</w:t>
      </w:r>
      <w:r w:rsidR="00885ECB">
        <w:rPr>
          <w:rFonts w:cs="Arial"/>
        </w:rPr>
        <w:t xml:space="preserve"> </w:t>
      </w:r>
      <w:r w:rsidRPr="00AC3752">
        <w:rPr>
          <w:rFonts w:cs="Arial"/>
        </w:rPr>
        <w:t>Kontrolovaným obdobím byly roky 201</w:t>
      </w:r>
      <w:r w:rsidR="008C0BD4" w:rsidRPr="00AC3752">
        <w:rPr>
          <w:rFonts w:cs="Arial"/>
        </w:rPr>
        <w:t>0</w:t>
      </w:r>
      <w:r w:rsidR="00AE6611">
        <w:rPr>
          <w:rFonts w:cs="Arial"/>
        </w:rPr>
        <w:t xml:space="preserve"> až 2013</w:t>
      </w:r>
      <w:r w:rsidRPr="00AC3752">
        <w:rPr>
          <w:rFonts w:cs="Arial"/>
        </w:rPr>
        <w:t xml:space="preserve">, </w:t>
      </w:r>
      <w:r w:rsidR="008C2012">
        <w:rPr>
          <w:rFonts w:cs="Arial"/>
        </w:rPr>
        <w:t>v </w:t>
      </w:r>
      <w:r w:rsidRPr="00AC3752">
        <w:rPr>
          <w:rFonts w:cs="Arial"/>
        </w:rPr>
        <w:t>případě věcných souvislostí i období předchozí a následující.</w:t>
      </w:r>
    </w:p>
    <w:p w:rsidR="00321045" w:rsidRPr="00AC3752" w:rsidRDefault="00321045" w:rsidP="006229FE">
      <w:pPr>
        <w:rPr>
          <w:rFonts w:cs="Arial"/>
        </w:rPr>
      </w:pPr>
    </w:p>
    <w:p w:rsidR="00B33E13" w:rsidRPr="00AC3752" w:rsidRDefault="00B33E13" w:rsidP="006229FE">
      <w:pPr>
        <w:ind w:left="2127" w:hanging="2127"/>
        <w:rPr>
          <w:rFonts w:cs="Arial"/>
        </w:rPr>
      </w:pPr>
      <w:r w:rsidRPr="00AC3752">
        <w:rPr>
          <w:rFonts w:cs="Arial"/>
        </w:rPr>
        <w:t>Kontrolovaná osoba:</w:t>
      </w:r>
      <w:r w:rsidR="00996514">
        <w:rPr>
          <w:rFonts w:cs="Arial"/>
        </w:rPr>
        <w:t xml:space="preserve"> </w:t>
      </w:r>
      <w:r w:rsidRPr="00AC3752">
        <w:rPr>
          <w:rFonts w:cs="Arial"/>
        </w:rPr>
        <w:t xml:space="preserve">Ministerstvo </w:t>
      </w:r>
      <w:r w:rsidR="008C0BD4" w:rsidRPr="00AC3752">
        <w:rPr>
          <w:rFonts w:cs="Arial"/>
        </w:rPr>
        <w:t>zdravotnictví</w:t>
      </w:r>
      <w:r w:rsidR="00384DF7">
        <w:rPr>
          <w:rFonts w:cs="Arial"/>
        </w:rPr>
        <w:t>.</w:t>
      </w:r>
    </w:p>
    <w:p w:rsidR="00B33E13" w:rsidRPr="00AC3752" w:rsidRDefault="00B33E13" w:rsidP="006229FE">
      <w:pPr>
        <w:ind w:left="2127" w:hanging="2127"/>
        <w:rPr>
          <w:rFonts w:cs="Arial"/>
        </w:rPr>
      </w:pPr>
    </w:p>
    <w:p w:rsidR="00B33E13" w:rsidRPr="00AC3752" w:rsidRDefault="00B33E13" w:rsidP="006229FE">
      <w:pPr>
        <w:rPr>
          <w:rFonts w:cs="Arial"/>
        </w:rPr>
      </w:pPr>
      <w:r w:rsidRPr="00AC3752">
        <w:rPr>
          <w:rFonts w:cs="Arial"/>
        </w:rPr>
        <w:t>Námitky proti kontrolnímu protokolu</w:t>
      </w:r>
      <w:r w:rsidR="00121518" w:rsidRPr="00AC3752">
        <w:rPr>
          <w:rFonts w:cs="Arial"/>
        </w:rPr>
        <w:t>, které</w:t>
      </w:r>
      <w:r w:rsidRPr="00AC3752">
        <w:rPr>
          <w:rFonts w:cs="Arial"/>
        </w:rPr>
        <w:t xml:space="preserve"> M</w:t>
      </w:r>
      <w:r w:rsidR="00237B94">
        <w:rPr>
          <w:rFonts w:cs="Arial"/>
        </w:rPr>
        <w:t>inisterstvo zdravotnictví</w:t>
      </w:r>
      <w:r w:rsidR="00C96C93">
        <w:rPr>
          <w:rFonts w:cs="Arial"/>
        </w:rPr>
        <w:t xml:space="preserve"> </w:t>
      </w:r>
      <w:r w:rsidR="00C96C93" w:rsidRPr="00AC3752">
        <w:rPr>
          <w:rFonts w:cs="Arial"/>
        </w:rPr>
        <w:t>podalo</w:t>
      </w:r>
      <w:r w:rsidR="00121518" w:rsidRPr="00AC3752">
        <w:rPr>
          <w:rFonts w:cs="Arial"/>
        </w:rPr>
        <w:t>,</w:t>
      </w:r>
      <w:r w:rsidRPr="00AC3752">
        <w:rPr>
          <w:rFonts w:cs="Arial"/>
        </w:rPr>
        <w:t xml:space="preserve"> byly vypořádány vedoucím </w:t>
      </w:r>
      <w:r w:rsidR="00907A04" w:rsidRPr="00AC3752">
        <w:rPr>
          <w:rFonts w:cs="Arial"/>
        </w:rPr>
        <w:t>skupiny kontrolujících</w:t>
      </w:r>
      <w:r w:rsidR="0027640D">
        <w:rPr>
          <w:rFonts w:cs="Arial"/>
        </w:rPr>
        <w:t xml:space="preserve"> rozhodnutím o námitkách</w:t>
      </w:r>
      <w:r w:rsidR="00907A04" w:rsidRPr="00AC3752">
        <w:rPr>
          <w:rFonts w:cs="Arial"/>
        </w:rPr>
        <w:t>.</w:t>
      </w:r>
    </w:p>
    <w:p w:rsidR="00CB5C50" w:rsidRPr="00AC3752" w:rsidRDefault="00CB5C50" w:rsidP="006229FE">
      <w:pPr>
        <w:rPr>
          <w:rFonts w:cs="Arial"/>
        </w:rPr>
      </w:pPr>
    </w:p>
    <w:p w:rsidR="00B33E13" w:rsidRPr="00AC3752" w:rsidRDefault="00B33E13" w:rsidP="006229FE">
      <w:pPr>
        <w:rPr>
          <w:rFonts w:cs="Arial"/>
        </w:rPr>
      </w:pPr>
      <w:r w:rsidRPr="00AC3752">
        <w:rPr>
          <w:rFonts w:cs="Arial"/>
          <w:b/>
          <w:i/>
        </w:rPr>
        <w:t>K o l e g i u m   N</w:t>
      </w:r>
      <w:r w:rsidR="00207803">
        <w:rPr>
          <w:rFonts w:cs="Arial"/>
          <w:b/>
          <w:i/>
        </w:rPr>
        <w:t xml:space="preserve"> </w:t>
      </w:r>
      <w:r w:rsidRPr="00AC3752">
        <w:rPr>
          <w:rFonts w:cs="Arial"/>
          <w:b/>
          <w:i/>
        </w:rPr>
        <w:t>K</w:t>
      </w:r>
      <w:r w:rsidR="00207803">
        <w:rPr>
          <w:rFonts w:cs="Arial"/>
          <w:b/>
          <w:i/>
        </w:rPr>
        <w:t xml:space="preserve"> </w:t>
      </w:r>
      <w:r w:rsidRPr="00AC3752">
        <w:rPr>
          <w:rFonts w:cs="Arial"/>
          <w:b/>
          <w:i/>
        </w:rPr>
        <w:t>Ú</w:t>
      </w:r>
      <w:r w:rsidRPr="00AC3752">
        <w:rPr>
          <w:rFonts w:cs="Arial"/>
        </w:rPr>
        <w:t xml:space="preserve">   na svém</w:t>
      </w:r>
      <w:r w:rsidR="00121518" w:rsidRPr="00AC3752">
        <w:rPr>
          <w:rFonts w:cs="Arial"/>
        </w:rPr>
        <w:t xml:space="preserve"> </w:t>
      </w:r>
      <w:r w:rsidR="00F01BA9">
        <w:rPr>
          <w:rFonts w:cs="Arial"/>
        </w:rPr>
        <w:t>X.</w:t>
      </w:r>
      <w:r w:rsidR="00121518" w:rsidRPr="00AC3752">
        <w:rPr>
          <w:rFonts w:cs="Arial"/>
        </w:rPr>
        <w:t xml:space="preserve"> </w:t>
      </w:r>
      <w:r w:rsidRPr="00AC3752">
        <w:rPr>
          <w:rFonts w:cs="Arial"/>
        </w:rPr>
        <w:t xml:space="preserve">zasedání, konaném dne </w:t>
      </w:r>
      <w:r w:rsidR="00F01BA9">
        <w:rPr>
          <w:rFonts w:cs="Arial"/>
        </w:rPr>
        <w:t>26. května</w:t>
      </w:r>
      <w:r w:rsidR="00FD5A21">
        <w:rPr>
          <w:rFonts w:cs="Arial"/>
        </w:rPr>
        <w:t xml:space="preserve"> 2014,</w:t>
      </w:r>
    </w:p>
    <w:p w:rsidR="00B33E13" w:rsidRPr="00AC3752" w:rsidRDefault="00B33E13" w:rsidP="006229FE">
      <w:pPr>
        <w:rPr>
          <w:rFonts w:cs="Arial"/>
        </w:rPr>
      </w:pPr>
      <w:r w:rsidRPr="00AC3752">
        <w:rPr>
          <w:rFonts w:cs="Arial"/>
          <w:b/>
          <w:i/>
        </w:rPr>
        <w:t>s c h v á l i l o</w:t>
      </w:r>
      <w:r w:rsidRPr="00AC3752">
        <w:rPr>
          <w:rFonts w:cs="Arial"/>
        </w:rPr>
        <w:t xml:space="preserve">   usnesením č. </w:t>
      </w:r>
      <w:r w:rsidR="00237B94">
        <w:rPr>
          <w:rFonts w:cs="Arial"/>
        </w:rPr>
        <w:t>13</w:t>
      </w:r>
      <w:r w:rsidR="00121518" w:rsidRPr="00AC3752">
        <w:rPr>
          <w:rFonts w:cs="Arial"/>
        </w:rPr>
        <w:t>/</w:t>
      </w:r>
      <w:r w:rsidR="00F01BA9">
        <w:rPr>
          <w:rFonts w:cs="Arial"/>
        </w:rPr>
        <w:t>X</w:t>
      </w:r>
      <w:r w:rsidR="00FD5A21">
        <w:rPr>
          <w:rFonts w:cs="Arial"/>
        </w:rPr>
        <w:t>/2014</w:t>
      </w:r>
    </w:p>
    <w:p w:rsidR="00B33E13" w:rsidRPr="00AC3752" w:rsidRDefault="00B33E13" w:rsidP="006229FE">
      <w:pPr>
        <w:rPr>
          <w:rFonts w:cs="Arial"/>
        </w:rPr>
      </w:pPr>
      <w:r w:rsidRPr="00AC3752">
        <w:rPr>
          <w:rFonts w:cs="Arial"/>
          <w:b/>
          <w:i/>
        </w:rPr>
        <w:t>k o n t r o l n í</w:t>
      </w:r>
      <w:r w:rsidRPr="00AC3752">
        <w:rPr>
          <w:rFonts w:cs="Arial"/>
        </w:rPr>
        <w:t xml:space="preserve">   </w:t>
      </w:r>
      <w:r w:rsidRPr="00AC3752">
        <w:rPr>
          <w:rFonts w:cs="Arial"/>
          <w:b/>
          <w:i/>
        </w:rPr>
        <w:t>z á v ě r</w:t>
      </w:r>
      <w:r w:rsidRPr="00AC3752">
        <w:rPr>
          <w:rFonts w:cs="Arial"/>
        </w:rPr>
        <w:t xml:space="preserve">   v tomto znění:</w:t>
      </w:r>
    </w:p>
    <w:p w:rsidR="00B33E13" w:rsidRDefault="00B33E13" w:rsidP="006229FE">
      <w:pPr>
        <w:spacing w:line="276" w:lineRule="auto"/>
        <w:jc w:val="center"/>
        <w:rPr>
          <w:rFonts w:cs="Arial"/>
          <w:b/>
        </w:rPr>
      </w:pPr>
    </w:p>
    <w:p w:rsidR="00384DF7" w:rsidRPr="00AC3752" w:rsidRDefault="00384DF7" w:rsidP="006229FE">
      <w:pPr>
        <w:spacing w:line="276" w:lineRule="auto"/>
        <w:jc w:val="center"/>
        <w:rPr>
          <w:rFonts w:cs="Arial"/>
          <w:b/>
        </w:rPr>
      </w:pPr>
    </w:p>
    <w:p w:rsidR="00B33E13" w:rsidRPr="006229FE" w:rsidRDefault="00B33E13" w:rsidP="006229FE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6229FE">
        <w:rPr>
          <w:rFonts w:cs="Arial"/>
          <w:b/>
          <w:sz w:val="24"/>
          <w:szCs w:val="24"/>
        </w:rPr>
        <w:t>I. Úvod</w:t>
      </w:r>
    </w:p>
    <w:p w:rsidR="00B33E13" w:rsidRPr="00AC3752" w:rsidRDefault="00B33E13" w:rsidP="003C5721">
      <w:pPr>
        <w:spacing w:line="276" w:lineRule="auto"/>
        <w:rPr>
          <w:rFonts w:cs="Arial"/>
        </w:rPr>
      </w:pPr>
    </w:p>
    <w:p w:rsidR="008C0BD4" w:rsidRDefault="008C0BD4" w:rsidP="00321045">
      <w:r w:rsidRPr="00AC3752">
        <w:t>Ministerstvo zdravotnictví (dále také „MZ“) je podle zákona č. 219/2000 Sb.</w:t>
      </w:r>
      <w:r w:rsidRPr="00AC3752">
        <w:rPr>
          <w:rStyle w:val="Znakapoznpodarou"/>
          <w:rFonts w:cs="Arial"/>
        </w:rPr>
        <w:footnoteReference w:id="1"/>
      </w:r>
      <w:r w:rsidRPr="00AC3752">
        <w:t xml:space="preserve"> organizační složkou státu, účetní jednotkou podle zákona</w:t>
      </w:r>
      <w:r w:rsidR="00A6520F">
        <w:t xml:space="preserve"> </w:t>
      </w:r>
      <w:r w:rsidRPr="00AC3752">
        <w:t>č. 563/1991 Sb.</w:t>
      </w:r>
      <w:r w:rsidRPr="00AC3752">
        <w:rPr>
          <w:rStyle w:val="Znakapoznpodarou"/>
          <w:rFonts w:cs="Arial"/>
        </w:rPr>
        <w:footnoteReference w:id="2"/>
      </w:r>
      <w:r w:rsidRPr="00AC3752">
        <w:t xml:space="preserve"> a správcem kapitoly státního rozpočtu 335 – </w:t>
      </w:r>
      <w:r w:rsidRPr="006229FE">
        <w:rPr>
          <w:i/>
        </w:rPr>
        <w:t>Ministerstvo zdravotnictví</w:t>
      </w:r>
      <w:r w:rsidRPr="00AC3752">
        <w:t xml:space="preserve">. </w:t>
      </w:r>
    </w:p>
    <w:p w:rsidR="00321045" w:rsidRPr="00321045" w:rsidRDefault="00321045"/>
    <w:p w:rsidR="008C0BD4" w:rsidRDefault="008C0BD4" w:rsidP="006229FE">
      <w:pPr>
        <w:rPr>
          <w:rFonts w:cs="Arial"/>
          <w:lang w:eastAsia="cs-CZ"/>
        </w:rPr>
      </w:pPr>
      <w:r w:rsidRPr="00AC3752">
        <w:rPr>
          <w:rFonts w:cs="Arial"/>
        </w:rPr>
        <w:t>MZ je dle zákona č. 2/1969 Sb.</w:t>
      </w:r>
      <w:r w:rsidRPr="00AC3752">
        <w:rPr>
          <w:rStyle w:val="Znakapoznpodarou"/>
          <w:rFonts w:cs="Arial"/>
        </w:rPr>
        <w:footnoteReference w:id="3"/>
      </w:r>
      <w:r w:rsidRPr="00AC3752">
        <w:rPr>
          <w:rFonts w:cs="Arial"/>
        </w:rPr>
        <w:t xml:space="preserve"> </w:t>
      </w:r>
      <w:r w:rsidRPr="00AC3752">
        <w:rPr>
          <w:rFonts w:cs="Arial"/>
          <w:lang w:eastAsia="cs-CZ"/>
        </w:rPr>
        <w:t xml:space="preserve">ústředním orgánem státní správy pro zdravotní péči, ochranu veřejného zdraví, zdravotnickou vědeckovýzkumnou činnost, zdravotnická zařízení </w:t>
      </w:r>
      <w:r w:rsidR="008C2012">
        <w:rPr>
          <w:rFonts w:cs="Arial"/>
          <w:lang w:eastAsia="cs-CZ"/>
        </w:rPr>
        <w:t>v </w:t>
      </w:r>
      <w:r w:rsidRPr="00AC3752">
        <w:rPr>
          <w:rFonts w:cs="Arial"/>
          <w:lang w:eastAsia="cs-CZ"/>
        </w:rPr>
        <w:t xml:space="preserve">přímé řídící působnosti, zacházení </w:t>
      </w:r>
      <w:r w:rsidR="008C2012">
        <w:rPr>
          <w:rFonts w:cs="Arial"/>
          <w:lang w:eastAsia="cs-CZ"/>
        </w:rPr>
        <w:t>s </w:t>
      </w:r>
      <w:r w:rsidRPr="00AC3752">
        <w:rPr>
          <w:rFonts w:cs="Arial"/>
          <w:lang w:eastAsia="cs-CZ"/>
        </w:rPr>
        <w:t>návykovými látkami, přípravky, prekursory a</w:t>
      </w:r>
      <w:r w:rsidR="008C2012">
        <w:rPr>
          <w:rFonts w:cs="Arial"/>
          <w:lang w:eastAsia="cs-CZ"/>
        </w:rPr>
        <w:t> </w:t>
      </w:r>
      <w:r w:rsidRPr="00AC3752">
        <w:rPr>
          <w:rFonts w:cs="Arial"/>
          <w:lang w:eastAsia="cs-CZ"/>
        </w:rPr>
        <w:t>pomocnými látkami, vyhledávání, ochranu a využívání přírodních léčivých zdrojů, přírodních léčebných lázní a zdrojů přírodních minerálních vod, léčiva a prostředky zdravotnické techniky pro prevenci, diagnostiku a léčení lidí, zdravotní pojištění a</w:t>
      </w:r>
      <w:r w:rsidR="008C2012">
        <w:rPr>
          <w:rFonts w:cs="Arial"/>
          <w:lang w:eastAsia="cs-CZ"/>
        </w:rPr>
        <w:t> </w:t>
      </w:r>
      <w:r w:rsidRPr="00AC3752">
        <w:rPr>
          <w:rFonts w:cs="Arial"/>
          <w:lang w:eastAsia="cs-CZ"/>
        </w:rPr>
        <w:t>zdravotnický informační systém, pro používání biocidních přípravků a uvádění biocidních přípravků a účinných látek na trh. Součástí MZ je Český inspektorát lázní a zřídel a</w:t>
      </w:r>
      <w:r w:rsidR="008C2012">
        <w:rPr>
          <w:rFonts w:cs="Arial"/>
          <w:lang w:eastAsia="cs-CZ"/>
        </w:rPr>
        <w:t> </w:t>
      </w:r>
      <w:r w:rsidRPr="00AC3752">
        <w:rPr>
          <w:rFonts w:cs="Arial"/>
          <w:lang w:eastAsia="cs-CZ"/>
        </w:rPr>
        <w:t>Inspektorát omamných a psychotropních látek.</w:t>
      </w:r>
    </w:p>
    <w:p w:rsidR="00321045" w:rsidRDefault="00321045" w:rsidP="006229FE">
      <w:pPr>
        <w:rPr>
          <w:rFonts w:cs="Arial"/>
          <w:lang w:eastAsia="cs-CZ"/>
        </w:rPr>
      </w:pPr>
    </w:p>
    <w:p w:rsidR="00AC3752" w:rsidRPr="00AC3752" w:rsidRDefault="00AC3752" w:rsidP="006229FE">
      <w:pPr>
        <w:rPr>
          <w:rFonts w:cs="Arial"/>
          <w:lang w:eastAsia="cs-CZ"/>
        </w:rPr>
      </w:pPr>
      <w:r>
        <w:rPr>
          <w:rFonts w:cs="Arial"/>
          <w:lang w:eastAsia="cs-CZ"/>
        </w:rPr>
        <w:lastRenderedPageBreak/>
        <w:t xml:space="preserve">Kontrola NKÚ </w:t>
      </w:r>
      <w:r w:rsidR="006F7951">
        <w:rPr>
          <w:rFonts w:cs="Arial"/>
          <w:lang w:eastAsia="cs-CZ"/>
        </w:rPr>
        <w:t xml:space="preserve">se zaměřila na </w:t>
      </w:r>
      <w:r>
        <w:rPr>
          <w:rFonts w:cs="Arial"/>
          <w:lang w:eastAsia="cs-CZ"/>
        </w:rPr>
        <w:t xml:space="preserve">nakládání s majetkem státu, se kterým je </w:t>
      </w:r>
      <w:r w:rsidR="006F7951">
        <w:rPr>
          <w:rFonts w:cs="Arial"/>
          <w:lang w:eastAsia="cs-CZ"/>
        </w:rPr>
        <w:t xml:space="preserve">MZ </w:t>
      </w:r>
      <w:r>
        <w:rPr>
          <w:rFonts w:cs="Arial"/>
          <w:lang w:eastAsia="cs-CZ"/>
        </w:rPr>
        <w:t xml:space="preserve">příslušné hospodařit, </w:t>
      </w:r>
      <w:r w:rsidR="00D843D4">
        <w:rPr>
          <w:rFonts w:cs="Arial"/>
          <w:lang w:eastAsia="cs-CZ"/>
        </w:rPr>
        <w:t xml:space="preserve">vybrané náklady na zajištění činnosti </w:t>
      </w:r>
      <w:r w:rsidR="00844DBA">
        <w:rPr>
          <w:rFonts w:cs="Arial"/>
          <w:lang w:eastAsia="cs-CZ"/>
        </w:rPr>
        <w:t xml:space="preserve">MZ </w:t>
      </w:r>
      <w:r w:rsidR="00D843D4">
        <w:rPr>
          <w:rFonts w:cs="Arial"/>
          <w:lang w:eastAsia="cs-CZ"/>
        </w:rPr>
        <w:t xml:space="preserve">a </w:t>
      </w:r>
      <w:r w:rsidR="00844DBA">
        <w:rPr>
          <w:rFonts w:cs="Arial"/>
          <w:lang w:eastAsia="cs-CZ"/>
        </w:rPr>
        <w:t xml:space="preserve">na </w:t>
      </w:r>
      <w:r w:rsidR="00D843D4">
        <w:rPr>
          <w:rFonts w:cs="Arial"/>
          <w:lang w:eastAsia="cs-CZ"/>
        </w:rPr>
        <w:t xml:space="preserve">informační a komunikační technologie MZ. Kontrola NKÚ </w:t>
      </w:r>
      <w:r w:rsidR="009E7971">
        <w:rPr>
          <w:rFonts w:cs="Arial"/>
          <w:lang w:eastAsia="cs-CZ"/>
        </w:rPr>
        <w:t xml:space="preserve">se </w:t>
      </w:r>
      <w:r w:rsidR="005C45BC">
        <w:rPr>
          <w:rFonts w:cs="Arial"/>
          <w:lang w:eastAsia="cs-CZ"/>
        </w:rPr>
        <w:t xml:space="preserve">u MZ zaměřila </w:t>
      </w:r>
      <w:r w:rsidR="00D843D4">
        <w:rPr>
          <w:rFonts w:cs="Arial"/>
          <w:lang w:eastAsia="cs-CZ"/>
        </w:rPr>
        <w:t xml:space="preserve">rovněž </w:t>
      </w:r>
      <w:r w:rsidR="009E7971">
        <w:rPr>
          <w:rFonts w:cs="Arial"/>
          <w:lang w:eastAsia="cs-CZ"/>
        </w:rPr>
        <w:t xml:space="preserve">na ověření </w:t>
      </w:r>
      <w:r w:rsidR="00D843D4">
        <w:rPr>
          <w:rFonts w:cs="Arial"/>
          <w:lang w:eastAsia="cs-CZ"/>
        </w:rPr>
        <w:t>výdaj</w:t>
      </w:r>
      <w:r w:rsidR="009E7971">
        <w:rPr>
          <w:rFonts w:cs="Arial"/>
          <w:lang w:eastAsia="cs-CZ"/>
        </w:rPr>
        <w:t>ů</w:t>
      </w:r>
      <w:r w:rsidR="00D843D4">
        <w:rPr>
          <w:rFonts w:cs="Arial"/>
          <w:lang w:eastAsia="cs-CZ"/>
        </w:rPr>
        <w:t xml:space="preserve"> na konzultační, poradenské a právní služby, </w:t>
      </w:r>
      <w:r w:rsidR="007B20C0">
        <w:rPr>
          <w:rFonts w:cs="Arial"/>
          <w:lang w:eastAsia="cs-CZ"/>
        </w:rPr>
        <w:t xml:space="preserve">na </w:t>
      </w:r>
      <w:r w:rsidR="00D843D4">
        <w:rPr>
          <w:rFonts w:cs="Arial"/>
          <w:lang w:eastAsia="cs-CZ"/>
        </w:rPr>
        <w:t>odpis</w:t>
      </w:r>
      <w:r w:rsidR="00AE6611">
        <w:rPr>
          <w:rFonts w:cs="Arial"/>
          <w:lang w:eastAsia="cs-CZ"/>
        </w:rPr>
        <w:t>y</w:t>
      </w:r>
      <w:r w:rsidR="00D843D4">
        <w:rPr>
          <w:rFonts w:cs="Arial"/>
          <w:lang w:eastAsia="cs-CZ"/>
        </w:rPr>
        <w:t xml:space="preserve"> majetk</w:t>
      </w:r>
      <w:r w:rsidR="00885ECB">
        <w:rPr>
          <w:rFonts w:cs="Arial"/>
          <w:lang w:eastAsia="cs-CZ"/>
        </w:rPr>
        <w:t>u, pohledávky a závazky a </w:t>
      </w:r>
      <w:r w:rsidR="005C45BC">
        <w:rPr>
          <w:rFonts w:cs="Arial"/>
          <w:lang w:eastAsia="cs-CZ"/>
        </w:rPr>
        <w:t xml:space="preserve">na </w:t>
      </w:r>
      <w:r w:rsidR="00D843D4">
        <w:rPr>
          <w:rFonts w:cs="Arial"/>
          <w:lang w:eastAsia="cs-CZ"/>
        </w:rPr>
        <w:t>inventarizaci majetku.</w:t>
      </w:r>
    </w:p>
    <w:p w:rsidR="00B33E13" w:rsidRPr="00AC3752" w:rsidRDefault="00B33E13" w:rsidP="003C5721">
      <w:pPr>
        <w:spacing w:line="276" w:lineRule="auto"/>
        <w:rPr>
          <w:rFonts w:cs="Arial"/>
        </w:rPr>
      </w:pPr>
    </w:p>
    <w:p w:rsidR="00B33E13" w:rsidRPr="00AC3752" w:rsidRDefault="00B33E13" w:rsidP="006229FE">
      <w:pPr>
        <w:ind w:left="680" w:hanging="680"/>
        <w:rPr>
          <w:rFonts w:cs="Arial"/>
          <w:sz w:val="20"/>
          <w:szCs w:val="20"/>
        </w:rPr>
      </w:pPr>
      <w:r w:rsidRPr="006229FE">
        <w:rPr>
          <w:rFonts w:cs="Arial"/>
          <w:b/>
          <w:sz w:val="20"/>
          <w:szCs w:val="20"/>
        </w:rPr>
        <w:t>Pozn</w:t>
      </w:r>
      <w:r w:rsidR="00321045" w:rsidRPr="006229FE">
        <w:rPr>
          <w:rFonts w:cs="Arial"/>
          <w:b/>
          <w:sz w:val="20"/>
          <w:szCs w:val="20"/>
        </w:rPr>
        <w:t>.:</w:t>
      </w:r>
      <w:r w:rsidR="00121518" w:rsidRPr="00AC3752">
        <w:rPr>
          <w:rFonts w:cs="Arial"/>
          <w:sz w:val="20"/>
          <w:szCs w:val="20"/>
        </w:rPr>
        <w:tab/>
      </w:r>
      <w:r w:rsidRPr="00AC3752">
        <w:rPr>
          <w:rFonts w:cs="Arial"/>
          <w:sz w:val="20"/>
          <w:szCs w:val="20"/>
        </w:rPr>
        <w:t xml:space="preserve">Všechny právní předpisy uváděné </w:t>
      </w:r>
      <w:r w:rsidR="008C2012">
        <w:rPr>
          <w:rFonts w:cs="Arial"/>
          <w:sz w:val="20"/>
          <w:szCs w:val="20"/>
        </w:rPr>
        <w:t>v </w:t>
      </w:r>
      <w:r w:rsidRPr="00AC3752">
        <w:rPr>
          <w:rFonts w:cs="Arial"/>
          <w:sz w:val="20"/>
          <w:szCs w:val="20"/>
        </w:rPr>
        <w:t>tomto kontrolním</w:t>
      </w:r>
      <w:r w:rsidR="008C0BD4" w:rsidRPr="00AC3752">
        <w:rPr>
          <w:rFonts w:cs="Arial"/>
          <w:sz w:val="20"/>
          <w:szCs w:val="20"/>
        </w:rPr>
        <w:t xml:space="preserve"> závěru</w:t>
      </w:r>
      <w:r w:rsidRPr="00AC3752">
        <w:rPr>
          <w:rFonts w:cs="Arial"/>
          <w:sz w:val="20"/>
          <w:szCs w:val="20"/>
        </w:rPr>
        <w:t xml:space="preserve"> jsou aplikovány ve znění účinném pro kontrolované období.</w:t>
      </w:r>
    </w:p>
    <w:p w:rsidR="00B33E13" w:rsidRPr="00AC3752" w:rsidRDefault="00B33E13" w:rsidP="006229FE">
      <w:pPr>
        <w:spacing w:line="276" w:lineRule="auto"/>
        <w:rPr>
          <w:rFonts w:cs="Arial"/>
          <w:b/>
        </w:rPr>
      </w:pPr>
    </w:p>
    <w:p w:rsidR="007E369F" w:rsidRDefault="007E369F" w:rsidP="006229FE">
      <w:pPr>
        <w:spacing w:line="276" w:lineRule="auto"/>
        <w:jc w:val="center"/>
        <w:rPr>
          <w:rFonts w:cs="Arial"/>
          <w:b/>
        </w:rPr>
      </w:pPr>
    </w:p>
    <w:p w:rsidR="00B33E13" w:rsidRPr="006229FE" w:rsidRDefault="00B33E13" w:rsidP="006229FE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6229FE">
        <w:rPr>
          <w:rFonts w:cs="Arial"/>
          <w:b/>
          <w:sz w:val="24"/>
          <w:szCs w:val="24"/>
        </w:rPr>
        <w:t>II. Skutečnosti zjištěné při kontrole</w:t>
      </w:r>
    </w:p>
    <w:p w:rsidR="00682048" w:rsidRDefault="00682048" w:rsidP="006229FE">
      <w:pPr>
        <w:spacing w:line="276" w:lineRule="auto"/>
        <w:rPr>
          <w:rFonts w:cs="Arial"/>
          <w:b/>
        </w:rPr>
      </w:pPr>
    </w:p>
    <w:p w:rsidR="00A714A7" w:rsidRPr="00AC3752" w:rsidRDefault="00682048" w:rsidP="00A714A7">
      <w:pPr>
        <w:widowControl w:val="0"/>
        <w:autoSpaceDE w:val="0"/>
        <w:autoSpaceDN w:val="0"/>
        <w:adjustRightInd w:val="0"/>
        <w:rPr>
          <w:rFonts w:cs="Arial"/>
          <w:lang w:eastAsia="cs-CZ"/>
        </w:rPr>
      </w:pPr>
      <w:r w:rsidRPr="00B020B9">
        <w:rPr>
          <w:rFonts w:cs="Arial"/>
        </w:rPr>
        <w:t xml:space="preserve">Celkový přehled </w:t>
      </w:r>
      <w:r>
        <w:rPr>
          <w:rFonts w:cs="Arial"/>
        </w:rPr>
        <w:t xml:space="preserve">ke kontrole vybraného majetku a vybraných </w:t>
      </w:r>
      <w:r w:rsidR="00844DBA">
        <w:rPr>
          <w:rFonts w:cs="Arial"/>
        </w:rPr>
        <w:t>nákladů</w:t>
      </w:r>
      <w:r>
        <w:rPr>
          <w:rFonts w:cs="Arial"/>
        </w:rPr>
        <w:t xml:space="preserve"> </w:t>
      </w:r>
      <w:r w:rsidR="00A714A7">
        <w:rPr>
          <w:rFonts w:cs="Arial"/>
        </w:rPr>
        <w:t xml:space="preserve">a výdajů </w:t>
      </w:r>
      <w:r>
        <w:rPr>
          <w:rFonts w:cs="Arial"/>
        </w:rPr>
        <w:t xml:space="preserve">na zajištění činnosti MZ </w:t>
      </w:r>
      <w:r w:rsidR="007C70D5">
        <w:rPr>
          <w:rFonts w:cs="Arial"/>
        </w:rPr>
        <w:t>je uveden v tabulce č. 1</w:t>
      </w:r>
      <w:r w:rsidR="00A714A7">
        <w:rPr>
          <w:rFonts w:cs="Arial"/>
        </w:rPr>
        <w:t>.</w:t>
      </w:r>
      <w:r>
        <w:rPr>
          <w:rFonts w:cs="Arial"/>
        </w:rPr>
        <w:t xml:space="preserve"> </w:t>
      </w:r>
      <w:r w:rsidR="00A714A7">
        <w:rPr>
          <w:rFonts w:cs="Arial"/>
        </w:rPr>
        <w:t>K</w:t>
      </w:r>
      <w:r w:rsidR="00A714A7" w:rsidRPr="00AC3752">
        <w:rPr>
          <w:rFonts w:cs="Arial"/>
          <w:lang w:eastAsia="cs-CZ"/>
        </w:rPr>
        <w:t xml:space="preserve">ontrolou NKÚ </w:t>
      </w:r>
      <w:r w:rsidR="00A714A7" w:rsidRPr="00AC3752">
        <w:rPr>
          <w:rFonts w:cs="Arial"/>
        </w:rPr>
        <w:t>byl</w:t>
      </w:r>
      <w:r w:rsidR="00A714A7" w:rsidRPr="00AC3752">
        <w:rPr>
          <w:rFonts w:cs="Arial"/>
          <w:lang w:eastAsia="cs-CZ"/>
        </w:rPr>
        <w:t xml:space="preserve"> prověřen objem majetku MZ </w:t>
      </w:r>
      <w:r w:rsidR="00523BD9">
        <w:rPr>
          <w:rFonts w:cs="Arial"/>
          <w:lang w:eastAsia="cs-CZ"/>
        </w:rPr>
        <w:t>a</w:t>
      </w:r>
      <w:r w:rsidR="005C45BC">
        <w:rPr>
          <w:rFonts w:cs="Arial"/>
          <w:lang w:eastAsia="cs-CZ"/>
        </w:rPr>
        <w:t> </w:t>
      </w:r>
      <w:r w:rsidR="00523BD9">
        <w:rPr>
          <w:rFonts w:cs="Arial"/>
          <w:lang w:eastAsia="cs-CZ"/>
        </w:rPr>
        <w:t xml:space="preserve">vybraných nákladů (výdajů) </w:t>
      </w:r>
      <w:r w:rsidR="00A714A7" w:rsidRPr="00AC3752">
        <w:rPr>
          <w:rFonts w:cs="Arial"/>
          <w:lang w:eastAsia="cs-CZ"/>
        </w:rPr>
        <w:t>v</w:t>
      </w:r>
      <w:r w:rsidR="00A714A7">
        <w:rPr>
          <w:rFonts w:cs="Arial"/>
          <w:lang w:eastAsia="cs-CZ"/>
        </w:rPr>
        <w:t xml:space="preserve"> celkové </w:t>
      </w:r>
      <w:r w:rsidR="00A714A7" w:rsidRPr="00AC3752">
        <w:rPr>
          <w:rFonts w:cs="Arial"/>
          <w:lang w:eastAsia="cs-CZ"/>
        </w:rPr>
        <w:t>hodnotě 521 735 757 Kč.</w:t>
      </w:r>
    </w:p>
    <w:p w:rsidR="00682048" w:rsidRPr="00B020B9" w:rsidRDefault="00682048" w:rsidP="006229FE">
      <w:pPr>
        <w:spacing w:line="276" w:lineRule="auto"/>
        <w:rPr>
          <w:rFonts w:cs="Arial"/>
        </w:rPr>
      </w:pPr>
    </w:p>
    <w:p w:rsidR="00E85D22" w:rsidRDefault="00467A3A" w:rsidP="00E85D22">
      <w:pPr>
        <w:pStyle w:val="Odstavecseseznamem"/>
        <w:widowControl w:val="0"/>
        <w:tabs>
          <w:tab w:val="right" w:pos="9498"/>
        </w:tabs>
        <w:autoSpaceDE w:val="0"/>
        <w:autoSpaceDN w:val="0"/>
        <w:adjustRightInd w:val="0"/>
        <w:spacing w:after="120"/>
        <w:ind w:left="0"/>
        <w:rPr>
          <w:rFonts w:cs="Arial"/>
          <w:b/>
          <w:lang w:val="cs-CZ"/>
        </w:rPr>
      </w:pPr>
      <w:r w:rsidRPr="006229FE">
        <w:rPr>
          <w:rFonts w:cs="Arial"/>
          <w:b/>
          <w:lang w:val="cs-CZ"/>
        </w:rPr>
        <w:t>Tabulka č. </w:t>
      </w:r>
      <w:r w:rsidR="006F7951" w:rsidRPr="006229FE">
        <w:rPr>
          <w:rFonts w:cs="Arial"/>
          <w:b/>
          <w:lang w:val="cs-CZ"/>
        </w:rPr>
        <w:t>1</w:t>
      </w:r>
      <w:r w:rsidRPr="006229FE">
        <w:rPr>
          <w:rFonts w:cs="Arial"/>
          <w:b/>
          <w:lang w:val="cs-CZ"/>
        </w:rPr>
        <w:t> – </w:t>
      </w:r>
      <w:r w:rsidR="006F7951" w:rsidRPr="006229FE">
        <w:rPr>
          <w:rFonts w:cs="Arial"/>
          <w:b/>
          <w:lang w:val="cs-CZ"/>
        </w:rPr>
        <w:t xml:space="preserve">Přehled kontrolovaného objemu majetku a </w:t>
      </w:r>
      <w:r w:rsidR="00A714A7" w:rsidRPr="006229FE">
        <w:rPr>
          <w:rFonts w:cs="Arial"/>
          <w:b/>
          <w:lang w:val="cs-CZ"/>
        </w:rPr>
        <w:t xml:space="preserve">vybraných </w:t>
      </w:r>
    </w:p>
    <w:p w:rsidR="006F7951" w:rsidRPr="00B020B9" w:rsidRDefault="00A714A7" w:rsidP="006229FE">
      <w:pPr>
        <w:pStyle w:val="Odstavecseseznamem"/>
        <w:widowControl w:val="0"/>
        <w:tabs>
          <w:tab w:val="right" w:pos="9498"/>
        </w:tabs>
        <w:autoSpaceDE w:val="0"/>
        <w:autoSpaceDN w:val="0"/>
        <w:adjustRightInd w:val="0"/>
        <w:spacing w:after="40"/>
        <w:ind w:left="1531"/>
        <w:rPr>
          <w:rFonts w:cs="Arial"/>
          <w:lang w:val="cs-CZ"/>
        </w:rPr>
      </w:pPr>
      <w:r w:rsidRPr="006229FE">
        <w:rPr>
          <w:rFonts w:cs="Arial"/>
          <w:b/>
          <w:lang w:val="cs-CZ"/>
        </w:rPr>
        <w:t>nákladů (</w:t>
      </w:r>
      <w:proofErr w:type="gramStart"/>
      <w:r w:rsidRPr="006229FE">
        <w:rPr>
          <w:rFonts w:cs="Arial"/>
          <w:b/>
          <w:lang w:val="cs-CZ"/>
        </w:rPr>
        <w:t>výdajů)</w:t>
      </w:r>
      <w:r w:rsidR="008C2012">
        <w:rPr>
          <w:rFonts w:cs="Arial"/>
          <w:lang w:val="cs-CZ"/>
        </w:rPr>
        <w:tab/>
      </w:r>
      <w:r w:rsidR="008C2012" w:rsidRPr="006229FE">
        <w:rPr>
          <w:rFonts w:cs="Arial"/>
          <w:b/>
          <w:lang w:val="cs-CZ"/>
        </w:rPr>
        <w:t>(</w:t>
      </w:r>
      <w:r w:rsidR="006F7951" w:rsidRPr="006229FE">
        <w:rPr>
          <w:rFonts w:cs="Arial"/>
          <w:b/>
          <w:lang w:val="cs-CZ"/>
        </w:rPr>
        <w:t>v</w:t>
      </w:r>
      <w:r w:rsidR="008C2012" w:rsidRPr="006229FE">
        <w:rPr>
          <w:rFonts w:cs="Arial"/>
          <w:b/>
          <w:lang w:val="cs-CZ"/>
        </w:rPr>
        <w:t> </w:t>
      </w:r>
      <w:r w:rsidR="006F7951" w:rsidRPr="006229FE">
        <w:rPr>
          <w:rFonts w:cs="Arial"/>
          <w:b/>
          <w:lang w:val="cs-CZ"/>
        </w:rPr>
        <w:t>Kč</w:t>
      </w:r>
      <w:proofErr w:type="gramEnd"/>
      <w:r w:rsidR="008C2012" w:rsidRPr="006229FE">
        <w:rPr>
          <w:rFonts w:cs="Arial"/>
          <w:b/>
          <w:lang w:val="cs-CZ"/>
        </w:rPr>
        <w:t>)</w:t>
      </w:r>
    </w:p>
    <w:tbl>
      <w:tblPr>
        <w:tblW w:w="95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53"/>
        <w:gridCol w:w="1342"/>
        <w:gridCol w:w="1253"/>
        <w:gridCol w:w="1253"/>
        <w:gridCol w:w="1253"/>
        <w:gridCol w:w="1342"/>
      </w:tblGrid>
      <w:tr w:rsidR="006F7951" w:rsidRPr="00AC3752" w:rsidTr="006F7951">
        <w:trPr>
          <w:trHeight w:val="300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F7951" w:rsidRPr="00AC3752" w:rsidRDefault="006F7951" w:rsidP="006F795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Předmět kontroly</w:t>
            </w:r>
          </w:p>
        </w:tc>
        <w:tc>
          <w:tcPr>
            <w:tcW w:w="635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6F7951" w:rsidRPr="00AC3752" w:rsidRDefault="006F7951" w:rsidP="006F795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Kontrolovaný objem majetku</w:t>
            </w:r>
            <w:r w:rsidR="00E1559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a nákladů (výdajů)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F7951" w:rsidRPr="00AC3752" w:rsidRDefault="006F7951" w:rsidP="00A714A7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Celkem </w:t>
            </w:r>
          </w:p>
        </w:tc>
      </w:tr>
      <w:tr w:rsidR="006F7951" w:rsidRPr="00AC3752" w:rsidTr="006F7951">
        <w:trPr>
          <w:trHeight w:val="31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7951" w:rsidRPr="00AC3752" w:rsidRDefault="006F7951" w:rsidP="006F795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Rok 2009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7951" w:rsidRPr="00AC3752" w:rsidRDefault="006F7951" w:rsidP="006F795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Rok 2010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7951" w:rsidRPr="00AC3752" w:rsidRDefault="006F7951" w:rsidP="006F795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Rok 2011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7951" w:rsidRPr="00AC3752" w:rsidRDefault="006F7951" w:rsidP="006F795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Rok 2012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F7951" w:rsidRPr="00AC3752" w:rsidRDefault="006F7951" w:rsidP="006F795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Rok 2013</w:t>
            </w:r>
          </w:p>
        </w:tc>
        <w:tc>
          <w:tcPr>
            <w:tcW w:w="134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Přírůstky majetku MZ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13 156 461,30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45 476 579,20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11 359 025,00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27 260 717,00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97 252 782,50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Úbytky majetku MZ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569 984,00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1 282 500,00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11 511 403,70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13 363 887,70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30904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Pronájem majetku MZ</w:t>
            </w:r>
            <w:r w:rsidR="00A30904" w:rsidRPr="006229FE"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cs-CZ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317 039,00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1 475 763,00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324 990,00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2 117 792,00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30904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Nájem majetku MZ</w:t>
            </w:r>
            <w:r w:rsidR="00A30904" w:rsidRPr="006229FE"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69 764,00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114 234,00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183 998,00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Cestovné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1 852 477,36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850 700,97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2 703 178,33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Spotřeba materiálu MZ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2 678 184,60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1 147 408,39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3 825 592,99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Dary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412 213,00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315 255,54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727 468,54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1 327 922,86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3 776 500,16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1 362 621,90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6 467 044,92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Ostatní služby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6 906 606,60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2 891 697,00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9 798 303,60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Náklady na reprezentaci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229 947,00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208 194,20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438 141,20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Pohledávky a závazky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46 608,18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4 362 841,80</w:t>
            </w:r>
            <w:r w:rsidR="00A30904" w:rsidRPr="006229FE"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cs-CZ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2 784 902,38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522 423,66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7 717 306,02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Odpisy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35 501 492,00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6 303 421,00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5 079 816,00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46 884 729,00</w:t>
            </w:r>
          </w:p>
        </w:tc>
      </w:tr>
      <w:tr w:rsidR="006F7951" w:rsidRPr="00AC3752" w:rsidTr="006F7951">
        <w:trPr>
          <w:trHeight w:val="45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5C45B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Konzultační, </w:t>
            </w:r>
            <w:proofErr w:type="gramStart"/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porad.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</w:t>
            </w:r>
            <w:r w:rsidR="005C45B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právní</w:t>
            </w:r>
            <w:proofErr w:type="gramEnd"/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služby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32 763 372,00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32 763 372,00</w:t>
            </w:r>
          </w:p>
        </w:tc>
      </w:tr>
      <w:tr w:rsidR="006F7951" w:rsidRPr="00AC3752" w:rsidTr="006F795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Informační technologie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3 437 910,00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4 199 979,00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2 772 000,00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1 940 400,00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12 350 289,00</w:t>
            </w:r>
          </w:p>
        </w:tc>
      </w:tr>
      <w:tr w:rsidR="006F7951" w:rsidRPr="00AC3752" w:rsidTr="006F7951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951" w:rsidRPr="00A30904" w:rsidRDefault="006F7951" w:rsidP="00321045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Inventarizace</w:t>
            </w:r>
            <w:r w:rsidR="00A30904" w:rsidRPr="006229FE"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cs-CZ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274 406 887,31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8 566 838,46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2 168 145,83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285 141 871,60</w:t>
            </w:r>
          </w:p>
        </w:tc>
      </w:tr>
      <w:tr w:rsidR="006F7951" w:rsidRPr="00AC3752" w:rsidTr="006F7951">
        <w:trPr>
          <w:trHeight w:val="31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F7951" w:rsidRPr="00AC3752" w:rsidRDefault="006F7951" w:rsidP="006F795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F7951" w:rsidRPr="006229FE" w:rsidRDefault="006F7951" w:rsidP="00BA6092">
            <w:pPr>
              <w:ind w:right="57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cs-CZ"/>
              </w:rPr>
            </w:pPr>
            <w:r w:rsidRPr="006229FE">
              <w:rPr>
                <w:rFonts w:eastAsia="Times New Roman" w:cs="Arial"/>
                <w:b/>
                <w:color w:val="000000"/>
                <w:sz w:val="16"/>
                <w:szCs w:val="16"/>
                <w:lang w:eastAsia="cs-CZ"/>
              </w:rPr>
              <w:t>16 640 979,48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F7951" w:rsidRPr="006229FE" w:rsidRDefault="006F7951" w:rsidP="006229FE">
            <w:pPr>
              <w:ind w:right="57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cs-CZ"/>
              </w:rPr>
            </w:pPr>
            <w:r w:rsidRPr="006229FE">
              <w:rPr>
                <w:rFonts w:eastAsia="Times New Roman" w:cs="Arial"/>
                <w:b/>
                <w:color w:val="000000"/>
                <w:sz w:val="16"/>
                <w:szCs w:val="16"/>
                <w:lang w:eastAsia="cs-CZ"/>
              </w:rPr>
              <w:t>329 333 310,31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F7951" w:rsidRPr="006229FE" w:rsidRDefault="006F7951" w:rsidP="00BA6092">
            <w:pPr>
              <w:ind w:right="57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cs-CZ"/>
              </w:rPr>
            </w:pPr>
            <w:r w:rsidRPr="006229FE">
              <w:rPr>
                <w:rFonts w:eastAsia="Times New Roman" w:cs="Arial"/>
                <w:b/>
                <w:color w:val="000000"/>
                <w:sz w:val="16"/>
                <w:szCs w:val="16"/>
                <w:lang w:eastAsia="cs-CZ"/>
              </w:rPr>
              <w:t>65 140 207,70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F7951" w:rsidRPr="006229FE" w:rsidRDefault="006F7951" w:rsidP="00BA6092">
            <w:pPr>
              <w:ind w:right="57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cs-CZ"/>
              </w:rPr>
            </w:pPr>
            <w:r w:rsidRPr="006229FE">
              <w:rPr>
                <w:rFonts w:eastAsia="Times New Roman" w:cs="Arial"/>
                <w:b/>
                <w:color w:val="000000"/>
                <w:sz w:val="16"/>
                <w:szCs w:val="16"/>
                <w:lang w:eastAsia="cs-CZ"/>
              </w:rPr>
              <w:t>98 765 035,91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F7951" w:rsidRPr="006229FE" w:rsidRDefault="006F7951" w:rsidP="00BA6092">
            <w:pPr>
              <w:ind w:right="57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cs-CZ"/>
              </w:rPr>
            </w:pPr>
            <w:r w:rsidRPr="006229FE">
              <w:rPr>
                <w:rFonts w:eastAsia="Times New Roman" w:cs="Arial"/>
                <w:b/>
                <w:color w:val="000000"/>
                <w:sz w:val="16"/>
                <w:szCs w:val="16"/>
                <w:lang w:eastAsia="cs-CZ"/>
              </w:rPr>
              <w:t>11 856 224,00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6F7951" w:rsidRPr="00AC3752" w:rsidRDefault="006F7951" w:rsidP="00BA6092">
            <w:pPr>
              <w:ind w:right="57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521 735 757,40</w:t>
            </w:r>
          </w:p>
        </w:tc>
      </w:tr>
    </w:tbl>
    <w:p w:rsidR="00A30904" w:rsidRDefault="006F7951" w:rsidP="00996514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ind w:left="1361" w:hanging="1361"/>
        <w:rPr>
          <w:rFonts w:cs="Arial"/>
          <w:sz w:val="18"/>
          <w:szCs w:val="18"/>
          <w:lang w:val="cs-CZ"/>
        </w:rPr>
      </w:pPr>
      <w:r w:rsidRPr="006229FE">
        <w:rPr>
          <w:rFonts w:cs="Arial"/>
          <w:b/>
          <w:sz w:val="18"/>
          <w:szCs w:val="18"/>
          <w:lang w:val="cs-CZ"/>
        </w:rPr>
        <w:t>Poznámk</w:t>
      </w:r>
      <w:r w:rsidR="00321045" w:rsidRPr="006229FE">
        <w:rPr>
          <w:rFonts w:cs="Arial"/>
          <w:b/>
          <w:sz w:val="18"/>
          <w:szCs w:val="18"/>
          <w:lang w:val="cs-CZ"/>
        </w:rPr>
        <w:t>y</w:t>
      </w:r>
      <w:r w:rsidRPr="006229FE">
        <w:rPr>
          <w:rFonts w:cs="Arial"/>
          <w:b/>
          <w:sz w:val="18"/>
          <w:szCs w:val="18"/>
          <w:lang w:val="cs-CZ"/>
        </w:rPr>
        <w:t>:</w:t>
      </w:r>
      <w:r w:rsidR="00A30904">
        <w:rPr>
          <w:rFonts w:cs="Arial"/>
          <w:i/>
          <w:sz w:val="18"/>
          <w:szCs w:val="18"/>
          <w:lang w:val="cs-CZ"/>
        </w:rPr>
        <w:t xml:space="preserve"> </w:t>
      </w:r>
      <w:r w:rsidR="00BA6092">
        <w:rPr>
          <w:rFonts w:cs="Arial"/>
          <w:i/>
          <w:sz w:val="18"/>
          <w:szCs w:val="18"/>
          <w:lang w:val="cs-CZ"/>
        </w:rPr>
        <w:tab/>
      </w:r>
      <w:r w:rsidR="00BA6092">
        <w:rPr>
          <w:rFonts w:cs="Arial"/>
          <w:sz w:val="18"/>
          <w:szCs w:val="18"/>
          <w:lang w:val="cs-CZ"/>
        </w:rPr>
        <w:t>1</w:t>
      </w:r>
      <w:r w:rsidR="00996514">
        <w:rPr>
          <w:rFonts w:cs="Arial"/>
          <w:sz w:val="18"/>
          <w:szCs w:val="18"/>
          <w:lang w:val="cs-CZ"/>
        </w:rPr>
        <w:t>.</w:t>
      </w:r>
      <w:r w:rsidR="00BA6092">
        <w:rPr>
          <w:rFonts w:cs="Arial"/>
          <w:sz w:val="18"/>
          <w:szCs w:val="18"/>
          <w:lang w:val="cs-CZ"/>
        </w:rPr>
        <w:tab/>
      </w:r>
      <w:r w:rsidR="00A30904">
        <w:rPr>
          <w:rFonts w:cs="Arial"/>
          <w:sz w:val="18"/>
          <w:szCs w:val="18"/>
          <w:lang w:val="cs-CZ"/>
        </w:rPr>
        <w:t>Pod pojmem „</w:t>
      </w:r>
      <w:r w:rsidR="005C45BC">
        <w:rPr>
          <w:rFonts w:cs="Arial"/>
          <w:sz w:val="18"/>
          <w:szCs w:val="18"/>
          <w:lang w:val="cs-CZ"/>
        </w:rPr>
        <w:t>p</w:t>
      </w:r>
      <w:r w:rsidR="00A30904">
        <w:rPr>
          <w:rFonts w:cs="Arial"/>
          <w:sz w:val="18"/>
          <w:szCs w:val="18"/>
          <w:lang w:val="cs-CZ"/>
        </w:rPr>
        <w:t>ronájem majetku MZ“ je uveden majetek, se kterým je MZ příslušné hospodařit a</w:t>
      </w:r>
      <w:r w:rsidR="005C45BC">
        <w:rPr>
          <w:rFonts w:cs="Arial"/>
          <w:sz w:val="18"/>
          <w:szCs w:val="18"/>
          <w:lang w:val="cs-CZ"/>
        </w:rPr>
        <w:t> </w:t>
      </w:r>
      <w:r w:rsidR="00A30904">
        <w:rPr>
          <w:rFonts w:cs="Arial"/>
          <w:sz w:val="18"/>
          <w:szCs w:val="18"/>
          <w:lang w:val="cs-CZ"/>
        </w:rPr>
        <w:t>který úplatně poskytuje třetím osobám k užívání.</w:t>
      </w:r>
    </w:p>
    <w:p w:rsidR="00A30904" w:rsidRPr="009B0304" w:rsidRDefault="00BA6092" w:rsidP="00996514">
      <w:pPr>
        <w:pStyle w:val="Odstavecseseznamem"/>
        <w:widowControl w:val="0"/>
        <w:autoSpaceDE w:val="0"/>
        <w:autoSpaceDN w:val="0"/>
        <w:adjustRightInd w:val="0"/>
        <w:ind w:left="1361" w:hanging="227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>2</w:t>
      </w:r>
      <w:r w:rsidR="00996514">
        <w:rPr>
          <w:rFonts w:cs="Arial"/>
          <w:sz w:val="18"/>
          <w:szCs w:val="18"/>
          <w:lang w:val="cs-CZ"/>
        </w:rPr>
        <w:t>.</w:t>
      </w:r>
      <w:r>
        <w:rPr>
          <w:rFonts w:cs="Arial"/>
          <w:i/>
          <w:sz w:val="18"/>
          <w:szCs w:val="18"/>
          <w:vertAlign w:val="superscript"/>
          <w:lang w:val="cs-CZ"/>
        </w:rPr>
        <w:tab/>
      </w:r>
      <w:r w:rsidR="00A30904" w:rsidRPr="00807D03">
        <w:rPr>
          <w:rFonts w:cs="Arial"/>
          <w:sz w:val="18"/>
          <w:szCs w:val="18"/>
          <w:lang w:val="cs-CZ"/>
        </w:rPr>
        <w:t>Pod pojmem</w:t>
      </w:r>
      <w:r w:rsidR="00A30904">
        <w:rPr>
          <w:rFonts w:cs="Arial"/>
          <w:sz w:val="18"/>
          <w:szCs w:val="18"/>
          <w:lang w:val="cs-CZ"/>
        </w:rPr>
        <w:t xml:space="preserve"> „</w:t>
      </w:r>
      <w:r w:rsidR="005C45BC">
        <w:rPr>
          <w:rFonts w:cs="Arial"/>
          <w:sz w:val="18"/>
          <w:szCs w:val="18"/>
          <w:lang w:val="cs-CZ"/>
        </w:rPr>
        <w:t>n</w:t>
      </w:r>
      <w:r w:rsidR="00A30904">
        <w:rPr>
          <w:rFonts w:cs="Arial"/>
          <w:sz w:val="18"/>
          <w:szCs w:val="18"/>
          <w:lang w:val="cs-CZ"/>
        </w:rPr>
        <w:t xml:space="preserve">ájem majetku MZ“ je uveden majetek, který </w:t>
      </w:r>
      <w:r w:rsidR="005C45BC">
        <w:rPr>
          <w:rFonts w:cs="Arial"/>
          <w:sz w:val="18"/>
          <w:szCs w:val="18"/>
          <w:lang w:val="cs-CZ"/>
        </w:rPr>
        <w:t xml:space="preserve">si </w:t>
      </w:r>
      <w:r w:rsidR="00A30904">
        <w:rPr>
          <w:rFonts w:cs="Arial"/>
          <w:sz w:val="18"/>
          <w:szCs w:val="18"/>
          <w:lang w:val="cs-CZ"/>
        </w:rPr>
        <w:t>MZ najímá od třetích osob.</w:t>
      </w:r>
      <w:r w:rsidR="00A30904" w:rsidRPr="00807D03">
        <w:rPr>
          <w:rFonts w:cs="Arial"/>
          <w:sz w:val="18"/>
          <w:szCs w:val="18"/>
          <w:lang w:val="cs-CZ"/>
        </w:rPr>
        <w:t xml:space="preserve"> </w:t>
      </w:r>
    </w:p>
    <w:p w:rsidR="00A30904" w:rsidRPr="00B020B9" w:rsidRDefault="00BA6092" w:rsidP="00996514">
      <w:pPr>
        <w:pStyle w:val="Odstavecseseznamem"/>
        <w:widowControl w:val="0"/>
        <w:autoSpaceDE w:val="0"/>
        <w:autoSpaceDN w:val="0"/>
        <w:adjustRightInd w:val="0"/>
        <w:ind w:left="1361" w:hanging="227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>3</w:t>
      </w:r>
      <w:r w:rsidR="00996514">
        <w:rPr>
          <w:rFonts w:cs="Arial"/>
          <w:sz w:val="18"/>
          <w:szCs w:val="18"/>
          <w:lang w:val="cs-CZ"/>
        </w:rPr>
        <w:t>.</w:t>
      </w:r>
      <w:r>
        <w:rPr>
          <w:rFonts w:cs="Arial"/>
          <w:sz w:val="18"/>
          <w:szCs w:val="18"/>
          <w:lang w:val="cs-CZ"/>
        </w:rPr>
        <w:tab/>
      </w:r>
      <w:r w:rsidR="00A30904" w:rsidRPr="00775463">
        <w:rPr>
          <w:rFonts w:cs="Arial"/>
          <w:sz w:val="18"/>
          <w:szCs w:val="18"/>
          <w:lang w:val="cs-CZ"/>
        </w:rPr>
        <w:t>Částka</w:t>
      </w:r>
      <w:r w:rsidR="00A30904" w:rsidRPr="00B020B9">
        <w:rPr>
          <w:rFonts w:cs="Arial"/>
          <w:sz w:val="18"/>
          <w:szCs w:val="18"/>
          <w:lang w:val="cs-CZ"/>
        </w:rPr>
        <w:t xml:space="preserve"> obsahuje i konečný zůstatek účtu 314 – </w:t>
      </w:r>
      <w:r w:rsidR="00A30904" w:rsidRPr="00B020B9">
        <w:rPr>
          <w:rFonts w:cs="Arial"/>
          <w:i/>
          <w:sz w:val="18"/>
          <w:szCs w:val="18"/>
          <w:lang w:val="cs-CZ"/>
        </w:rPr>
        <w:t>Krátkodobé poskytnuté zálohy</w:t>
      </w:r>
      <w:r w:rsidR="00A30904" w:rsidRPr="00B020B9">
        <w:rPr>
          <w:rFonts w:cs="Arial"/>
          <w:sz w:val="18"/>
          <w:szCs w:val="18"/>
          <w:lang w:val="cs-CZ"/>
        </w:rPr>
        <w:t xml:space="preserve"> k 31. 12. 2010 v částce 3 980 022,64 Kč. Účet 314 byl kontrolován i v období 2011 a 2012</w:t>
      </w:r>
      <w:r w:rsidR="005C45BC">
        <w:rPr>
          <w:rFonts w:cs="Arial"/>
          <w:sz w:val="18"/>
          <w:szCs w:val="18"/>
          <w:lang w:val="cs-CZ"/>
        </w:rPr>
        <w:t>;</w:t>
      </w:r>
      <w:r w:rsidR="00A30904" w:rsidRPr="00B020B9">
        <w:rPr>
          <w:rFonts w:cs="Arial"/>
          <w:sz w:val="18"/>
          <w:szCs w:val="18"/>
          <w:lang w:val="cs-CZ"/>
        </w:rPr>
        <w:t xml:space="preserve"> aby se zabránilo duplicitě, je uváděn v kontrolovaném objemu majetku jen jednou. </w:t>
      </w:r>
    </w:p>
    <w:p w:rsidR="00A30904" w:rsidRPr="00682048" w:rsidRDefault="00BA6092" w:rsidP="00996514">
      <w:pPr>
        <w:widowControl w:val="0"/>
        <w:autoSpaceDE w:val="0"/>
        <w:autoSpaceDN w:val="0"/>
        <w:adjustRightInd w:val="0"/>
        <w:ind w:left="1361" w:hanging="22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</w:t>
      </w:r>
      <w:r w:rsidR="00996514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ab/>
      </w:r>
      <w:r w:rsidR="00A30904" w:rsidRPr="00775463">
        <w:rPr>
          <w:rFonts w:cs="Arial"/>
          <w:sz w:val="18"/>
          <w:szCs w:val="18"/>
        </w:rPr>
        <w:t>Kontrolou</w:t>
      </w:r>
      <w:r w:rsidR="00A30904" w:rsidRPr="00682048">
        <w:rPr>
          <w:rFonts w:cs="Arial"/>
          <w:sz w:val="18"/>
          <w:szCs w:val="18"/>
        </w:rPr>
        <w:t xml:space="preserve"> byla prověřena inventarizace majetku dle vybraných účtů. V roce 2010 je uvedena celková hodnota majetku na vybraných účtech. V letech 2011 a 2012 tabulka uvádí již pouze změnu hodnoty majetku na daných účtech oproti předch</w:t>
      </w:r>
      <w:r w:rsidR="005C45BC">
        <w:rPr>
          <w:rFonts w:cs="Arial"/>
          <w:sz w:val="18"/>
          <w:szCs w:val="18"/>
        </w:rPr>
        <w:t>ozímu</w:t>
      </w:r>
      <w:r w:rsidR="00A30904" w:rsidRPr="00682048">
        <w:rPr>
          <w:rFonts w:cs="Arial"/>
          <w:sz w:val="18"/>
          <w:szCs w:val="18"/>
        </w:rPr>
        <w:t xml:space="preserve"> roku.</w:t>
      </w:r>
    </w:p>
    <w:p w:rsidR="00B020B9" w:rsidRDefault="00B020B9" w:rsidP="006229FE">
      <w:pPr>
        <w:spacing w:line="276" w:lineRule="auto"/>
        <w:ind w:left="426"/>
        <w:rPr>
          <w:rFonts w:cs="Arial"/>
          <w:b/>
        </w:rPr>
      </w:pPr>
    </w:p>
    <w:p w:rsidR="00B020B9" w:rsidRDefault="00B020B9" w:rsidP="006229FE">
      <w:pPr>
        <w:spacing w:line="276" w:lineRule="auto"/>
        <w:ind w:left="426"/>
        <w:rPr>
          <w:rFonts w:cs="Arial"/>
          <w:b/>
        </w:rPr>
      </w:pPr>
    </w:p>
    <w:p w:rsidR="005C45BC" w:rsidRDefault="005C45BC">
      <w:pPr>
        <w:spacing w:before="12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B33E13" w:rsidRPr="00AC3752" w:rsidRDefault="00055065" w:rsidP="006229FE">
      <w:pPr>
        <w:numPr>
          <w:ilvl w:val="0"/>
          <w:numId w:val="1"/>
        </w:numPr>
        <w:ind w:left="284" w:hanging="284"/>
        <w:rPr>
          <w:rFonts w:cs="Arial"/>
          <w:b/>
        </w:rPr>
      </w:pPr>
      <w:r w:rsidRPr="00AC3752">
        <w:rPr>
          <w:rFonts w:cs="Arial"/>
          <w:b/>
        </w:rPr>
        <w:lastRenderedPageBreak/>
        <w:t>Nakládání s majetkem MZ</w:t>
      </w:r>
    </w:p>
    <w:p w:rsidR="00775463" w:rsidRDefault="00775463" w:rsidP="006229FE">
      <w:pPr>
        <w:rPr>
          <w:rFonts w:cs="Arial"/>
        </w:rPr>
      </w:pPr>
    </w:p>
    <w:p w:rsidR="00055065" w:rsidRDefault="00055065" w:rsidP="006229FE">
      <w:pPr>
        <w:rPr>
          <w:rFonts w:cs="Arial"/>
        </w:rPr>
      </w:pPr>
      <w:r w:rsidRPr="00AC3752">
        <w:rPr>
          <w:rFonts w:cs="Arial"/>
        </w:rPr>
        <w:t>Kontrol</w:t>
      </w:r>
      <w:r w:rsidR="00AE38D0">
        <w:rPr>
          <w:rFonts w:cs="Arial"/>
        </w:rPr>
        <w:t>ní akce</w:t>
      </w:r>
      <w:r w:rsidRPr="00AC3752">
        <w:rPr>
          <w:rFonts w:cs="Arial"/>
        </w:rPr>
        <w:t xml:space="preserve"> NKÚ </w:t>
      </w:r>
      <w:r w:rsidR="00D843D4">
        <w:rPr>
          <w:rFonts w:cs="Arial"/>
        </w:rPr>
        <w:t>prověřila</w:t>
      </w:r>
      <w:r w:rsidRPr="00AC3752">
        <w:rPr>
          <w:rFonts w:cs="Arial"/>
        </w:rPr>
        <w:t xml:space="preserve"> nakládání s majetkem MZ v celkové hodnotě </w:t>
      </w:r>
      <w:r w:rsidR="005D2BFD" w:rsidRPr="00AC3752">
        <w:rPr>
          <w:rFonts w:cs="Arial"/>
        </w:rPr>
        <w:t xml:space="preserve">112 918 460 </w:t>
      </w:r>
      <w:r w:rsidRPr="00AC3752">
        <w:rPr>
          <w:rFonts w:cs="Arial"/>
        </w:rPr>
        <w:t>Kč</w:t>
      </w:r>
      <w:r w:rsidR="007C70D5">
        <w:rPr>
          <w:rFonts w:cs="Arial"/>
        </w:rPr>
        <w:t>.</w:t>
      </w:r>
      <w:r w:rsidRPr="00AC3752">
        <w:rPr>
          <w:rFonts w:cs="Arial"/>
        </w:rPr>
        <w:t xml:space="preserve"> </w:t>
      </w:r>
      <w:r w:rsidR="00885ECB">
        <w:rPr>
          <w:rFonts w:cs="Arial"/>
        </w:rPr>
        <w:t>Kont</w:t>
      </w:r>
      <w:r w:rsidR="00E15592">
        <w:rPr>
          <w:rFonts w:cs="Arial"/>
        </w:rPr>
        <w:t>rolou byl</w:t>
      </w:r>
      <w:r w:rsidR="00AE38D0">
        <w:rPr>
          <w:rFonts w:cs="Arial"/>
        </w:rPr>
        <w:t>a</w:t>
      </w:r>
      <w:r w:rsidR="00E15592">
        <w:rPr>
          <w:rFonts w:cs="Arial"/>
        </w:rPr>
        <w:t xml:space="preserve"> zjištěn</w:t>
      </w:r>
      <w:r w:rsidR="00AE38D0">
        <w:rPr>
          <w:rFonts w:cs="Arial"/>
        </w:rPr>
        <w:t>a</w:t>
      </w:r>
      <w:r w:rsidR="00E15592">
        <w:rPr>
          <w:rFonts w:cs="Arial"/>
        </w:rPr>
        <w:t xml:space="preserve"> dále popsaná</w:t>
      </w:r>
      <w:r w:rsidR="00885ECB">
        <w:rPr>
          <w:rFonts w:cs="Arial"/>
        </w:rPr>
        <w:t xml:space="preserve"> </w:t>
      </w:r>
      <w:r w:rsidR="00E15592">
        <w:rPr>
          <w:rFonts w:cs="Arial"/>
        </w:rPr>
        <w:t>porušení právních předpisů</w:t>
      </w:r>
      <w:r w:rsidR="00885ECB">
        <w:rPr>
          <w:rFonts w:cs="Arial"/>
        </w:rPr>
        <w:t>:</w:t>
      </w:r>
    </w:p>
    <w:p w:rsidR="00AE38D0" w:rsidRDefault="00AE38D0" w:rsidP="006229FE">
      <w:pPr>
        <w:rPr>
          <w:rFonts w:cs="Arial"/>
        </w:rPr>
      </w:pPr>
    </w:p>
    <w:p w:rsidR="0027640D" w:rsidRPr="006E7F96" w:rsidRDefault="0027640D" w:rsidP="00896DAB">
      <w:pPr>
        <w:pStyle w:val="Odstavecseseznamem"/>
        <w:numPr>
          <w:ilvl w:val="0"/>
          <w:numId w:val="6"/>
        </w:numPr>
        <w:rPr>
          <w:rFonts w:cs="Arial"/>
          <w:lang w:val="cs-CZ"/>
        </w:rPr>
      </w:pPr>
      <w:r w:rsidRPr="006229FE">
        <w:rPr>
          <w:rFonts w:cs="Arial"/>
          <w:b/>
          <w:lang w:val="cs-CZ"/>
        </w:rPr>
        <w:t>Účtování o pořízení majetku MZ</w:t>
      </w:r>
    </w:p>
    <w:p w:rsidR="0027640D" w:rsidRPr="00AC3752" w:rsidRDefault="0027640D">
      <w:pPr>
        <w:rPr>
          <w:rFonts w:cs="Arial"/>
          <w:b/>
        </w:rPr>
      </w:pPr>
    </w:p>
    <w:p w:rsidR="0027640D" w:rsidRDefault="0027640D" w:rsidP="006229FE">
      <w:pPr>
        <w:rPr>
          <w:rFonts w:cs="Arial"/>
        </w:rPr>
      </w:pPr>
      <w:r w:rsidRPr="00AC3752">
        <w:rPr>
          <w:rFonts w:cs="Arial"/>
        </w:rPr>
        <w:t xml:space="preserve">Kontrolou účtování MZ o nakládání s majetkem bylo zjištěno, že MZ </w:t>
      </w:r>
      <w:r>
        <w:rPr>
          <w:rFonts w:cs="Arial"/>
        </w:rPr>
        <w:t>nepostupovalo v souladu s </w:t>
      </w:r>
      <w:r w:rsidRPr="00AC3752">
        <w:rPr>
          <w:rFonts w:cs="Arial"/>
        </w:rPr>
        <w:t>ustanovení</w:t>
      </w:r>
      <w:r>
        <w:rPr>
          <w:rFonts w:cs="Arial"/>
        </w:rPr>
        <w:t>m</w:t>
      </w:r>
      <w:r w:rsidRPr="00AC3752">
        <w:rPr>
          <w:rFonts w:cs="Arial"/>
        </w:rPr>
        <w:t xml:space="preserve"> § 3 odst. 1 zákona č. 563/1991 Sb.</w:t>
      </w:r>
      <w:r>
        <w:rPr>
          <w:rFonts w:cs="Arial"/>
        </w:rPr>
        <w:t xml:space="preserve">, neboť </w:t>
      </w:r>
      <w:r w:rsidRPr="00AC3752">
        <w:rPr>
          <w:rFonts w:cs="Arial"/>
        </w:rPr>
        <w:t xml:space="preserve">účtovalo o pořízení majetku do účetního období, se kterým </w:t>
      </w:r>
      <w:r w:rsidR="00AE38D0">
        <w:rPr>
          <w:rFonts w:cs="Arial"/>
        </w:rPr>
        <w:t xml:space="preserve">toto pořízení </w:t>
      </w:r>
      <w:r w:rsidRPr="00AC3752">
        <w:rPr>
          <w:rFonts w:cs="Arial"/>
        </w:rPr>
        <w:t>věcně a</w:t>
      </w:r>
      <w:r w:rsidR="00AE38D0">
        <w:rPr>
          <w:rFonts w:cs="Arial"/>
        </w:rPr>
        <w:t>ni</w:t>
      </w:r>
      <w:r w:rsidRPr="00AC3752">
        <w:rPr>
          <w:rFonts w:cs="Arial"/>
        </w:rPr>
        <w:t xml:space="preserve"> časově nesouviselo. V roce 2011 MZ nesprávně zaúčtovalo pořízení majetku realizované v roc</w:t>
      </w:r>
      <w:r>
        <w:rPr>
          <w:rFonts w:cs="Arial"/>
        </w:rPr>
        <w:t>e 2010 v hodnotě 1 359 271 Kč a </w:t>
      </w:r>
      <w:r w:rsidRPr="00AC3752">
        <w:rPr>
          <w:rFonts w:cs="Arial"/>
        </w:rPr>
        <w:t>v roce 2010 pořízení majetku realizované v roce 2009 v hodnotě 602 259 Kč.</w:t>
      </w:r>
      <w:r>
        <w:rPr>
          <w:rFonts w:cs="Arial"/>
        </w:rPr>
        <w:t xml:space="preserve"> </w:t>
      </w:r>
    </w:p>
    <w:p w:rsidR="00BA6092" w:rsidRPr="00AC3752" w:rsidRDefault="00BA6092" w:rsidP="006229FE">
      <w:pPr>
        <w:rPr>
          <w:rFonts w:cs="Arial"/>
        </w:rPr>
      </w:pPr>
    </w:p>
    <w:p w:rsidR="0027640D" w:rsidRDefault="0027640D" w:rsidP="006229FE">
      <w:pPr>
        <w:rPr>
          <w:rFonts w:cs="Arial"/>
        </w:rPr>
      </w:pPr>
      <w:r w:rsidRPr="00AC3752">
        <w:rPr>
          <w:rFonts w:cs="Arial"/>
        </w:rPr>
        <w:t>Kontrolou bylo rovněž zjištěno, že MZ nepostupovalo v souladu s ustanovením § 4 odst. 8 zákona č. 563/1991 Sb.</w:t>
      </w:r>
      <w:r w:rsidR="00AE38D0">
        <w:rPr>
          <w:rFonts w:cs="Arial"/>
        </w:rPr>
        <w:t>, neboť</w:t>
      </w:r>
      <w:r>
        <w:rPr>
          <w:rFonts w:cs="Arial"/>
        </w:rPr>
        <w:t xml:space="preserve"> </w:t>
      </w:r>
      <w:r w:rsidRPr="00AC3752">
        <w:rPr>
          <w:rFonts w:cs="Arial"/>
        </w:rPr>
        <w:t>nedodrželo obsahové vymezení položek účetní závěrky</w:t>
      </w:r>
      <w:r>
        <w:rPr>
          <w:rFonts w:cs="Arial"/>
        </w:rPr>
        <w:t>.</w:t>
      </w:r>
      <w:r w:rsidRPr="00AC3752">
        <w:rPr>
          <w:rFonts w:cs="Arial"/>
        </w:rPr>
        <w:t xml:space="preserve"> </w:t>
      </w:r>
      <w:r>
        <w:rPr>
          <w:rFonts w:cs="Arial"/>
        </w:rPr>
        <w:t>V jednom případě</w:t>
      </w:r>
      <w:r w:rsidRPr="00AC3752">
        <w:rPr>
          <w:rFonts w:cs="Arial"/>
        </w:rPr>
        <w:t xml:space="preserve"> v </w:t>
      </w:r>
      <w:r>
        <w:rPr>
          <w:rFonts w:cs="Arial"/>
        </w:rPr>
        <w:t>roce</w:t>
      </w:r>
      <w:r w:rsidRPr="00AC3752">
        <w:rPr>
          <w:rFonts w:cs="Arial"/>
        </w:rPr>
        <w:t xml:space="preserve"> 2010 nesprávně účtovalo o pořízení </w:t>
      </w:r>
      <w:r>
        <w:rPr>
          <w:rFonts w:cs="Arial"/>
        </w:rPr>
        <w:t>majetku</w:t>
      </w:r>
      <w:r w:rsidRPr="00AC3752">
        <w:rPr>
          <w:rFonts w:cs="Arial"/>
        </w:rPr>
        <w:t xml:space="preserve"> v</w:t>
      </w:r>
      <w:r>
        <w:rPr>
          <w:rFonts w:cs="Arial"/>
        </w:rPr>
        <w:t xml:space="preserve"> celkové </w:t>
      </w:r>
      <w:r w:rsidRPr="00AC3752">
        <w:rPr>
          <w:rFonts w:cs="Arial"/>
        </w:rPr>
        <w:t>hodnotě 4 776 848 Kč</w:t>
      </w:r>
      <w:r>
        <w:rPr>
          <w:rFonts w:cs="Arial"/>
        </w:rPr>
        <w:t>. Ve druhém případě</w:t>
      </w:r>
      <w:r w:rsidRPr="00AC3752">
        <w:rPr>
          <w:rFonts w:cs="Arial"/>
        </w:rPr>
        <w:t xml:space="preserve"> v </w:t>
      </w:r>
      <w:r>
        <w:rPr>
          <w:rFonts w:cs="Arial"/>
        </w:rPr>
        <w:t>roce</w:t>
      </w:r>
      <w:r w:rsidRPr="00AC3752">
        <w:rPr>
          <w:rFonts w:cs="Arial"/>
        </w:rPr>
        <w:t xml:space="preserve"> 2010</w:t>
      </w:r>
      <w:r w:rsidRPr="00F34569">
        <w:rPr>
          <w:rFonts w:cs="Arial"/>
        </w:rPr>
        <w:t xml:space="preserve"> </w:t>
      </w:r>
      <w:r>
        <w:rPr>
          <w:rFonts w:cs="Arial"/>
        </w:rPr>
        <w:t>nesprávně účtovalo o </w:t>
      </w:r>
      <w:r w:rsidRPr="00AC3752">
        <w:rPr>
          <w:rFonts w:cs="Arial"/>
        </w:rPr>
        <w:t xml:space="preserve">pořízení </w:t>
      </w:r>
      <w:r>
        <w:rPr>
          <w:rFonts w:cs="Arial"/>
        </w:rPr>
        <w:t>služby</w:t>
      </w:r>
      <w:r w:rsidRPr="00AC3752">
        <w:rPr>
          <w:rFonts w:cs="Arial"/>
        </w:rPr>
        <w:t xml:space="preserve"> v hodnotě 22 920 000 Kč</w:t>
      </w:r>
      <w:r>
        <w:rPr>
          <w:rFonts w:cs="Arial"/>
        </w:rPr>
        <w:t xml:space="preserve"> na majetkový účet </w:t>
      </w:r>
      <w:r w:rsidRPr="006229FE">
        <w:rPr>
          <w:rFonts w:cs="Arial"/>
        </w:rPr>
        <w:t xml:space="preserve">012 </w:t>
      </w:r>
      <w:r w:rsidRPr="001250D2">
        <w:rPr>
          <w:rFonts w:cs="Arial"/>
          <w:i/>
        </w:rPr>
        <w:t>– Nehmotné výsledky výzkumu a vývoje</w:t>
      </w:r>
      <w:r>
        <w:rPr>
          <w:rFonts w:cs="Arial"/>
        </w:rPr>
        <w:t xml:space="preserve">. Pořízení služby zůstalo nesprávně zaúčtované i v letech </w:t>
      </w:r>
      <w:r w:rsidRPr="00AC3752">
        <w:rPr>
          <w:rFonts w:cs="Arial"/>
        </w:rPr>
        <w:t>2011, 2012 a 2013</w:t>
      </w:r>
      <w:r>
        <w:rPr>
          <w:rFonts w:cs="Arial"/>
        </w:rPr>
        <w:t xml:space="preserve">. Následkem nesprávného účtování o pořízení služby </w:t>
      </w:r>
      <w:r w:rsidR="00AE38D0">
        <w:rPr>
          <w:rFonts w:cs="Arial"/>
        </w:rPr>
        <w:t xml:space="preserve">Ministerstvo zdravotnictví </w:t>
      </w:r>
      <w:r>
        <w:rPr>
          <w:rFonts w:cs="Arial"/>
        </w:rPr>
        <w:t>tuto službu v letech 2011 až 2013 odpisovalo.</w:t>
      </w:r>
    </w:p>
    <w:p w:rsidR="00BA6092" w:rsidRPr="00AC3752" w:rsidRDefault="00BA6092" w:rsidP="006229FE">
      <w:pPr>
        <w:rPr>
          <w:rFonts w:cs="Arial"/>
        </w:rPr>
      </w:pPr>
    </w:p>
    <w:p w:rsidR="0027640D" w:rsidRDefault="0027640D" w:rsidP="006229FE">
      <w:pPr>
        <w:rPr>
          <w:rFonts w:cs="Arial"/>
        </w:rPr>
      </w:pPr>
      <w:r w:rsidRPr="00AC3752">
        <w:rPr>
          <w:rFonts w:cs="Arial"/>
        </w:rPr>
        <w:t xml:space="preserve">Výše uvedeným nesprávným účtováním </w:t>
      </w:r>
      <w:r w:rsidR="00AE38D0">
        <w:rPr>
          <w:rFonts w:cs="Arial"/>
        </w:rPr>
        <w:t>Ministerstvo</w:t>
      </w:r>
      <w:r w:rsidRPr="00AC3752">
        <w:rPr>
          <w:rFonts w:cs="Arial"/>
        </w:rPr>
        <w:t xml:space="preserve"> </w:t>
      </w:r>
      <w:r w:rsidR="00AE38D0">
        <w:rPr>
          <w:rFonts w:cs="Arial"/>
        </w:rPr>
        <w:t xml:space="preserve">zdravotnictví </w:t>
      </w:r>
      <w:r w:rsidRPr="00AC3752">
        <w:rPr>
          <w:rFonts w:cs="Arial"/>
        </w:rPr>
        <w:t>zároveň nadhodnotilo i</w:t>
      </w:r>
      <w:r w:rsidR="00AE38D0">
        <w:rPr>
          <w:rFonts w:cs="Arial"/>
        </w:rPr>
        <w:t> </w:t>
      </w:r>
      <w:r w:rsidRPr="00AC3752">
        <w:rPr>
          <w:rFonts w:cs="Arial"/>
        </w:rPr>
        <w:t>podhodnotilo účty uvedené v</w:t>
      </w:r>
      <w:r>
        <w:rPr>
          <w:rFonts w:cs="Arial"/>
        </w:rPr>
        <w:t> příloze č. 1</w:t>
      </w:r>
      <w:r w:rsidR="00C04C60">
        <w:rPr>
          <w:rFonts w:cs="Arial"/>
        </w:rPr>
        <w:t xml:space="preserve"> tohoto kontrolního závěru</w:t>
      </w:r>
      <w:r>
        <w:rPr>
          <w:rFonts w:cs="Arial"/>
        </w:rPr>
        <w:t xml:space="preserve">. </w:t>
      </w:r>
    </w:p>
    <w:p w:rsidR="00AE38D0" w:rsidRPr="00AC3752" w:rsidRDefault="00AE38D0" w:rsidP="006229FE">
      <w:pPr>
        <w:rPr>
          <w:rFonts w:cs="Arial"/>
        </w:rPr>
      </w:pPr>
    </w:p>
    <w:p w:rsidR="00980692" w:rsidRPr="006E7F96" w:rsidRDefault="00E2765F" w:rsidP="006229FE">
      <w:pPr>
        <w:pStyle w:val="Odstavecseseznamem"/>
        <w:numPr>
          <w:ilvl w:val="0"/>
          <w:numId w:val="6"/>
        </w:numPr>
        <w:spacing w:line="276" w:lineRule="auto"/>
        <w:rPr>
          <w:rFonts w:cs="Arial"/>
          <w:lang w:val="cs-CZ"/>
        </w:rPr>
      </w:pPr>
      <w:r w:rsidRPr="006229FE">
        <w:rPr>
          <w:rFonts w:cs="Arial"/>
          <w:b/>
          <w:lang w:val="cs-CZ"/>
        </w:rPr>
        <w:t>Veřejné zakázky související s nakládáním s majetkem MZ</w:t>
      </w:r>
    </w:p>
    <w:p w:rsidR="00BA6092" w:rsidRDefault="00BA6092" w:rsidP="00D843D4">
      <w:pPr>
        <w:rPr>
          <w:rFonts w:cs="Arial"/>
        </w:rPr>
      </w:pPr>
    </w:p>
    <w:p w:rsidR="00D843D4" w:rsidRPr="00AC3752" w:rsidRDefault="00E2765F" w:rsidP="00D843D4">
      <w:pPr>
        <w:rPr>
          <w:rFonts w:cs="Arial"/>
        </w:rPr>
      </w:pPr>
      <w:r w:rsidRPr="00AC3752">
        <w:rPr>
          <w:rFonts w:cs="Arial"/>
        </w:rPr>
        <w:t>Kontrolou NKÚ bylo zjištěno, že MZ ve dvou případech při poř</w:t>
      </w:r>
      <w:r w:rsidR="00621B9F">
        <w:rPr>
          <w:rFonts w:cs="Arial"/>
        </w:rPr>
        <w:t>izování</w:t>
      </w:r>
      <w:r w:rsidRPr="00AC3752">
        <w:rPr>
          <w:rFonts w:cs="Arial"/>
        </w:rPr>
        <w:t xml:space="preserve"> majetku nedodrželo lhůtu </w:t>
      </w:r>
      <w:r w:rsidR="003033F6" w:rsidRPr="00AC3752">
        <w:rPr>
          <w:rFonts w:cs="Arial"/>
        </w:rPr>
        <w:t xml:space="preserve">48 dní </w:t>
      </w:r>
      <w:r w:rsidRPr="00AC3752">
        <w:rPr>
          <w:rFonts w:cs="Arial"/>
        </w:rPr>
        <w:t>stanovenou zákonem č. 137/2006 Sb.</w:t>
      </w:r>
      <w:r w:rsidRPr="00AC3752">
        <w:rPr>
          <w:rStyle w:val="Znakapoznpodarou"/>
          <w:rFonts w:cs="Arial"/>
        </w:rPr>
        <w:footnoteReference w:id="4"/>
      </w:r>
      <w:r w:rsidRPr="00AC3752">
        <w:rPr>
          <w:rFonts w:cs="Arial"/>
        </w:rPr>
        <w:t xml:space="preserve"> pro odeslání </w:t>
      </w:r>
      <w:r w:rsidRPr="006229FE">
        <w:rPr>
          <w:rFonts w:cs="Arial"/>
          <w:i/>
        </w:rPr>
        <w:t>oznámení o</w:t>
      </w:r>
      <w:r w:rsidR="00621B9F" w:rsidRPr="006229FE">
        <w:rPr>
          <w:rFonts w:cs="Arial"/>
          <w:i/>
        </w:rPr>
        <w:t> </w:t>
      </w:r>
      <w:r w:rsidRPr="006229FE">
        <w:rPr>
          <w:rFonts w:cs="Arial"/>
          <w:i/>
        </w:rPr>
        <w:t>výsledku zadávacího řízení</w:t>
      </w:r>
      <w:r w:rsidRPr="00AC3752">
        <w:rPr>
          <w:rFonts w:cs="Arial"/>
        </w:rPr>
        <w:t xml:space="preserve"> k uveřejnění.</w:t>
      </w:r>
      <w:r w:rsidR="00D843D4" w:rsidRPr="00D843D4">
        <w:rPr>
          <w:rFonts w:cs="Arial"/>
        </w:rPr>
        <w:t xml:space="preserve"> </w:t>
      </w:r>
      <w:r w:rsidR="00D843D4" w:rsidRPr="00AC3752">
        <w:rPr>
          <w:rFonts w:cs="Arial"/>
        </w:rPr>
        <w:t>V </w:t>
      </w:r>
      <w:r w:rsidR="00D843D4">
        <w:rPr>
          <w:rFonts w:cs="Arial"/>
        </w:rPr>
        <w:t>jednom</w:t>
      </w:r>
      <w:r w:rsidR="00D843D4" w:rsidRPr="00AC3752">
        <w:rPr>
          <w:rFonts w:cs="Arial"/>
        </w:rPr>
        <w:t xml:space="preserve"> případě MZ překročilo tuto lhůtu o 76 dní</w:t>
      </w:r>
      <w:r w:rsidR="00D843D4">
        <w:rPr>
          <w:rFonts w:cs="Arial"/>
        </w:rPr>
        <w:t xml:space="preserve"> a</w:t>
      </w:r>
      <w:r w:rsidR="00D843D4" w:rsidRPr="00AC3752">
        <w:rPr>
          <w:rFonts w:cs="Arial"/>
        </w:rPr>
        <w:t xml:space="preserve"> </w:t>
      </w:r>
      <w:r w:rsidR="00D843D4">
        <w:rPr>
          <w:rFonts w:cs="Arial"/>
        </w:rPr>
        <w:t>v</w:t>
      </w:r>
      <w:r w:rsidR="00D843D4" w:rsidRPr="00AC3752">
        <w:rPr>
          <w:rFonts w:cs="Arial"/>
        </w:rPr>
        <w:t>e druhém případě o 3 dny.</w:t>
      </w:r>
    </w:p>
    <w:p w:rsidR="00B56D21" w:rsidRPr="00AC3752" w:rsidRDefault="00B56D21" w:rsidP="00B56D21">
      <w:pPr>
        <w:rPr>
          <w:rFonts w:cs="Arial"/>
        </w:rPr>
      </w:pPr>
    </w:p>
    <w:p w:rsidR="00B33E13" w:rsidRPr="00AC3752" w:rsidRDefault="00625A7B" w:rsidP="006229FE">
      <w:pPr>
        <w:pStyle w:val="Odstavecseseznamem"/>
        <w:numPr>
          <w:ilvl w:val="0"/>
          <w:numId w:val="1"/>
        </w:numPr>
        <w:spacing w:line="276" w:lineRule="auto"/>
        <w:ind w:left="284" w:hanging="284"/>
        <w:rPr>
          <w:rFonts w:cs="Arial"/>
          <w:b/>
          <w:lang w:val="cs-CZ"/>
        </w:rPr>
      </w:pPr>
      <w:bookmarkStart w:id="0" w:name="_Toc270414059"/>
      <w:r w:rsidRPr="00AC3752">
        <w:rPr>
          <w:rFonts w:cs="Arial"/>
          <w:b/>
          <w:lang w:val="cs-CZ"/>
        </w:rPr>
        <w:t>Peněžní prostředky státního rozpočtu na zajištění činnosti MZ</w:t>
      </w:r>
    </w:p>
    <w:p w:rsidR="00775463" w:rsidRDefault="00775463" w:rsidP="006229FE">
      <w:pPr>
        <w:rPr>
          <w:rFonts w:cs="Arial"/>
        </w:rPr>
      </w:pPr>
    </w:p>
    <w:p w:rsidR="00840BFE" w:rsidRDefault="00083C74" w:rsidP="006229FE">
      <w:pPr>
        <w:rPr>
          <w:rFonts w:cs="Arial"/>
        </w:rPr>
      </w:pPr>
      <w:r>
        <w:rPr>
          <w:rFonts w:cs="Arial"/>
        </w:rPr>
        <w:t>Celková</w:t>
      </w:r>
      <w:r w:rsidR="00840BFE">
        <w:rPr>
          <w:rFonts w:cs="Arial"/>
        </w:rPr>
        <w:t xml:space="preserve"> výše nákladů ke kontrole NKÚ vybraných nákladových účtů na zajištění činnosti MZ v letech 2011, 2012 a 2013 </w:t>
      </w:r>
      <w:r w:rsidR="007F4571">
        <w:rPr>
          <w:rFonts w:cs="Arial"/>
        </w:rPr>
        <w:t>je uvedena v tabulce č. 2</w:t>
      </w:r>
      <w:r w:rsidR="00621B9F">
        <w:rPr>
          <w:rFonts w:cs="Arial"/>
        </w:rPr>
        <w:t>,</w:t>
      </w:r>
      <w:r w:rsidR="007F4571">
        <w:rPr>
          <w:rFonts w:cs="Arial"/>
        </w:rPr>
        <w:t xml:space="preserve"> a to včetně výše vybraných nákladů připadající</w:t>
      </w:r>
      <w:r w:rsidR="001F4594">
        <w:rPr>
          <w:rFonts w:cs="Arial"/>
        </w:rPr>
        <w:t>ch</w:t>
      </w:r>
      <w:r w:rsidR="007F4571">
        <w:rPr>
          <w:rFonts w:cs="Arial"/>
        </w:rPr>
        <w:t xml:space="preserve"> na jednoho zaměstna</w:t>
      </w:r>
      <w:r w:rsidR="00B81F33">
        <w:rPr>
          <w:rFonts w:cs="Arial"/>
        </w:rPr>
        <w:t>n</w:t>
      </w:r>
      <w:r w:rsidR="007F4571">
        <w:rPr>
          <w:rFonts w:cs="Arial"/>
        </w:rPr>
        <w:t xml:space="preserve">ce MZ. Přepočtený průměrný stav zaměstnanců MZ byl 377 v roce 2011, 369 v roce 2012 a </w:t>
      </w:r>
      <w:r w:rsidR="008D6EFA">
        <w:rPr>
          <w:rFonts w:cs="Arial"/>
        </w:rPr>
        <w:t>365</w:t>
      </w:r>
      <w:r w:rsidR="007F4571">
        <w:rPr>
          <w:rFonts w:cs="Arial"/>
        </w:rPr>
        <w:t xml:space="preserve"> v roce 2013.</w:t>
      </w:r>
      <w:r w:rsidR="00840BFE">
        <w:rPr>
          <w:rFonts w:cs="Arial"/>
        </w:rPr>
        <w:t xml:space="preserve"> </w:t>
      </w:r>
    </w:p>
    <w:p w:rsidR="007A2D51" w:rsidRDefault="007A2D51" w:rsidP="006229FE">
      <w:pPr>
        <w:rPr>
          <w:rFonts w:cs="Arial"/>
        </w:rPr>
      </w:pPr>
    </w:p>
    <w:p w:rsidR="00AE38D0" w:rsidRDefault="00AE38D0">
      <w:pPr>
        <w:spacing w:before="12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1F4594" w:rsidRPr="006229FE" w:rsidRDefault="001F4594" w:rsidP="006229FE">
      <w:pPr>
        <w:tabs>
          <w:tab w:val="right" w:pos="9072"/>
        </w:tabs>
        <w:spacing w:after="40"/>
        <w:rPr>
          <w:rFonts w:cs="Arial"/>
          <w:b/>
        </w:rPr>
      </w:pPr>
      <w:r w:rsidRPr="006229FE">
        <w:rPr>
          <w:rFonts w:cs="Arial"/>
          <w:b/>
        </w:rPr>
        <w:lastRenderedPageBreak/>
        <w:t>Tabulka č. 2 – Celková výše nákladů a náklad</w:t>
      </w:r>
      <w:r w:rsidR="007A2D51" w:rsidRPr="006229FE">
        <w:rPr>
          <w:rFonts w:cs="Arial"/>
          <w:b/>
        </w:rPr>
        <w:t>y</w:t>
      </w:r>
      <w:r w:rsidRPr="006229FE">
        <w:rPr>
          <w:rFonts w:cs="Arial"/>
          <w:b/>
        </w:rPr>
        <w:t xml:space="preserve"> na 1 zaměstnance </w:t>
      </w:r>
      <w:r w:rsidR="00775463">
        <w:rPr>
          <w:rFonts w:cs="Arial"/>
          <w:b/>
        </w:rPr>
        <w:tab/>
        <w:t>(</w:t>
      </w:r>
      <w:r w:rsidRPr="006229FE">
        <w:rPr>
          <w:rFonts w:cs="Arial"/>
          <w:b/>
        </w:rPr>
        <w:t>v tis. Kč</w:t>
      </w:r>
      <w:r w:rsidR="00775463">
        <w:rPr>
          <w:rFonts w:cs="Arial"/>
          <w:b/>
        </w:rPr>
        <w:t>)</w:t>
      </w:r>
    </w:p>
    <w:tbl>
      <w:tblPr>
        <w:tblW w:w="90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1294"/>
        <w:gridCol w:w="1295"/>
        <w:gridCol w:w="1291"/>
        <w:gridCol w:w="1295"/>
        <w:gridCol w:w="1291"/>
        <w:gridCol w:w="1287"/>
        <w:gridCol w:w="8"/>
      </w:tblGrid>
      <w:tr w:rsidR="00775463" w:rsidRPr="000F55FA" w:rsidTr="006229FE">
        <w:trPr>
          <w:trHeight w:val="340"/>
        </w:trPr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F55FA" w:rsidRPr="000F55FA" w:rsidRDefault="000F55FA" w:rsidP="000F55FA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Předmět kontroly</w:t>
            </w:r>
          </w:p>
        </w:tc>
        <w:tc>
          <w:tcPr>
            <w:tcW w:w="2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5FA" w:rsidRPr="000F55FA" w:rsidRDefault="000F55FA" w:rsidP="006229FE">
            <w:pPr>
              <w:ind w:right="91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2011</w:t>
            </w:r>
          </w:p>
        </w:tc>
        <w:tc>
          <w:tcPr>
            <w:tcW w:w="25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0F55FA" w:rsidRPr="000F55FA" w:rsidRDefault="000F55FA" w:rsidP="006229FE">
            <w:pPr>
              <w:ind w:right="91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25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0F55FA" w:rsidRPr="000F55FA" w:rsidRDefault="000F55FA" w:rsidP="006229FE">
            <w:pPr>
              <w:ind w:right="91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2013</w:t>
            </w:r>
          </w:p>
        </w:tc>
      </w:tr>
      <w:tr w:rsidR="006E7F96" w:rsidRPr="000F55FA" w:rsidTr="00AE38D0">
        <w:trPr>
          <w:gridAfter w:val="1"/>
          <w:wAfter w:w="8" w:type="dxa"/>
          <w:trHeight w:val="510"/>
        </w:trPr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5FA" w:rsidRPr="000F55FA" w:rsidRDefault="000F55FA" w:rsidP="000F55FA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55FA" w:rsidRPr="000F55FA" w:rsidRDefault="000F55FA" w:rsidP="000F55FA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Celková výše nákladů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0F55FA" w:rsidRPr="000F55FA" w:rsidRDefault="000F55FA" w:rsidP="006E7F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Náklady</w:t>
            </w: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na 1</w:t>
            </w:r>
            <w:r w:rsidR="006E7F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zaměstnance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55FA" w:rsidRPr="000F55FA" w:rsidRDefault="000F55FA" w:rsidP="000F55FA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Celková výše nákladů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F55FA" w:rsidRPr="000F55FA" w:rsidRDefault="000F55FA" w:rsidP="006E7F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Náklady</w:t>
            </w: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na 1</w:t>
            </w:r>
            <w:r w:rsidR="006E7F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zaměstnance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55FA" w:rsidRPr="000F55FA" w:rsidRDefault="000F55FA" w:rsidP="000F55FA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Celková výše nákladů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F55FA" w:rsidRPr="000F55FA" w:rsidRDefault="000F55FA" w:rsidP="006E7F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Náklady</w:t>
            </w: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na 1</w:t>
            </w:r>
            <w:r w:rsidR="006E7F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0F55F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zaměstnance</w:t>
            </w:r>
          </w:p>
        </w:tc>
      </w:tr>
      <w:tr w:rsidR="00775463" w:rsidRPr="000F55FA" w:rsidTr="006229FE">
        <w:trPr>
          <w:trHeight w:val="24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0F55FA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Cestovné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5 320,87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14,95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6 152,49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16,67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5 481,19</w:t>
            </w: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15,02</w:t>
            </w:r>
          </w:p>
        </w:tc>
      </w:tr>
      <w:tr w:rsidR="00775463" w:rsidRPr="000F55FA" w:rsidTr="006229FE">
        <w:trPr>
          <w:trHeight w:val="465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0F55FA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Spotřeba materiálu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980 460,37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2 754,10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65 649,12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177,91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19 284,84</w:t>
            </w: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52,84</w:t>
            </w:r>
          </w:p>
        </w:tc>
      </w:tr>
      <w:tr w:rsidR="00775463" w:rsidRPr="000F55FA" w:rsidTr="006229FE">
        <w:trPr>
          <w:trHeight w:val="24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0F55FA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Dary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315,44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0,89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410,54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1,11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339,85</w:t>
            </w: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0,93</w:t>
            </w:r>
          </w:p>
        </w:tc>
      </w:tr>
      <w:tr w:rsidR="00775463" w:rsidRPr="000F55FA" w:rsidTr="006229FE">
        <w:trPr>
          <w:trHeight w:val="465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1B9F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Opravy a</w:t>
            </w:r>
            <w:r w:rsidR="00621B9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udržování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15 499,07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43,54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6 191,40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16,78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4 781,60</w:t>
            </w: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13,10</w:t>
            </w:r>
          </w:p>
        </w:tc>
      </w:tr>
      <w:tr w:rsidR="00775463" w:rsidRPr="000F55FA" w:rsidTr="006229FE">
        <w:trPr>
          <w:trHeight w:val="24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0F55FA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Ostatní služby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623 141,93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1 750,40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584 780,92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1 584,77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590 286,60</w:t>
            </w: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1 617,22</w:t>
            </w:r>
          </w:p>
        </w:tc>
      </w:tr>
      <w:tr w:rsidR="00775463" w:rsidRPr="000F55FA" w:rsidTr="006229FE">
        <w:trPr>
          <w:trHeight w:val="465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0F55FA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Náklady na reprezentaci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1 004,91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2,82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1 116,14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3,02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1 694,10</w:t>
            </w: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4,64</w:t>
            </w:r>
          </w:p>
        </w:tc>
      </w:tr>
      <w:tr w:rsidR="00775463" w:rsidRPr="000F55FA" w:rsidTr="006229FE">
        <w:trPr>
          <w:trHeight w:val="24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0F55FA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1 625 742,59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4 566,</w:t>
            </w:r>
            <w:r w:rsidR="0027640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664 300,61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1 800,27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621 868,18</w:t>
            </w: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5FA" w:rsidRPr="000F55FA" w:rsidRDefault="000F55FA" w:rsidP="006229FE">
            <w:pPr>
              <w:ind w:right="57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F55F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1 703,75</w:t>
            </w:r>
          </w:p>
        </w:tc>
      </w:tr>
    </w:tbl>
    <w:p w:rsidR="000F55FA" w:rsidRDefault="000F55FA" w:rsidP="006229FE">
      <w:pPr>
        <w:rPr>
          <w:rFonts w:cs="Arial"/>
        </w:rPr>
      </w:pPr>
    </w:p>
    <w:p w:rsidR="00EC7917" w:rsidRDefault="00C04506" w:rsidP="006229FE">
      <w:pPr>
        <w:rPr>
          <w:rFonts w:cs="Arial"/>
        </w:rPr>
      </w:pPr>
      <w:r w:rsidRPr="00AC3752">
        <w:rPr>
          <w:rFonts w:cs="Arial"/>
        </w:rPr>
        <w:t>Kontrol</w:t>
      </w:r>
      <w:r w:rsidR="009C59A7">
        <w:rPr>
          <w:rFonts w:cs="Arial"/>
        </w:rPr>
        <w:t>ní akce</w:t>
      </w:r>
      <w:r w:rsidRPr="00AC3752">
        <w:rPr>
          <w:rFonts w:cs="Arial"/>
        </w:rPr>
        <w:t xml:space="preserve"> NKÚ </w:t>
      </w:r>
      <w:r>
        <w:rPr>
          <w:rFonts w:cs="Arial"/>
        </w:rPr>
        <w:t>prověřila</w:t>
      </w:r>
      <w:r w:rsidRPr="00AC3752">
        <w:rPr>
          <w:rFonts w:cs="Arial"/>
        </w:rPr>
        <w:t xml:space="preserve"> náklady </w:t>
      </w:r>
      <w:r w:rsidR="009C59A7">
        <w:rPr>
          <w:rFonts w:cs="Arial"/>
        </w:rPr>
        <w:t xml:space="preserve">vynaložené </w:t>
      </w:r>
      <w:r w:rsidRPr="00AC3752">
        <w:rPr>
          <w:rFonts w:cs="Arial"/>
        </w:rPr>
        <w:t xml:space="preserve">na zajištění činnosti MZ v celkové hodnotě 23 959 730 Kč (viz tabulka č. </w:t>
      </w:r>
      <w:r w:rsidR="001F4594">
        <w:rPr>
          <w:rFonts w:cs="Arial"/>
        </w:rPr>
        <w:t>3</w:t>
      </w:r>
      <w:r w:rsidRPr="00AC3752">
        <w:rPr>
          <w:rFonts w:cs="Arial"/>
        </w:rPr>
        <w:t xml:space="preserve">). Kontrolovány byly především náklady </w:t>
      </w:r>
      <w:r w:rsidR="009C59A7">
        <w:rPr>
          <w:rFonts w:cs="Arial"/>
        </w:rPr>
        <w:t>z let</w:t>
      </w:r>
      <w:r w:rsidRPr="00AC3752">
        <w:rPr>
          <w:rFonts w:cs="Arial"/>
        </w:rPr>
        <w:t xml:space="preserve"> 2012 a 2013, </w:t>
      </w:r>
      <w:r>
        <w:rPr>
          <w:rFonts w:cs="Arial"/>
        </w:rPr>
        <w:t xml:space="preserve">protože </w:t>
      </w:r>
      <w:r w:rsidRPr="00AC3752">
        <w:rPr>
          <w:rFonts w:cs="Arial"/>
        </w:rPr>
        <w:t>náklady roku 2010 a 2011 byly předmětem kontrolní akce NKÚ č.</w:t>
      </w:r>
      <w:r w:rsidR="009C59A7">
        <w:rPr>
          <w:rFonts w:cs="Arial"/>
        </w:rPr>
        <w:t> </w:t>
      </w:r>
      <w:r w:rsidRPr="00AC3752">
        <w:rPr>
          <w:rFonts w:cs="Arial"/>
        </w:rPr>
        <w:t>11/34</w:t>
      </w:r>
      <w:r>
        <w:rPr>
          <w:rStyle w:val="Znakapoznpodarou"/>
          <w:rFonts w:cs="Arial"/>
        </w:rPr>
        <w:footnoteReference w:id="5"/>
      </w:r>
      <w:r w:rsidRPr="00AC3752">
        <w:rPr>
          <w:rFonts w:cs="Arial"/>
        </w:rPr>
        <w:t>.</w:t>
      </w:r>
    </w:p>
    <w:p w:rsidR="007A2D51" w:rsidRDefault="007A2D51" w:rsidP="006229FE">
      <w:pPr>
        <w:rPr>
          <w:rFonts w:cs="Arial"/>
        </w:rPr>
      </w:pPr>
    </w:p>
    <w:p w:rsidR="00C04506" w:rsidRPr="006229FE" w:rsidRDefault="00C04506" w:rsidP="006229FE">
      <w:pPr>
        <w:tabs>
          <w:tab w:val="right" w:pos="9072"/>
        </w:tabs>
        <w:spacing w:after="40"/>
        <w:rPr>
          <w:rFonts w:cs="Arial"/>
          <w:b/>
        </w:rPr>
      </w:pPr>
      <w:r w:rsidRPr="006229FE">
        <w:rPr>
          <w:rFonts w:cs="Arial"/>
          <w:b/>
        </w:rPr>
        <w:t xml:space="preserve">Tabulka č. </w:t>
      </w:r>
      <w:r w:rsidR="001F4594" w:rsidRPr="006229FE">
        <w:rPr>
          <w:rFonts w:cs="Arial"/>
          <w:b/>
        </w:rPr>
        <w:t>3</w:t>
      </w:r>
      <w:r w:rsidR="009E77B4" w:rsidRPr="006229FE">
        <w:rPr>
          <w:rFonts w:cs="Arial"/>
          <w:b/>
        </w:rPr>
        <w:t xml:space="preserve"> –</w:t>
      </w:r>
      <w:r w:rsidRPr="006229FE">
        <w:rPr>
          <w:rFonts w:cs="Arial"/>
          <w:b/>
        </w:rPr>
        <w:t xml:space="preserve"> Kontrolovaný objem nákladů na zajištění činnosti MZ </w:t>
      </w:r>
      <w:r w:rsidR="00E85D22">
        <w:rPr>
          <w:rFonts w:cs="Arial"/>
          <w:b/>
        </w:rPr>
        <w:tab/>
        <w:t>(</w:t>
      </w:r>
      <w:r w:rsidRPr="006229FE">
        <w:rPr>
          <w:rFonts w:cs="Arial"/>
          <w:b/>
        </w:rPr>
        <w:t>v Kč</w:t>
      </w:r>
      <w:r w:rsidR="00E85D22">
        <w:rPr>
          <w:rFonts w:cs="Arial"/>
          <w:b/>
        </w:rPr>
        <w:t>)</w:t>
      </w: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701"/>
        <w:gridCol w:w="1701"/>
      </w:tblGrid>
      <w:tr w:rsidR="00C04506" w:rsidRPr="00AC3752" w:rsidTr="006229FE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04506" w:rsidRPr="00AC3752" w:rsidRDefault="00C04506" w:rsidP="007519FF">
            <w:pPr>
              <w:jc w:val="center"/>
              <w:rPr>
                <w:rFonts w:cs="Arial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Předmět kontroly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04506" w:rsidRPr="00AC3752" w:rsidRDefault="00C04506" w:rsidP="007519FF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04506" w:rsidRPr="00AC3752" w:rsidRDefault="00C04506" w:rsidP="007519FF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04506" w:rsidRPr="00AC3752" w:rsidRDefault="00C04506" w:rsidP="00371B32">
            <w:pPr>
              <w:ind w:left="168" w:hanging="168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04506" w:rsidRPr="00AC3752" w:rsidRDefault="009C59A7" w:rsidP="007519FF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C</w:t>
            </w:r>
            <w:r w:rsidR="00C04506" w:rsidRPr="00AC375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elkem</w:t>
            </w:r>
          </w:p>
        </w:tc>
      </w:tr>
      <w:tr w:rsidR="00C04506" w:rsidRPr="00AC3752" w:rsidTr="006229FE">
        <w:tc>
          <w:tcPr>
            <w:tcW w:w="2268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Cestovné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1 852 477,36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850 700,97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2 703 178,33</w:t>
            </w:r>
          </w:p>
        </w:tc>
      </w:tr>
      <w:tr w:rsidR="00C04506" w:rsidRPr="00AC3752" w:rsidTr="006229FE">
        <w:tc>
          <w:tcPr>
            <w:tcW w:w="2268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Spotřeba materiálu 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2 678 184,60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1 147 408,39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3 825 592,99</w:t>
            </w:r>
          </w:p>
        </w:tc>
      </w:tr>
      <w:tr w:rsidR="00C04506" w:rsidRPr="00AC3752" w:rsidTr="006229FE">
        <w:tc>
          <w:tcPr>
            <w:tcW w:w="2268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Dary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412 213,00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315 255,54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727 468,54</w:t>
            </w:r>
          </w:p>
        </w:tc>
      </w:tr>
      <w:tr w:rsidR="00C04506" w:rsidRPr="00AC3752" w:rsidTr="006229FE">
        <w:tc>
          <w:tcPr>
            <w:tcW w:w="2268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Opravy a udržování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1 327 922,86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3 776 500,16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1 362 621,90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6 467 044,92</w:t>
            </w:r>
          </w:p>
        </w:tc>
      </w:tr>
      <w:tr w:rsidR="00C04506" w:rsidRPr="00AC3752" w:rsidTr="006229FE">
        <w:tc>
          <w:tcPr>
            <w:tcW w:w="2268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Ostatní služby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6 906 606,60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2 891 697,00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9 798 303,60</w:t>
            </w:r>
          </w:p>
        </w:tc>
      </w:tr>
      <w:tr w:rsidR="00C04506" w:rsidRPr="00AC3752" w:rsidTr="006229FE">
        <w:tc>
          <w:tcPr>
            <w:tcW w:w="2268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Náklady na reprezentaci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229 947,00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208 194,20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438 141,20</w:t>
            </w:r>
          </w:p>
        </w:tc>
      </w:tr>
      <w:tr w:rsidR="00C04506" w:rsidRPr="00AC3752" w:rsidTr="006229FE">
        <w:tc>
          <w:tcPr>
            <w:tcW w:w="2268" w:type="dxa"/>
            <w:vAlign w:val="center"/>
          </w:tcPr>
          <w:p w:rsidR="00C04506" w:rsidRPr="00AC3752" w:rsidRDefault="00C04506" w:rsidP="007519FF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1 327 922,86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15 855 928,72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6 775</w:t>
            </w:r>
            <w:r w:rsidR="00237B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  <w:r w:rsidRPr="00AC3752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878</w:t>
            </w:r>
            <w:r w:rsidR="00237B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701" w:type="dxa"/>
            <w:vAlign w:val="center"/>
          </w:tcPr>
          <w:p w:rsidR="00C04506" w:rsidRPr="00AC3752" w:rsidRDefault="00C04506" w:rsidP="007519FF">
            <w:pPr>
              <w:jc w:val="right"/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</w:pPr>
            <w:r w:rsidRPr="00AC3752"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  <w:t>23 959 729,58</w:t>
            </w:r>
          </w:p>
        </w:tc>
      </w:tr>
    </w:tbl>
    <w:p w:rsidR="00C04506" w:rsidRPr="00AC3752" w:rsidRDefault="00C04506" w:rsidP="006229FE">
      <w:pPr>
        <w:rPr>
          <w:rFonts w:cs="Arial"/>
        </w:rPr>
      </w:pPr>
    </w:p>
    <w:p w:rsidR="001A0B84" w:rsidRPr="006E7F96" w:rsidRDefault="00874831" w:rsidP="006229FE">
      <w:pPr>
        <w:pStyle w:val="Odstavecseseznamem"/>
        <w:numPr>
          <w:ilvl w:val="0"/>
          <w:numId w:val="6"/>
        </w:numPr>
        <w:spacing w:line="276" w:lineRule="auto"/>
        <w:rPr>
          <w:rFonts w:cs="Arial"/>
        </w:rPr>
      </w:pPr>
      <w:r w:rsidRPr="006229FE">
        <w:rPr>
          <w:rFonts w:cs="Arial"/>
          <w:b/>
        </w:rPr>
        <w:t>Cestovné</w:t>
      </w:r>
    </w:p>
    <w:p w:rsidR="00775463" w:rsidRDefault="00775463" w:rsidP="00874831">
      <w:pPr>
        <w:rPr>
          <w:rFonts w:cs="Arial"/>
        </w:rPr>
      </w:pPr>
    </w:p>
    <w:p w:rsidR="00874831" w:rsidRPr="00AC3752" w:rsidRDefault="00874831" w:rsidP="00874831">
      <w:pPr>
        <w:rPr>
          <w:rFonts w:cs="Arial"/>
        </w:rPr>
      </w:pPr>
      <w:r w:rsidRPr="00AC3752">
        <w:rPr>
          <w:rFonts w:cs="Arial"/>
        </w:rPr>
        <w:t>Kontrol</w:t>
      </w:r>
      <w:r w:rsidR="009C59A7">
        <w:rPr>
          <w:rFonts w:cs="Arial"/>
        </w:rPr>
        <w:t>ní akce</w:t>
      </w:r>
      <w:r w:rsidRPr="00AC3752">
        <w:rPr>
          <w:rFonts w:cs="Arial"/>
        </w:rPr>
        <w:t xml:space="preserve"> NKÚ </w:t>
      </w:r>
      <w:r w:rsidR="005D644B">
        <w:rPr>
          <w:rFonts w:cs="Arial"/>
        </w:rPr>
        <w:t>zjistila</w:t>
      </w:r>
      <w:r w:rsidRPr="00AC3752">
        <w:rPr>
          <w:rFonts w:cs="Arial"/>
        </w:rPr>
        <w:t xml:space="preserve">, že </w:t>
      </w:r>
      <w:r w:rsidR="005D644B" w:rsidRPr="00AC3752">
        <w:rPr>
          <w:rFonts w:cs="Arial"/>
        </w:rPr>
        <w:t xml:space="preserve">MZ </w:t>
      </w:r>
      <w:r w:rsidR="005D644B">
        <w:rPr>
          <w:rFonts w:cs="Arial"/>
        </w:rPr>
        <w:t xml:space="preserve">při povolování zahraničních pracovních cest </w:t>
      </w:r>
      <w:r w:rsidR="005D644B" w:rsidRPr="00AC3752">
        <w:rPr>
          <w:rFonts w:cs="Arial"/>
        </w:rPr>
        <w:t xml:space="preserve">nepostupovalo </w:t>
      </w:r>
      <w:r w:rsidR="005D644B">
        <w:rPr>
          <w:rFonts w:cs="Arial"/>
        </w:rPr>
        <w:t>důsledně dle</w:t>
      </w:r>
      <w:r w:rsidR="005D644B" w:rsidRPr="00AC3752">
        <w:rPr>
          <w:rFonts w:cs="Arial"/>
        </w:rPr>
        <w:t xml:space="preserve"> ustanovení § 153 odst. 1 zákona č. 262/2006 Sb.</w:t>
      </w:r>
      <w:r w:rsidR="005D644B" w:rsidRPr="00AC3752">
        <w:rPr>
          <w:rFonts w:cs="Arial"/>
          <w:vertAlign w:val="superscript"/>
        </w:rPr>
        <w:footnoteReference w:id="6"/>
      </w:r>
      <w:r w:rsidR="009C59A7">
        <w:rPr>
          <w:rFonts w:cs="Arial"/>
        </w:rPr>
        <w:t>, neboť</w:t>
      </w:r>
      <w:r w:rsidR="005D644B" w:rsidRPr="00AC3752">
        <w:rPr>
          <w:rFonts w:cs="Arial"/>
        </w:rPr>
        <w:t xml:space="preserve"> </w:t>
      </w:r>
      <w:r w:rsidR="009C59A7" w:rsidRPr="00AC3752">
        <w:rPr>
          <w:rFonts w:cs="Arial"/>
        </w:rPr>
        <w:t xml:space="preserve">neurčilo </w:t>
      </w:r>
      <w:r w:rsidR="005D644B" w:rsidRPr="00AC3752">
        <w:rPr>
          <w:rFonts w:cs="Arial"/>
        </w:rPr>
        <w:t>písemně místo nástupu a ukončení kontrolovaných zahraničních pracovních cest.</w:t>
      </w:r>
      <w:r w:rsidR="005D644B">
        <w:rPr>
          <w:rFonts w:cs="Arial"/>
        </w:rPr>
        <w:t xml:space="preserve"> Tento nedostatek byl zjištěn jak </w:t>
      </w:r>
      <w:r w:rsidR="005D644B" w:rsidRPr="00AC3752">
        <w:rPr>
          <w:rFonts w:cs="Arial"/>
        </w:rPr>
        <w:t xml:space="preserve">v příkazu ministra, který upravuje zahraniční pracovní cesty </w:t>
      </w:r>
      <w:r w:rsidR="009C59A7">
        <w:rPr>
          <w:rFonts w:cs="Arial"/>
        </w:rPr>
        <w:t>zástupců</w:t>
      </w:r>
      <w:r w:rsidR="005D644B" w:rsidRPr="00AC3752">
        <w:rPr>
          <w:rFonts w:cs="Arial"/>
        </w:rPr>
        <w:t xml:space="preserve"> MZ,</w:t>
      </w:r>
      <w:r w:rsidR="005D644B">
        <w:rPr>
          <w:rFonts w:cs="Arial"/>
        </w:rPr>
        <w:t xml:space="preserve"> tak </w:t>
      </w:r>
      <w:r w:rsidR="005D644B" w:rsidRPr="00AC3752">
        <w:rPr>
          <w:rFonts w:cs="Arial"/>
        </w:rPr>
        <w:t>v dokladech předložených M</w:t>
      </w:r>
      <w:r w:rsidR="009C59A7">
        <w:rPr>
          <w:rFonts w:cs="Arial"/>
        </w:rPr>
        <w:t>inisterstvem zdravotnictví</w:t>
      </w:r>
      <w:r w:rsidR="005D644B" w:rsidRPr="00AC3752">
        <w:rPr>
          <w:rFonts w:cs="Arial"/>
        </w:rPr>
        <w:t xml:space="preserve"> ke kontrole</w:t>
      </w:r>
      <w:r w:rsidR="005D644B">
        <w:rPr>
          <w:rFonts w:cs="Arial"/>
        </w:rPr>
        <w:t>.</w:t>
      </w:r>
      <w:r w:rsidR="005D644B" w:rsidRPr="00AC3752">
        <w:rPr>
          <w:rFonts w:cs="Arial"/>
        </w:rPr>
        <w:t xml:space="preserve"> </w:t>
      </w:r>
    </w:p>
    <w:p w:rsidR="001A0B84" w:rsidRPr="00AC3752" w:rsidRDefault="001A0B84" w:rsidP="00874831">
      <w:pPr>
        <w:rPr>
          <w:rFonts w:cs="Arial"/>
        </w:rPr>
      </w:pPr>
    </w:p>
    <w:p w:rsidR="001A0B84" w:rsidRPr="006E7F96" w:rsidRDefault="00874831" w:rsidP="00B020B9">
      <w:pPr>
        <w:pStyle w:val="Odstavecseseznamem"/>
        <w:numPr>
          <w:ilvl w:val="0"/>
          <w:numId w:val="6"/>
        </w:numPr>
        <w:rPr>
          <w:rFonts w:cs="Arial"/>
          <w:lang w:val="cs-CZ"/>
        </w:rPr>
      </w:pPr>
      <w:r w:rsidRPr="006229FE">
        <w:rPr>
          <w:rFonts w:cs="Arial"/>
          <w:b/>
          <w:lang w:val="cs-CZ"/>
        </w:rPr>
        <w:t>Účtování o peněžních prostředcích státního rozpočtu na zajištění činnosti MZ</w:t>
      </w:r>
    </w:p>
    <w:p w:rsidR="00874831" w:rsidRPr="00AC3752" w:rsidRDefault="00874831" w:rsidP="00BE693A">
      <w:pPr>
        <w:rPr>
          <w:rFonts w:cs="Arial"/>
        </w:rPr>
      </w:pPr>
    </w:p>
    <w:p w:rsidR="00B020B9" w:rsidRDefault="00BE693A" w:rsidP="006229FE">
      <w:pPr>
        <w:rPr>
          <w:rFonts w:cs="Arial"/>
        </w:rPr>
      </w:pPr>
      <w:r w:rsidRPr="00AC3752">
        <w:rPr>
          <w:rFonts w:cs="Arial"/>
        </w:rPr>
        <w:t>Kontrol</w:t>
      </w:r>
      <w:r w:rsidR="00E05C09">
        <w:rPr>
          <w:rFonts w:cs="Arial"/>
        </w:rPr>
        <w:t xml:space="preserve">ní </w:t>
      </w:r>
      <w:r w:rsidR="00003992">
        <w:rPr>
          <w:rFonts w:cs="Arial"/>
        </w:rPr>
        <w:t>a</w:t>
      </w:r>
      <w:r w:rsidR="00E05C09">
        <w:rPr>
          <w:rFonts w:cs="Arial"/>
        </w:rPr>
        <w:t>kce</w:t>
      </w:r>
      <w:r w:rsidR="00003992">
        <w:rPr>
          <w:rFonts w:cs="Arial"/>
        </w:rPr>
        <w:t xml:space="preserve"> NKÚ zjistila, </w:t>
      </w:r>
      <w:r w:rsidRPr="00AC3752">
        <w:rPr>
          <w:rFonts w:cs="Arial"/>
        </w:rPr>
        <w:t xml:space="preserve">že MZ účtovalo o </w:t>
      </w:r>
      <w:r w:rsidR="00B84453" w:rsidRPr="00AC3752">
        <w:rPr>
          <w:rFonts w:cs="Arial"/>
        </w:rPr>
        <w:t xml:space="preserve">nákladech na opravy a udržování </w:t>
      </w:r>
      <w:r w:rsidRPr="00AC3752">
        <w:rPr>
          <w:rFonts w:cs="Arial"/>
        </w:rPr>
        <w:t>do účetního období, se kterým věcně a časově nesouvisel</w:t>
      </w:r>
      <w:r w:rsidR="00003992">
        <w:rPr>
          <w:rFonts w:cs="Arial"/>
        </w:rPr>
        <w:t>y</w:t>
      </w:r>
      <w:r w:rsidR="00B020B9">
        <w:rPr>
          <w:rFonts w:cs="Arial"/>
        </w:rPr>
        <w:t xml:space="preserve">, čímž </w:t>
      </w:r>
      <w:r w:rsidR="00B020B9" w:rsidRPr="00AC3752">
        <w:rPr>
          <w:rFonts w:cs="Arial"/>
        </w:rPr>
        <w:t>porušilo ustanovení § 3 odst. 1 zákona č. 563/1991 Sb.</w:t>
      </w:r>
    </w:p>
    <w:p w:rsidR="004A5844" w:rsidRDefault="004A5844" w:rsidP="006229FE">
      <w:pPr>
        <w:rPr>
          <w:rFonts w:cs="Arial"/>
        </w:rPr>
      </w:pPr>
    </w:p>
    <w:p w:rsidR="00082B4F" w:rsidRDefault="00BE693A" w:rsidP="006229FE">
      <w:pPr>
        <w:rPr>
          <w:rFonts w:cs="Arial"/>
        </w:rPr>
      </w:pPr>
      <w:r w:rsidRPr="00AC3752">
        <w:rPr>
          <w:rFonts w:cs="Arial"/>
        </w:rPr>
        <w:t>V roce 201</w:t>
      </w:r>
      <w:r w:rsidR="00B84453" w:rsidRPr="00AC3752">
        <w:rPr>
          <w:rFonts w:cs="Arial"/>
        </w:rPr>
        <w:t>2</w:t>
      </w:r>
      <w:r w:rsidRPr="00AC3752">
        <w:rPr>
          <w:rFonts w:cs="Arial"/>
        </w:rPr>
        <w:t xml:space="preserve"> MZ nesprávně zaúčtovalo </w:t>
      </w:r>
      <w:r w:rsidR="00B84453" w:rsidRPr="00AC3752">
        <w:rPr>
          <w:rFonts w:cs="Arial"/>
        </w:rPr>
        <w:t xml:space="preserve">náklady na </w:t>
      </w:r>
      <w:r w:rsidR="00345AC9">
        <w:rPr>
          <w:rFonts w:cs="Arial"/>
        </w:rPr>
        <w:t>služby</w:t>
      </w:r>
      <w:r w:rsidRPr="00AC3752">
        <w:rPr>
          <w:rFonts w:cs="Arial"/>
        </w:rPr>
        <w:t xml:space="preserve"> realizované v roce 201</w:t>
      </w:r>
      <w:r w:rsidR="00B84453" w:rsidRPr="00AC3752">
        <w:rPr>
          <w:rFonts w:cs="Arial"/>
        </w:rPr>
        <w:t>1</w:t>
      </w:r>
      <w:r w:rsidRPr="00AC3752">
        <w:rPr>
          <w:rFonts w:cs="Arial"/>
        </w:rPr>
        <w:t xml:space="preserve"> v hodnotě 1 327 922,86 Kč a v roce 201</w:t>
      </w:r>
      <w:r w:rsidR="00B84453" w:rsidRPr="00AC3752">
        <w:rPr>
          <w:rFonts w:cs="Arial"/>
        </w:rPr>
        <w:t>3</w:t>
      </w:r>
      <w:r w:rsidRPr="00AC3752">
        <w:rPr>
          <w:rFonts w:cs="Arial"/>
        </w:rPr>
        <w:t xml:space="preserve"> </w:t>
      </w:r>
      <w:r w:rsidR="00B84453" w:rsidRPr="00AC3752">
        <w:rPr>
          <w:rFonts w:cs="Arial"/>
        </w:rPr>
        <w:t xml:space="preserve">náklady na </w:t>
      </w:r>
      <w:r w:rsidR="00345AC9">
        <w:rPr>
          <w:rFonts w:cs="Arial"/>
        </w:rPr>
        <w:t>služby</w:t>
      </w:r>
      <w:r w:rsidR="00B84453" w:rsidRPr="00AC3752">
        <w:rPr>
          <w:rFonts w:cs="Arial"/>
        </w:rPr>
        <w:t xml:space="preserve"> </w:t>
      </w:r>
      <w:r w:rsidRPr="00AC3752">
        <w:rPr>
          <w:rFonts w:cs="Arial"/>
        </w:rPr>
        <w:t>realizované v roce 20</w:t>
      </w:r>
      <w:r w:rsidR="00B84453" w:rsidRPr="00AC3752">
        <w:rPr>
          <w:rFonts w:cs="Arial"/>
        </w:rPr>
        <w:t>12</w:t>
      </w:r>
      <w:r w:rsidRPr="00AC3752">
        <w:rPr>
          <w:rFonts w:cs="Arial"/>
        </w:rPr>
        <w:t xml:space="preserve"> v hodnotě </w:t>
      </w:r>
      <w:r w:rsidR="00345AC9">
        <w:rPr>
          <w:rFonts w:cs="Arial"/>
        </w:rPr>
        <w:t>1 249 </w:t>
      </w:r>
      <w:r w:rsidR="00B84453" w:rsidRPr="00AC3752">
        <w:rPr>
          <w:rFonts w:cs="Arial"/>
        </w:rPr>
        <w:t>906,40</w:t>
      </w:r>
      <w:r w:rsidRPr="00AC3752">
        <w:rPr>
          <w:rFonts w:cs="Arial"/>
        </w:rPr>
        <w:t xml:space="preserve"> Kč.</w:t>
      </w:r>
      <w:r w:rsidR="00B84453" w:rsidRPr="00AC3752">
        <w:rPr>
          <w:rFonts w:cs="Arial"/>
        </w:rPr>
        <w:t xml:space="preserve"> </w:t>
      </w:r>
    </w:p>
    <w:p w:rsidR="004A5844" w:rsidRPr="00AC3752" w:rsidRDefault="004A5844" w:rsidP="006229FE">
      <w:pPr>
        <w:rPr>
          <w:rFonts w:cs="Arial"/>
        </w:rPr>
      </w:pPr>
    </w:p>
    <w:p w:rsidR="00BE693A" w:rsidRDefault="00B84453" w:rsidP="006229FE">
      <w:pPr>
        <w:rPr>
          <w:rFonts w:cs="Arial"/>
        </w:rPr>
      </w:pPr>
      <w:r w:rsidRPr="00AC3752">
        <w:rPr>
          <w:rFonts w:cs="Arial"/>
        </w:rPr>
        <w:t xml:space="preserve">Nesprávně MZ účtovalo rovněž o nákladech na </w:t>
      </w:r>
      <w:r w:rsidR="00082B4F" w:rsidRPr="00AC3752">
        <w:rPr>
          <w:rFonts w:cs="Arial"/>
        </w:rPr>
        <w:t>ostatní služby. V roce 2013 MZ zaúčtovalo náklady na ostatní služby realizované v roce 2012 v hodnotě 706 533 Kč.</w:t>
      </w:r>
    </w:p>
    <w:p w:rsidR="004A5844" w:rsidRPr="00AC3752" w:rsidRDefault="004A5844" w:rsidP="006229FE">
      <w:pPr>
        <w:rPr>
          <w:rFonts w:cs="Arial"/>
        </w:rPr>
      </w:pPr>
    </w:p>
    <w:p w:rsidR="007A2D51" w:rsidRDefault="00082B4F" w:rsidP="00A406A4">
      <w:pPr>
        <w:rPr>
          <w:rFonts w:cs="Arial"/>
        </w:rPr>
      </w:pPr>
      <w:r w:rsidRPr="00AC3752">
        <w:rPr>
          <w:rFonts w:cs="Arial"/>
        </w:rPr>
        <w:lastRenderedPageBreak/>
        <w:t xml:space="preserve">Výše uvedeným nesprávným účtováním MZ zároveň nadhodnotilo i podhodnotilo účty uvedené </w:t>
      </w:r>
      <w:r w:rsidR="008C2012">
        <w:rPr>
          <w:rFonts w:cs="Arial"/>
        </w:rPr>
        <w:t>v </w:t>
      </w:r>
      <w:r w:rsidR="00C04506">
        <w:rPr>
          <w:rFonts w:cs="Arial"/>
        </w:rPr>
        <w:t>příloze č. 1</w:t>
      </w:r>
      <w:r w:rsidR="00C04C60">
        <w:rPr>
          <w:rFonts w:cs="Arial"/>
        </w:rPr>
        <w:t xml:space="preserve"> tohoto kontrolního závěru</w:t>
      </w:r>
      <w:r w:rsidR="002524C2">
        <w:rPr>
          <w:rFonts w:cs="Arial"/>
        </w:rPr>
        <w:t>.</w:t>
      </w:r>
    </w:p>
    <w:p w:rsidR="00A406A4" w:rsidRPr="00AC3752" w:rsidRDefault="00A406A4" w:rsidP="00A406A4">
      <w:pPr>
        <w:rPr>
          <w:rFonts w:cs="Arial"/>
        </w:rPr>
      </w:pPr>
    </w:p>
    <w:p w:rsidR="0010176A" w:rsidRDefault="002524C2" w:rsidP="00996514">
      <w:pPr>
        <w:pStyle w:val="Odstavecseseznamem"/>
        <w:numPr>
          <w:ilvl w:val="0"/>
          <w:numId w:val="1"/>
        </w:numPr>
        <w:ind w:left="284" w:hanging="284"/>
        <w:rPr>
          <w:rFonts w:cs="Arial"/>
          <w:b/>
          <w:lang w:val="cs-CZ"/>
        </w:rPr>
      </w:pPr>
      <w:r>
        <w:rPr>
          <w:rFonts w:cs="Arial"/>
          <w:b/>
          <w:lang w:val="cs-CZ"/>
        </w:rPr>
        <w:t>Ovlivnění výsledku hospodaření MZ</w:t>
      </w:r>
    </w:p>
    <w:p w:rsidR="004A5844" w:rsidRDefault="004A5844" w:rsidP="00996514">
      <w:pPr>
        <w:rPr>
          <w:rFonts w:cs="Arial"/>
        </w:rPr>
      </w:pPr>
    </w:p>
    <w:p w:rsidR="007A2D51" w:rsidRDefault="0010176A" w:rsidP="0010176A">
      <w:pPr>
        <w:rPr>
          <w:rFonts w:cs="Arial"/>
        </w:rPr>
      </w:pPr>
      <w:r>
        <w:rPr>
          <w:rFonts w:cs="Arial"/>
        </w:rPr>
        <w:t>Následkem účtování MZ o nakládání s majetkem a o nákladech na zajištění činnosti do účetní</w:t>
      </w:r>
      <w:r w:rsidR="00E05C09">
        <w:rPr>
          <w:rFonts w:cs="Arial"/>
        </w:rPr>
        <w:t>c</w:t>
      </w:r>
      <w:r>
        <w:rPr>
          <w:rFonts w:cs="Arial"/>
        </w:rPr>
        <w:t xml:space="preserve">h období, </w:t>
      </w:r>
      <w:r w:rsidR="00E05C09">
        <w:rPr>
          <w:rFonts w:cs="Arial"/>
        </w:rPr>
        <w:t>s nimiž tyto účetní případy</w:t>
      </w:r>
      <w:r>
        <w:rPr>
          <w:rFonts w:cs="Arial"/>
        </w:rPr>
        <w:t xml:space="preserve"> věcně a</w:t>
      </w:r>
      <w:r w:rsidR="00E05C09">
        <w:rPr>
          <w:rFonts w:cs="Arial"/>
        </w:rPr>
        <w:t>ni</w:t>
      </w:r>
      <w:r>
        <w:rPr>
          <w:rFonts w:cs="Arial"/>
        </w:rPr>
        <w:t xml:space="preserve"> časově nesouvisel</w:t>
      </w:r>
      <w:r w:rsidR="00E05C09">
        <w:rPr>
          <w:rFonts w:cs="Arial"/>
        </w:rPr>
        <w:t>y (</w:t>
      </w:r>
      <w:r>
        <w:rPr>
          <w:rFonts w:cs="Arial"/>
        </w:rPr>
        <w:t>v</w:t>
      </w:r>
      <w:r w:rsidR="00E05C09">
        <w:rPr>
          <w:rFonts w:cs="Arial"/>
        </w:rPr>
        <w:t>iz</w:t>
      </w:r>
      <w:r>
        <w:rPr>
          <w:rFonts w:cs="Arial"/>
        </w:rPr>
        <w:t> kapitol</w:t>
      </w:r>
      <w:r w:rsidR="00E05C09">
        <w:rPr>
          <w:rFonts w:cs="Arial"/>
        </w:rPr>
        <w:t>y</w:t>
      </w:r>
      <w:r w:rsidR="00F34569">
        <w:rPr>
          <w:rFonts w:cs="Arial"/>
        </w:rPr>
        <w:t xml:space="preserve"> </w:t>
      </w:r>
      <w:r w:rsidR="003564F9">
        <w:rPr>
          <w:rFonts w:cs="Arial"/>
        </w:rPr>
        <w:t>II.</w:t>
      </w:r>
      <w:r w:rsidR="00F34569">
        <w:rPr>
          <w:rFonts w:cs="Arial"/>
        </w:rPr>
        <w:t>1</w:t>
      </w:r>
      <w:r w:rsidR="003564F9">
        <w:rPr>
          <w:rFonts w:cs="Arial"/>
        </w:rPr>
        <w:t>.</w:t>
      </w:r>
      <w:r w:rsidR="00F34569">
        <w:rPr>
          <w:rFonts w:cs="Arial"/>
        </w:rPr>
        <w:t xml:space="preserve"> a </w:t>
      </w:r>
      <w:proofErr w:type="gramStart"/>
      <w:r w:rsidR="003564F9">
        <w:rPr>
          <w:rFonts w:cs="Arial"/>
        </w:rPr>
        <w:t>II.</w:t>
      </w:r>
      <w:r>
        <w:rPr>
          <w:rFonts w:cs="Arial"/>
        </w:rPr>
        <w:t>2</w:t>
      </w:r>
      <w:r w:rsidR="003564F9">
        <w:rPr>
          <w:rFonts w:cs="Arial"/>
        </w:rPr>
        <w:t>.</w:t>
      </w:r>
      <w:r>
        <w:rPr>
          <w:rFonts w:cs="Arial"/>
        </w:rPr>
        <w:t xml:space="preserve"> </w:t>
      </w:r>
      <w:r w:rsidR="00E05C09">
        <w:rPr>
          <w:rFonts w:cs="Arial"/>
        </w:rPr>
        <w:t>tohoto</w:t>
      </w:r>
      <w:proofErr w:type="gramEnd"/>
      <w:r w:rsidR="00E05C09">
        <w:rPr>
          <w:rFonts w:cs="Arial"/>
        </w:rPr>
        <w:t xml:space="preserve"> </w:t>
      </w:r>
      <w:r>
        <w:rPr>
          <w:rFonts w:cs="Arial"/>
        </w:rPr>
        <w:t>kontrolního závěru</w:t>
      </w:r>
      <w:r w:rsidR="00E05C09">
        <w:rPr>
          <w:rFonts w:cs="Arial"/>
        </w:rPr>
        <w:t>)</w:t>
      </w:r>
      <w:r>
        <w:rPr>
          <w:rFonts w:cs="Arial"/>
        </w:rPr>
        <w:t xml:space="preserve">, nebylo </w:t>
      </w:r>
      <w:r w:rsidRPr="0010176A">
        <w:rPr>
          <w:rFonts w:cs="Arial"/>
        </w:rPr>
        <w:t>účetnictví</w:t>
      </w:r>
      <w:r>
        <w:rPr>
          <w:rFonts w:cs="Arial"/>
        </w:rPr>
        <w:t xml:space="preserve"> MZ v letech 2009 až 2013 správné ve smyslu ustanovení § 8 odst. 2 zákona č. 563/1991 Sb. Tímto nesprávným účtováním MZ rovněž ovlivnilo výsledek hospodaření </w:t>
      </w:r>
      <w:r w:rsidR="0059782D">
        <w:rPr>
          <w:rFonts w:cs="Arial"/>
        </w:rPr>
        <w:t xml:space="preserve">v letech 2010 až 2013. </w:t>
      </w:r>
      <w:r w:rsidR="00C74CFD">
        <w:rPr>
          <w:rFonts w:cs="Arial"/>
        </w:rPr>
        <w:t xml:space="preserve">Chyby </w:t>
      </w:r>
      <w:r w:rsidR="008C2012">
        <w:rPr>
          <w:rFonts w:cs="Arial"/>
        </w:rPr>
        <w:t>v </w:t>
      </w:r>
      <w:r w:rsidR="0059782D">
        <w:rPr>
          <w:rFonts w:cs="Arial"/>
        </w:rPr>
        <w:t>účetnictví</w:t>
      </w:r>
      <w:r w:rsidR="00D17C00">
        <w:rPr>
          <w:rFonts w:cs="Arial"/>
        </w:rPr>
        <w:t>,</w:t>
      </w:r>
      <w:r w:rsidR="0059782D">
        <w:rPr>
          <w:rFonts w:cs="Arial"/>
        </w:rPr>
        <w:t xml:space="preserve"> </w:t>
      </w:r>
      <w:r w:rsidR="00E05C09">
        <w:rPr>
          <w:rFonts w:cs="Arial"/>
        </w:rPr>
        <w:t xml:space="preserve">které byly </w:t>
      </w:r>
      <w:r w:rsidR="00003992">
        <w:rPr>
          <w:rFonts w:cs="Arial"/>
        </w:rPr>
        <w:t>zjištěn</w:t>
      </w:r>
      <w:r w:rsidR="00E05C09">
        <w:rPr>
          <w:rFonts w:cs="Arial"/>
        </w:rPr>
        <w:t>y</w:t>
      </w:r>
      <w:r w:rsidR="00003992">
        <w:rPr>
          <w:rFonts w:cs="Arial"/>
        </w:rPr>
        <w:t xml:space="preserve"> na kontrolním vzorku</w:t>
      </w:r>
      <w:r w:rsidR="00D17C00">
        <w:rPr>
          <w:rFonts w:cs="Arial"/>
        </w:rPr>
        <w:t>,</w:t>
      </w:r>
      <w:r w:rsidR="00003992">
        <w:rPr>
          <w:rFonts w:cs="Arial"/>
        </w:rPr>
        <w:t xml:space="preserve"> </w:t>
      </w:r>
      <w:r w:rsidR="00D17C00">
        <w:rPr>
          <w:rFonts w:cs="Arial"/>
        </w:rPr>
        <w:t xml:space="preserve">měly vliv </w:t>
      </w:r>
      <w:r w:rsidR="0059782D">
        <w:rPr>
          <w:rFonts w:cs="Arial"/>
        </w:rPr>
        <w:t xml:space="preserve">na </w:t>
      </w:r>
      <w:r w:rsidR="00BE5545">
        <w:rPr>
          <w:rFonts w:cs="Arial"/>
        </w:rPr>
        <w:t xml:space="preserve">správnost </w:t>
      </w:r>
      <w:r w:rsidR="0059782D">
        <w:rPr>
          <w:rFonts w:cs="Arial"/>
        </w:rPr>
        <w:t>výsled</w:t>
      </w:r>
      <w:r w:rsidR="00BE5545">
        <w:rPr>
          <w:rFonts w:cs="Arial"/>
        </w:rPr>
        <w:t>ku</w:t>
      </w:r>
      <w:r w:rsidR="0059782D">
        <w:rPr>
          <w:rFonts w:cs="Arial"/>
        </w:rPr>
        <w:t xml:space="preserve"> hospodaření</w:t>
      </w:r>
      <w:r w:rsidR="00003992">
        <w:rPr>
          <w:rFonts w:cs="Arial"/>
        </w:rPr>
        <w:t xml:space="preserve"> MZ</w:t>
      </w:r>
      <w:r w:rsidR="00D17C00">
        <w:rPr>
          <w:rFonts w:cs="Arial"/>
        </w:rPr>
        <w:t xml:space="preserve">, </w:t>
      </w:r>
      <w:r w:rsidR="00550BB1">
        <w:rPr>
          <w:rFonts w:cs="Arial"/>
        </w:rPr>
        <w:t xml:space="preserve">ale jejich dopad na celkový hospodářský výsledek nebyl významný (pohyboval se v řádu desetin procenta), </w:t>
      </w:r>
      <w:r w:rsidR="00D17C00">
        <w:rPr>
          <w:rFonts w:cs="Arial"/>
        </w:rPr>
        <w:t>jak</w:t>
      </w:r>
      <w:r w:rsidR="0059782D">
        <w:rPr>
          <w:rFonts w:cs="Arial"/>
        </w:rPr>
        <w:t xml:space="preserve"> je </w:t>
      </w:r>
      <w:r w:rsidR="00C04506">
        <w:rPr>
          <w:rFonts w:cs="Arial"/>
        </w:rPr>
        <w:t>uvedeno v tabulce</w:t>
      </w:r>
      <w:r w:rsidR="0059782D">
        <w:rPr>
          <w:rFonts w:cs="Arial"/>
        </w:rPr>
        <w:t xml:space="preserve"> č. </w:t>
      </w:r>
      <w:r w:rsidR="001F4594">
        <w:rPr>
          <w:rFonts w:cs="Arial"/>
        </w:rPr>
        <w:t>4</w:t>
      </w:r>
      <w:r w:rsidR="0059782D">
        <w:rPr>
          <w:rFonts w:cs="Arial"/>
        </w:rPr>
        <w:t>.</w:t>
      </w:r>
      <w:r w:rsidR="00550BB1">
        <w:rPr>
          <w:rFonts w:cs="Arial"/>
        </w:rPr>
        <w:t xml:space="preserve"> </w:t>
      </w:r>
    </w:p>
    <w:p w:rsidR="00CD75B1" w:rsidRDefault="00CD75B1" w:rsidP="00E05C09">
      <w:pPr>
        <w:spacing w:line="276" w:lineRule="auto"/>
        <w:rPr>
          <w:rFonts w:cs="Arial"/>
        </w:rPr>
      </w:pPr>
    </w:p>
    <w:p w:rsidR="001F4594" w:rsidRPr="00401F62" w:rsidRDefault="00E66956" w:rsidP="00401F62">
      <w:pPr>
        <w:tabs>
          <w:tab w:val="right" w:pos="9072"/>
        </w:tabs>
        <w:spacing w:after="40"/>
        <w:rPr>
          <w:rFonts w:cs="Arial"/>
          <w:b/>
        </w:rPr>
      </w:pPr>
      <w:r w:rsidRPr="00401F62">
        <w:rPr>
          <w:rFonts w:cs="Arial"/>
          <w:b/>
        </w:rPr>
        <w:t xml:space="preserve">Tabulka č. </w:t>
      </w:r>
      <w:r w:rsidR="001F4594" w:rsidRPr="00401F62">
        <w:rPr>
          <w:rFonts w:cs="Arial"/>
          <w:b/>
        </w:rPr>
        <w:t>4</w:t>
      </w:r>
      <w:r w:rsidR="009E77B4" w:rsidRPr="00401F62">
        <w:rPr>
          <w:rFonts w:cs="Arial"/>
          <w:b/>
        </w:rPr>
        <w:t xml:space="preserve"> –</w:t>
      </w:r>
      <w:r w:rsidRPr="00401F62">
        <w:rPr>
          <w:rFonts w:cs="Arial"/>
          <w:b/>
        </w:rPr>
        <w:t xml:space="preserve"> Vyčíslení ovlivnění výsledku hospodaření MZ</w:t>
      </w:r>
      <w:r w:rsidR="001F4594" w:rsidRPr="00401F62">
        <w:rPr>
          <w:rFonts w:cs="Arial"/>
          <w:b/>
        </w:rPr>
        <w:t xml:space="preserve"> </w:t>
      </w:r>
      <w:r w:rsidR="004A5844">
        <w:rPr>
          <w:rFonts w:cs="Arial"/>
          <w:b/>
        </w:rPr>
        <w:tab/>
        <w:t>(</w:t>
      </w:r>
      <w:r w:rsidR="001F4594" w:rsidRPr="00401F62">
        <w:rPr>
          <w:rFonts w:cs="Arial"/>
          <w:b/>
        </w:rPr>
        <w:t>v Kč</w:t>
      </w:r>
      <w:r w:rsidR="004A5844">
        <w:rPr>
          <w:rFonts w:cs="Arial"/>
          <w:b/>
        </w:rPr>
        <w:t>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560"/>
        <w:gridCol w:w="1559"/>
        <w:gridCol w:w="1559"/>
        <w:gridCol w:w="1559"/>
      </w:tblGrid>
      <w:tr w:rsidR="00E05C09" w:rsidRPr="001F4594" w:rsidTr="00E05C09">
        <w:trPr>
          <w:trHeight w:val="4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05C09" w:rsidRPr="001F4594" w:rsidRDefault="00E05C09" w:rsidP="00401F62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Skutečnost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5C09" w:rsidRPr="001F4594" w:rsidRDefault="00E05C09" w:rsidP="001F4594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5C09" w:rsidRPr="001F4594" w:rsidRDefault="00E05C09" w:rsidP="001F4594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05C09" w:rsidRPr="001F4594" w:rsidRDefault="00E05C09" w:rsidP="001F4594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05C09" w:rsidRPr="001F4594" w:rsidRDefault="00E05C09" w:rsidP="001F4594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2013</w:t>
            </w:r>
          </w:p>
        </w:tc>
      </w:tr>
      <w:tr w:rsidR="007A2D51" w:rsidRPr="001F4594" w:rsidTr="00401F62">
        <w:trPr>
          <w:trHeight w:val="45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594" w:rsidRPr="001F4594" w:rsidRDefault="001F4594" w:rsidP="001F4594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 nadhodnocen výsledek hospodaření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24 771 585,70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6 104 770,86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1 956 439,40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A2D51" w:rsidRPr="001F4594" w:rsidTr="00401F62">
        <w:trPr>
          <w:trHeight w:val="45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594" w:rsidRPr="001F4594" w:rsidRDefault="001F4594" w:rsidP="001F4594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 podhodnocen výsledek hospodaření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4 776 848,00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8 638 636,00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4 192 922,86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4 821 439,40</w:t>
            </w:r>
          </w:p>
        </w:tc>
      </w:tr>
      <w:tr w:rsidR="007A2D51" w:rsidRPr="001F4594" w:rsidTr="00401F62">
        <w:trPr>
          <w:trHeight w:val="46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594" w:rsidRPr="001F4594" w:rsidRDefault="001F4594" w:rsidP="001F4594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Celková minimální výše účetních chyb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29 548 433,70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14 743 406,86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6 149 362,26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4 821 439,40</w:t>
            </w:r>
          </w:p>
        </w:tc>
      </w:tr>
      <w:tr w:rsidR="007A2D51" w:rsidRPr="001F4594" w:rsidTr="00401F62">
        <w:trPr>
          <w:trHeight w:val="6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F4594" w:rsidRPr="001F4594" w:rsidRDefault="001F4594" w:rsidP="001F4594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Konečný vliv na hodnotu výsledku hospodaření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F4594" w:rsidRPr="001F4594" w:rsidRDefault="00E93F47" w:rsidP="001F4594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1F62">
              <w:rPr>
                <w:rFonts w:cs="Arial"/>
                <w:sz w:val="16"/>
                <w:szCs w:val="16"/>
              </w:rPr>
              <w:t>−</w:t>
            </w:r>
            <w:r w:rsidR="001F4594" w:rsidRPr="001F459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19 994 737,70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2 533 865,14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2 236 483,46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4 821 439,40</w:t>
            </w:r>
          </w:p>
        </w:tc>
      </w:tr>
      <w:tr w:rsidR="007A2D51" w:rsidRPr="001F4594" w:rsidTr="00401F62">
        <w:trPr>
          <w:trHeight w:val="22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594" w:rsidRPr="001F4594" w:rsidRDefault="001F4594" w:rsidP="001F4594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Výsledek hospodaření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E93F47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7284D">
              <w:rPr>
                <w:rFonts w:cs="Arial"/>
                <w:sz w:val="16"/>
                <w:szCs w:val="16"/>
              </w:rPr>
              <w:t>−</w:t>
            </w:r>
            <w:r w:rsidR="001F4594"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4 484 361 000,00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E93F47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7284D">
              <w:rPr>
                <w:rFonts w:cs="Arial"/>
                <w:sz w:val="16"/>
                <w:szCs w:val="16"/>
              </w:rPr>
              <w:t>−</w:t>
            </w:r>
            <w:r w:rsidR="001F4594"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4 850 708 000,26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94" w:rsidRPr="001F4594" w:rsidRDefault="00E93F47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7284D">
              <w:rPr>
                <w:rFonts w:cs="Arial"/>
                <w:sz w:val="16"/>
                <w:szCs w:val="16"/>
              </w:rPr>
              <w:t>−</w:t>
            </w:r>
            <w:r w:rsidR="001F4594"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3 217 486 000,15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E93F47" w:rsidP="00401F62">
            <w:pPr>
              <w:ind w:left="-7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7284D">
              <w:rPr>
                <w:rFonts w:cs="Arial"/>
                <w:sz w:val="16"/>
                <w:szCs w:val="16"/>
              </w:rPr>
              <w:t>−</w:t>
            </w:r>
            <w:r w:rsidR="001F4594"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3 315 371 000,00</w:t>
            </w:r>
          </w:p>
        </w:tc>
      </w:tr>
      <w:tr w:rsidR="007A2D51" w:rsidRPr="001F4594" w:rsidTr="00401F62">
        <w:trPr>
          <w:trHeight w:val="46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594" w:rsidRPr="001F4594" w:rsidRDefault="007A2D51" w:rsidP="00E05C09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V</w:t>
            </w:r>
            <w:r w:rsidR="001F4594"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liv účetních chyb na </w:t>
            </w:r>
            <w:r w:rsidR="00E05C0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výsledek hospodaření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E85D2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(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v %</w:t>
            </w:r>
            <w:r w:rsidR="00E85D2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4" w:rsidRPr="001F4594" w:rsidRDefault="001F4594" w:rsidP="001F4594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F45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0,15</w:t>
            </w:r>
          </w:p>
        </w:tc>
      </w:tr>
    </w:tbl>
    <w:p w:rsidR="00B81F33" w:rsidRDefault="00B81F33" w:rsidP="00B81F33">
      <w:pPr>
        <w:pStyle w:val="Odstavecseseznamem"/>
        <w:spacing w:after="120" w:line="276" w:lineRule="auto"/>
        <w:ind w:left="426"/>
        <w:rPr>
          <w:rFonts w:cs="Arial"/>
          <w:b/>
          <w:lang w:val="cs-CZ"/>
        </w:rPr>
      </w:pPr>
    </w:p>
    <w:p w:rsidR="001A0B84" w:rsidRPr="00AC3752" w:rsidRDefault="001A0B84" w:rsidP="00401F62">
      <w:pPr>
        <w:pStyle w:val="Odstavecseseznamem"/>
        <w:numPr>
          <w:ilvl w:val="0"/>
          <w:numId w:val="1"/>
        </w:numPr>
        <w:ind w:left="284" w:hanging="284"/>
        <w:rPr>
          <w:rFonts w:cs="Arial"/>
          <w:b/>
          <w:lang w:val="cs-CZ"/>
        </w:rPr>
      </w:pPr>
      <w:r w:rsidRPr="00AC3752">
        <w:rPr>
          <w:rFonts w:cs="Arial"/>
          <w:b/>
          <w:lang w:val="cs-CZ"/>
        </w:rPr>
        <w:t>Informační a komunikační technologie na MZ</w:t>
      </w:r>
    </w:p>
    <w:p w:rsidR="004A5844" w:rsidRDefault="004A5844" w:rsidP="00401F62">
      <w:pPr>
        <w:rPr>
          <w:rFonts w:cs="Arial"/>
        </w:rPr>
      </w:pPr>
    </w:p>
    <w:p w:rsidR="00625A7B" w:rsidRDefault="001A0B84" w:rsidP="00401F62">
      <w:pPr>
        <w:rPr>
          <w:rFonts w:cs="Arial"/>
        </w:rPr>
      </w:pPr>
      <w:r w:rsidRPr="00AC3752">
        <w:rPr>
          <w:rFonts w:cs="Arial"/>
        </w:rPr>
        <w:t>Dle vyjádření MZ byl</w:t>
      </w:r>
      <w:r w:rsidR="00BB46FD">
        <w:rPr>
          <w:rFonts w:cs="Arial"/>
        </w:rPr>
        <w:t>y</w:t>
      </w:r>
      <w:r w:rsidRPr="00AC3752">
        <w:rPr>
          <w:rFonts w:cs="Arial"/>
        </w:rPr>
        <w:t xml:space="preserve"> </w:t>
      </w:r>
      <w:r w:rsidR="002F3DE1" w:rsidRPr="00AC3752">
        <w:rPr>
          <w:rFonts w:cs="Arial"/>
        </w:rPr>
        <w:t xml:space="preserve">v období </w:t>
      </w:r>
      <w:r w:rsidR="002F3DE1">
        <w:rPr>
          <w:rFonts w:cs="Arial"/>
        </w:rPr>
        <w:t>do</w:t>
      </w:r>
      <w:r w:rsidR="002F3DE1" w:rsidRPr="00AC3752">
        <w:rPr>
          <w:rFonts w:cs="Arial"/>
        </w:rPr>
        <w:t xml:space="preserve"> 1. 3. 2009 </w:t>
      </w:r>
      <w:r w:rsidRPr="00AC3752">
        <w:rPr>
          <w:rFonts w:cs="Arial"/>
        </w:rPr>
        <w:t>technická podpora a další činnosti v oblasti informačně-komunikačních technologií (dále také „ICT“) na MZ řešen</w:t>
      </w:r>
      <w:r w:rsidR="00BB46FD">
        <w:rPr>
          <w:rFonts w:cs="Arial"/>
        </w:rPr>
        <w:t>y</w:t>
      </w:r>
      <w:r w:rsidRPr="00AC3752">
        <w:rPr>
          <w:rFonts w:cs="Arial"/>
        </w:rPr>
        <w:t xml:space="preserve"> v rámci přípravy technologické platformy pro projekty elektronizace zdravotnictví v rámci kompetenčního centra pro </w:t>
      </w:r>
      <w:proofErr w:type="spellStart"/>
      <w:r w:rsidRPr="00AC3752">
        <w:rPr>
          <w:rFonts w:cs="Arial"/>
        </w:rPr>
        <w:t>eHealth</w:t>
      </w:r>
      <w:proofErr w:type="spellEnd"/>
      <w:r w:rsidR="002F3DE1">
        <w:rPr>
          <w:rFonts w:cs="Arial"/>
        </w:rPr>
        <w:t xml:space="preserve"> </w:t>
      </w:r>
      <w:r w:rsidRPr="00AC3752">
        <w:rPr>
          <w:rFonts w:cs="Arial"/>
        </w:rPr>
        <w:t>zejména ve spolupráci s organizační složkou státu</w:t>
      </w:r>
      <w:r w:rsidR="000A1699" w:rsidRPr="00AC3752">
        <w:rPr>
          <w:rFonts w:cs="Arial"/>
        </w:rPr>
        <w:t xml:space="preserve"> </w:t>
      </w:r>
      <w:r w:rsidR="002F3DE1">
        <w:rPr>
          <w:rFonts w:cs="Arial"/>
        </w:rPr>
        <w:t>(</w:t>
      </w:r>
      <w:r w:rsidR="000A1699" w:rsidRPr="00AC3752">
        <w:rPr>
          <w:rFonts w:cs="Arial"/>
        </w:rPr>
        <w:t>podřízenou</w:t>
      </w:r>
      <w:r w:rsidRPr="00AC3752">
        <w:rPr>
          <w:rFonts w:cs="Arial"/>
        </w:rPr>
        <w:t xml:space="preserve"> MZ</w:t>
      </w:r>
      <w:r w:rsidR="002F3DE1">
        <w:rPr>
          <w:rFonts w:cs="Arial"/>
        </w:rPr>
        <w:t>) Koordinační středisko pro re</w:t>
      </w:r>
      <w:r w:rsidR="00BB46FD">
        <w:rPr>
          <w:rFonts w:cs="Arial"/>
        </w:rPr>
        <w:t>s</w:t>
      </w:r>
      <w:r w:rsidR="002F3DE1">
        <w:rPr>
          <w:rFonts w:cs="Arial"/>
        </w:rPr>
        <w:t>ortní zdravotnické informační systémy</w:t>
      </w:r>
      <w:r w:rsidR="00512763">
        <w:rPr>
          <w:rFonts w:cs="Arial"/>
        </w:rPr>
        <w:t xml:space="preserve"> (dále </w:t>
      </w:r>
      <w:r w:rsidR="00766A80">
        <w:rPr>
          <w:rFonts w:cs="Arial"/>
        </w:rPr>
        <w:t xml:space="preserve">také </w:t>
      </w:r>
      <w:r w:rsidR="00512763">
        <w:rPr>
          <w:rFonts w:cs="Arial"/>
        </w:rPr>
        <w:t>„KSRZIS“)</w:t>
      </w:r>
      <w:r w:rsidRPr="00AC3752">
        <w:rPr>
          <w:rFonts w:cs="Arial"/>
        </w:rPr>
        <w:t>.</w:t>
      </w:r>
    </w:p>
    <w:p w:rsidR="004A5844" w:rsidRPr="00AC3752" w:rsidRDefault="004A5844" w:rsidP="00401F62">
      <w:pPr>
        <w:rPr>
          <w:rFonts w:cs="Arial"/>
        </w:rPr>
      </w:pPr>
    </w:p>
    <w:p w:rsidR="001A0B84" w:rsidRDefault="00293398" w:rsidP="00401F62">
      <w:pPr>
        <w:rPr>
          <w:rFonts w:cs="Arial"/>
        </w:rPr>
      </w:pPr>
      <w:r w:rsidRPr="00AC3752">
        <w:rPr>
          <w:rFonts w:cs="Arial"/>
        </w:rPr>
        <w:t xml:space="preserve">V období od 1. 3. 2009 do 30. 6. 2012 </w:t>
      </w:r>
      <w:r w:rsidR="002F3DE1">
        <w:rPr>
          <w:rFonts w:cs="Arial"/>
        </w:rPr>
        <w:t xml:space="preserve">uzavřelo MZ </w:t>
      </w:r>
      <w:r w:rsidR="00512763">
        <w:rPr>
          <w:rFonts w:cs="Arial"/>
        </w:rPr>
        <w:t xml:space="preserve">postupně </w:t>
      </w:r>
      <w:r w:rsidR="002F3DE1">
        <w:rPr>
          <w:rFonts w:cs="Arial"/>
        </w:rPr>
        <w:t>čtyři smlouvy s</w:t>
      </w:r>
      <w:r w:rsidR="00C96C93">
        <w:rPr>
          <w:rFonts w:cs="Arial"/>
        </w:rPr>
        <w:t> </w:t>
      </w:r>
      <w:r w:rsidR="002F3DE1" w:rsidRPr="00AC3752">
        <w:rPr>
          <w:rFonts w:cs="Arial"/>
        </w:rPr>
        <w:t xml:space="preserve">obchodní </w:t>
      </w:r>
      <w:r w:rsidR="002F3DE1">
        <w:rPr>
          <w:rFonts w:cs="Arial"/>
        </w:rPr>
        <w:t xml:space="preserve">společností, která </w:t>
      </w:r>
      <w:r w:rsidRPr="00AC3752">
        <w:rPr>
          <w:rFonts w:cs="Arial"/>
        </w:rPr>
        <w:t>zajišťovala pro MZ služby technické podpory a další činnost</w:t>
      </w:r>
      <w:r w:rsidR="00C96C93">
        <w:rPr>
          <w:rFonts w:cs="Arial"/>
        </w:rPr>
        <w:t>i</w:t>
      </w:r>
      <w:r w:rsidRPr="00AC3752">
        <w:rPr>
          <w:rFonts w:cs="Arial"/>
        </w:rPr>
        <w:t xml:space="preserve"> v oblasti ICT</w:t>
      </w:r>
      <w:r w:rsidR="002F3DE1">
        <w:rPr>
          <w:rFonts w:cs="Arial"/>
        </w:rPr>
        <w:t>.</w:t>
      </w:r>
    </w:p>
    <w:p w:rsidR="004A5844" w:rsidRPr="00AC3752" w:rsidRDefault="004A5844" w:rsidP="00401F62">
      <w:pPr>
        <w:rPr>
          <w:rFonts w:cs="Arial"/>
        </w:rPr>
      </w:pPr>
    </w:p>
    <w:p w:rsidR="00293398" w:rsidRDefault="00293398" w:rsidP="00401F62">
      <w:pPr>
        <w:rPr>
          <w:rFonts w:cs="Arial"/>
        </w:rPr>
      </w:pPr>
      <w:r w:rsidRPr="00AC3752">
        <w:rPr>
          <w:rFonts w:cs="Arial"/>
        </w:rPr>
        <w:t xml:space="preserve">Dne 29. 6. 2010 uzavřelo MZ v rámci projektu </w:t>
      </w:r>
      <w:r w:rsidRPr="00731DC9">
        <w:rPr>
          <w:rFonts w:cs="Arial"/>
          <w:i/>
        </w:rPr>
        <w:t>Komplexní zajištění IS/ICT re</w:t>
      </w:r>
      <w:r w:rsidR="00BB46FD">
        <w:rPr>
          <w:rFonts w:cs="Arial"/>
          <w:i/>
        </w:rPr>
        <w:t>s</w:t>
      </w:r>
      <w:r w:rsidRPr="00731DC9">
        <w:rPr>
          <w:rFonts w:cs="Arial"/>
          <w:i/>
        </w:rPr>
        <w:t xml:space="preserve">ortu zdravotnictví </w:t>
      </w:r>
      <w:r w:rsidRPr="00AC3752">
        <w:rPr>
          <w:rFonts w:cs="Arial"/>
        </w:rPr>
        <w:t xml:space="preserve">(dále jen „Projekt“) </w:t>
      </w:r>
      <w:r w:rsidR="00910528">
        <w:rPr>
          <w:rFonts w:cs="Arial"/>
        </w:rPr>
        <w:t xml:space="preserve">tři </w:t>
      </w:r>
      <w:r w:rsidRPr="00AC3752">
        <w:rPr>
          <w:rFonts w:cs="Arial"/>
        </w:rPr>
        <w:t>smlouv</w:t>
      </w:r>
      <w:r w:rsidR="00910528">
        <w:rPr>
          <w:rFonts w:cs="Arial"/>
        </w:rPr>
        <w:t>y</w:t>
      </w:r>
      <w:r w:rsidRPr="00AC3752">
        <w:rPr>
          <w:rFonts w:cs="Arial"/>
        </w:rPr>
        <w:t xml:space="preserve"> s další obchodní společností</w:t>
      </w:r>
      <w:r w:rsidR="00910528">
        <w:rPr>
          <w:rFonts w:cs="Arial"/>
        </w:rPr>
        <w:t xml:space="preserve"> (</w:t>
      </w:r>
      <w:r w:rsidR="0048645B">
        <w:rPr>
          <w:rFonts w:cs="Arial"/>
        </w:rPr>
        <w:t xml:space="preserve">dále </w:t>
      </w:r>
      <w:r w:rsidR="00766A80">
        <w:rPr>
          <w:rFonts w:cs="Arial"/>
        </w:rPr>
        <w:t xml:space="preserve">jen </w:t>
      </w:r>
      <w:r w:rsidR="0048645B">
        <w:rPr>
          <w:rFonts w:cs="Arial"/>
        </w:rPr>
        <w:t>„dodavatel Projektu“)</w:t>
      </w:r>
      <w:r w:rsidRPr="00AC3752">
        <w:rPr>
          <w:rFonts w:cs="Arial"/>
        </w:rPr>
        <w:t xml:space="preserve">. Cílovým řešením Projektu mělo být vytvoření </w:t>
      </w:r>
      <w:r w:rsidR="0048645B">
        <w:rPr>
          <w:rFonts w:cs="Arial"/>
        </w:rPr>
        <w:t xml:space="preserve">systému podpory řízení kvality </w:t>
      </w:r>
      <w:r w:rsidR="00D42746">
        <w:rPr>
          <w:rFonts w:cs="Arial"/>
        </w:rPr>
        <w:t>a </w:t>
      </w:r>
      <w:r w:rsidRPr="00AC3752">
        <w:rPr>
          <w:rFonts w:cs="Arial"/>
        </w:rPr>
        <w:t>nákladovosti ve zdravotnictví prostřednictvím ICT</w:t>
      </w:r>
      <w:r w:rsidR="00910528">
        <w:rPr>
          <w:rFonts w:cs="Arial"/>
        </w:rPr>
        <w:t xml:space="preserve">. Po </w:t>
      </w:r>
      <w:r w:rsidRPr="00AC3752">
        <w:rPr>
          <w:rFonts w:cs="Arial"/>
        </w:rPr>
        <w:t>vybudování technologické infrastruktury re</w:t>
      </w:r>
      <w:r w:rsidR="00BB46FD">
        <w:rPr>
          <w:rFonts w:cs="Arial"/>
        </w:rPr>
        <w:t>s</w:t>
      </w:r>
      <w:r w:rsidRPr="00AC3752">
        <w:rPr>
          <w:rFonts w:cs="Arial"/>
        </w:rPr>
        <w:t>ortu</w:t>
      </w:r>
      <w:r w:rsidR="0048645B">
        <w:rPr>
          <w:rFonts w:cs="Arial"/>
        </w:rPr>
        <w:t xml:space="preserve"> v rámci Projektu </w:t>
      </w:r>
      <w:r w:rsidRPr="00AC3752">
        <w:rPr>
          <w:rFonts w:cs="Arial"/>
        </w:rPr>
        <w:t xml:space="preserve">by </w:t>
      </w:r>
      <w:r w:rsidR="00910528">
        <w:rPr>
          <w:rFonts w:cs="Arial"/>
        </w:rPr>
        <w:t>na n</w:t>
      </w:r>
      <w:r w:rsidR="00BB46FD">
        <w:rPr>
          <w:rFonts w:cs="Arial"/>
        </w:rPr>
        <w:t>í</w:t>
      </w:r>
      <w:r w:rsidR="00910528">
        <w:rPr>
          <w:rFonts w:cs="Arial"/>
        </w:rPr>
        <w:t xml:space="preserve"> </w:t>
      </w:r>
      <w:r w:rsidRPr="00AC3752">
        <w:rPr>
          <w:rFonts w:cs="Arial"/>
        </w:rPr>
        <w:t>byly provozovány ekonomi</w:t>
      </w:r>
      <w:r w:rsidR="00910528">
        <w:rPr>
          <w:rFonts w:cs="Arial"/>
        </w:rPr>
        <w:t xml:space="preserve">cké a další informační systémy </w:t>
      </w:r>
      <w:r w:rsidRPr="00AC3752">
        <w:rPr>
          <w:rFonts w:cs="Arial"/>
        </w:rPr>
        <w:t xml:space="preserve">a zpracovávány společné agendy zúčastněných organizací. </w:t>
      </w:r>
      <w:r w:rsidR="00766A80" w:rsidRPr="00AC3752">
        <w:rPr>
          <w:rFonts w:cs="Arial"/>
        </w:rPr>
        <w:t xml:space="preserve">Na jednání </w:t>
      </w:r>
      <w:r w:rsidR="00BB46FD">
        <w:rPr>
          <w:rFonts w:cs="Arial"/>
        </w:rPr>
        <w:t>ř</w:t>
      </w:r>
      <w:r w:rsidR="00766A80" w:rsidRPr="00AC3752">
        <w:rPr>
          <w:rFonts w:cs="Arial"/>
        </w:rPr>
        <w:t>íd</w:t>
      </w:r>
      <w:r w:rsidR="00BB46FD">
        <w:rPr>
          <w:rFonts w:cs="Arial"/>
        </w:rPr>
        <w:t>i</w:t>
      </w:r>
      <w:r w:rsidR="00766A80" w:rsidRPr="00AC3752">
        <w:rPr>
          <w:rFonts w:cs="Arial"/>
        </w:rPr>
        <w:t>cího výboru Projektu dne 28. 2. 2012 roz</w:t>
      </w:r>
      <w:r w:rsidR="000F5744">
        <w:rPr>
          <w:rFonts w:cs="Arial"/>
        </w:rPr>
        <w:t>hodlo MZ o zastavení Projektu a </w:t>
      </w:r>
      <w:r w:rsidR="00766A80" w:rsidRPr="00AC3752">
        <w:rPr>
          <w:rFonts w:cs="Arial"/>
        </w:rPr>
        <w:t>ukončení spolupráce s</w:t>
      </w:r>
      <w:r w:rsidR="00766A80">
        <w:rPr>
          <w:rFonts w:cs="Arial"/>
        </w:rPr>
        <w:t xml:space="preserve"> dodavatelem Projektu. </w:t>
      </w:r>
      <w:r w:rsidR="0048645B">
        <w:rPr>
          <w:rFonts w:cs="Arial"/>
        </w:rPr>
        <w:t>Dodavateli Projektu</w:t>
      </w:r>
      <w:r w:rsidR="00635125" w:rsidRPr="00AC3752">
        <w:rPr>
          <w:rFonts w:cs="Arial"/>
        </w:rPr>
        <w:t xml:space="preserve"> </w:t>
      </w:r>
      <w:r w:rsidR="00BB46FD">
        <w:rPr>
          <w:rFonts w:cs="Arial"/>
        </w:rPr>
        <w:t>Ministerstvo zdravotnictví</w:t>
      </w:r>
      <w:r w:rsidR="00635125" w:rsidRPr="00AC3752">
        <w:rPr>
          <w:rFonts w:cs="Arial"/>
        </w:rPr>
        <w:t xml:space="preserve"> </w:t>
      </w:r>
      <w:r w:rsidR="000F5744">
        <w:rPr>
          <w:rFonts w:cs="Arial"/>
        </w:rPr>
        <w:t>s ohledem na</w:t>
      </w:r>
      <w:r w:rsidR="00BB46FD">
        <w:rPr>
          <w:rFonts w:cs="Arial"/>
        </w:rPr>
        <w:t xml:space="preserve"> </w:t>
      </w:r>
      <w:r w:rsidR="00265040">
        <w:rPr>
          <w:rFonts w:cs="Arial"/>
        </w:rPr>
        <w:t>předčasné ukončení prací na</w:t>
      </w:r>
      <w:r w:rsidR="00635125" w:rsidRPr="00AC3752">
        <w:rPr>
          <w:rFonts w:cs="Arial"/>
        </w:rPr>
        <w:t xml:space="preserve"> Projektu neuhradilo žádné peněžní prostředky. V souvislosti s Projektem však MZ uhradilo </w:t>
      </w:r>
      <w:r w:rsidR="003154C7">
        <w:rPr>
          <w:rFonts w:cs="Arial"/>
        </w:rPr>
        <w:t xml:space="preserve">třetí obchodní společnosti </w:t>
      </w:r>
      <w:r w:rsidR="00635125" w:rsidRPr="00AC3752">
        <w:rPr>
          <w:rFonts w:cs="Arial"/>
        </w:rPr>
        <w:t xml:space="preserve">celkem 2 121 000 Kč </w:t>
      </w:r>
      <w:r w:rsidR="00F34569">
        <w:rPr>
          <w:rFonts w:cs="Arial"/>
        </w:rPr>
        <w:t>za projektové řízení Projektu a </w:t>
      </w:r>
      <w:r w:rsidR="003154C7">
        <w:rPr>
          <w:rFonts w:cs="Arial"/>
        </w:rPr>
        <w:t xml:space="preserve">advokátní kanceláři </w:t>
      </w:r>
      <w:r w:rsidR="00635125" w:rsidRPr="00AC3752">
        <w:rPr>
          <w:rFonts w:cs="Arial"/>
        </w:rPr>
        <w:t>1 119 960 Kč za služby spočívající v</w:t>
      </w:r>
      <w:r w:rsidR="003154C7">
        <w:rPr>
          <w:rFonts w:cs="Arial"/>
        </w:rPr>
        <w:t xml:space="preserve"> právní </w:t>
      </w:r>
      <w:r w:rsidR="00635125" w:rsidRPr="00AC3752">
        <w:rPr>
          <w:rFonts w:cs="Arial"/>
        </w:rPr>
        <w:t xml:space="preserve">analýze </w:t>
      </w:r>
      <w:r w:rsidR="003154C7">
        <w:rPr>
          <w:rFonts w:cs="Arial"/>
        </w:rPr>
        <w:t xml:space="preserve">vzniklé situace </w:t>
      </w:r>
      <w:r w:rsidR="00635125" w:rsidRPr="00AC3752">
        <w:rPr>
          <w:rFonts w:cs="Arial"/>
        </w:rPr>
        <w:t xml:space="preserve">a </w:t>
      </w:r>
      <w:r w:rsidR="0048645B">
        <w:rPr>
          <w:rFonts w:cs="Arial"/>
        </w:rPr>
        <w:t>ukončení</w:t>
      </w:r>
      <w:r w:rsidR="0048645B" w:rsidRPr="00AC3752">
        <w:rPr>
          <w:rFonts w:cs="Arial"/>
        </w:rPr>
        <w:t xml:space="preserve"> </w:t>
      </w:r>
      <w:r w:rsidR="00635125" w:rsidRPr="00AC3752">
        <w:rPr>
          <w:rFonts w:cs="Arial"/>
        </w:rPr>
        <w:t>smlouvy</w:t>
      </w:r>
      <w:r w:rsidR="0048645B">
        <w:rPr>
          <w:rFonts w:cs="Arial"/>
        </w:rPr>
        <w:t xml:space="preserve"> s dodavatelem Projektu</w:t>
      </w:r>
      <w:r w:rsidR="00237B94">
        <w:rPr>
          <w:rFonts w:cs="Arial"/>
        </w:rPr>
        <w:t xml:space="preserve"> bez sankčních důsledků</w:t>
      </w:r>
      <w:r w:rsidR="00635125" w:rsidRPr="00AC3752">
        <w:rPr>
          <w:rFonts w:cs="Arial"/>
        </w:rPr>
        <w:t>.</w:t>
      </w:r>
    </w:p>
    <w:p w:rsidR="004A5844" w:rsidRPr="00AC3752" w:rsidRDefault="004A5844" w:rsidP="00401F62">
      <w:pPr>
        <w:rPr>
          <w:rFonts w:cs="Arial"/>
        </w:rPr>
      </w:pPr>
    </w:p>
    <w:p w:rsidR="00837D4B" w:rsidRDefault="00635125" w:rsidP="00401F62">
      <w:pPr>
        <w:rPr>
          <w:rFonts w:cs="Arial"/>
        </w:rPr>
      </w:pPr>
      <w:r w:rsidRPr="00AC3752">
        <w:rPr>
          <w:rFonts w:cs="Arial"/>
        </w:rPr>
        <w:lastRenderedPageBreak/>
        <w:t xml:space="preserve">MZ </w:t>
      </w:r>
      <w:r w:rsidR="0048645B">
        <w:rPr>
          <w:rFonts w:cs="Arial"/>
        </w:rPr>
        <w:t xml:space="preserve">tak </w:t>
      </w:r>
      <w:r w:rsidRPr="00AC3752">
        <w:rPr>
          <w:rFonts w:cs="Arial"/>
        </w:rPr>
        <w:t xml:space="preserve">v kontrolovaném období </w:t>
      </w:r>
      <w:r w:rsidR="00837D4B" w:rsidRPr="00AC3752">
        <w:rPr>
          <w:rFonts w:cs="Arial"/>
        </w:rPr>
        <w:t xml:space="preserve">vynaložilo </w:t>
      </w:r>
      <w:r w:rsidR="008C2012">
        <w:rPr>
          <w:rFonts w:cs="Arial"/>
        </w:rPr>
        <w:t>v </w:t>
      </w:r>
      <w:r w:rsidR="005820BB">
        <w:rPr>
          <w:rFonts w:cs="Arial"/>
        </w:rPr>
        <w:t xml:space="preserve">souvislosti s nerealizovaným Projektem </w:t>
      </w:r>
      <w:r w:rsidRPr="00AC3752">
        <w:rPr>
          <w:rFonts w:cs="Arial"/>
        </w:rPr>
        <w:t>celkem 3 240 960 Kč</w:t>
      </w:r>
      <w:r w:rsidR="00237B94">
        <w:rPr>
          <w:rFonts w:cs="Arial"/>
        </w:rPr>
        <w:t>.</w:t>
      </w:r>
      <w:r w:rsidR="00837D4B">
        <w:rPr>
          <w:rFonts w:cs="Arial"/>
        </w:rPr>
        <w:t xml:space="preserve"> </w:t>
      </w:r>
    </w:p>
    <w:p w:rsidR="004A5844" w:rsidRDefault="004A5844" w:rsidP="00401F62">
      <w:pPr>
        <w:rPr>
          <w:rFonts w:cs="Arial"/>
        </w:rPr>
      </w:pPr>
    </w:p>
    <w:p w:rsidR="00EB1BEB" w:rsidRDefault="00837D4B" w:rsidP="00A406A4">
      <w:pPr>
        <w:rPr>
          <w:rFonts w:cs="Arial"/>
        </w:rPr>
      </w:pPr>
      <w:r>
        <w:rPr>
          <w:rFonts w:cs="Arial"/>
        </w:rPr>
        <w:t>K</w:t>
      </w:r>
      <w:r w:rsidRPr="00AC3752">
        <w:rPr>
          <w:rFonts w:cs="Arial"/>
        </w:rPr>
        <w:t> datu ukončení kontrol</w:t>
      </w:r>
      <w:r w:rsidR="00EF371B">
        <w:rPr>
          <w:rFonts w:cs="Arial"/>
        </w:rPr>
        <w:t>ní akce</w:t>
      </w:r>
      <w:r>
        <w:rPr>
          <w:rFonts w:cs="Arial"/>
        </w:rPr>
        <w:t xml:space="preserve"> NKÚ </w:t>
      </w:r>
      <w:r w:rsidRPr="00AC3752">
        <w:rPr>
          <w:rFonts w:cs="Arial"/>
        </w:rPr>
        <w:t xml:space="preserve">vykonává </w:t>
      </w:r>
      <w:r w:rsidRPr="00837D4B">
        <w:rPr>
          <w:rFonts w:cs="Arial"/>
        </w:rPr>
        <w:t>pro MZ</w:t>
      </w:r>
      <w:r w:rsidRPr="00AC3752">
        <w:rPr>
          <w:rFonts w:cs="Arial"/>
        </w:rPr>
        <w:t xml:space="preserve"> </w:t>
      </w:r>
      <w:r>
        <w:rPr>
          <w:rFonts w:cs="Arial"/>
        </w:rPr>
        <w:t>t</w:t>
      </w:r>
      <w:r w:rsidR="00635125" w:rsidRPr="00AC3752">
        <w:rPr>
          <w:rFonts w:cs="Arial"/>
        </w:rPr>
        <w:t>echnickou podporu a další</w:t>
      </w:r>
      <w:r w:rsidR="000A1699" w:rsidRPr="00AC3752">
        <w:rPr>
          <w:rFonts w:cs="Arial"/>
        </w:rPr>
        <w:t xml:space="preserve"> činnosti</w:t>
      </w:r>
      <w:r w:rsidR="00635125" w:rsidRPr="00AC3752">
        <w:rPr>
          <w:rFonts w:cs="Arial"/>
        </w:rPr>
        <w:t xml:space="preserve"> v oblasti ICT</w:t>
      </w:r>
      <w:r w:rsidR="000A1699" w:rsidRPr="00AC3752">
        <w:rPr>
          <w:rFonts w:cs="Arial"/>
        </w:rPr>
        <w:t>, stejně jako před zahájením reorganizace</w:t>
      </w:r>
      <w:r>
        <w:rPr>
          <w:rFonts w:cs="Arial"/>
        </w:rPr>
        <w:t xml:space="preserve"> (1.</w:t>
      </w:r>
      <w:r w:rsidR="00181EB3">
        <w:rPr>
          <w:rFonts w:cs="Arial"/>
        </w:rPr>
        <w:t xml:space="preserve"> </w:t>
      </w:r>
      <w:r>
        <w:rPr>
          <w:rFonts w:cs="Arial"/>
        </w:rPr>
        <w:t>3.</w:t>
      </w:r>
      <w:r w:rsidR="00181EB3">
        <w:rPr>
          <w:rFonts w:cs="Arial"/>
        </w:rPr>
        <w:t xml:space="preserve"> </w:t>
      </w:r>
      <w:r>
        <w:rPr>
          <w:rFonts w:cs="Arial"/>
        </w:rPr>
        <w:t>2009)</w:t>
      </w:r>
      <w:r w:rsidR="000A1699" w:rsidRPr="00AC3752">
        <w:rPr>
          <w:rFonts w:cs="Arial"/>
        </w:rPr>
        <w:t>,</w:t>
      </w:r>
      <w:r w:rsidR="00EF371B">
        <w:rPr>
          <w:rFonts w:cs="Arial"/>
        </w:rPr>
        <w:t xml:space="preserve"> </w:t>
      </w:r>
      <w:r w:rsidR="000A1699" w:rsidRPr="00AC3752">
        <w:rPr>
          <w:rFonts w:cs="Arial"/>
        </w:rPr>
        <w:t xml:space="preserve">organizační složka státu </w:t>
      </w:r>
      <w:r w:rsidR="00766A80">
        <w:rPr>
          <w:rFonts w:cs="Arial"/>
        </w:rPr>
        <w:t>(</w:t>
      </w:r>
      <w:r w:rsidR="000A1699" w:rsidRPr="00AC3752">
        <w:rPr>
          <w:rFonts w:cs="Arial"/>
        </w:rPr>
        <w:t>podřízená MZ</w:t>
      </w:r>
      <w:r w:rsidR="00766A80">
        <w:rPr>
          <w:rFonts w:cs="Arial"/>
        </w:rPr>
        <w:t>) KSRZIS</w:t>
      </w:r>
      <w:r w:rsidR="000A1699" w:rsidRPr="00AC3752">
        <w:rPr>
          <w:rFonts w:cs="Arial"/>
        </w:rPr>
        <w:t>. Ředitel této organizační složky státu je zároveň ředitelem odboru informatiky na MZ.</w:t>
      </w:r>
    </w:p>
    <w:p w:rsidR="00E85D22" w:rsidRDefault="00E85D22" w:rsidP="00E05C09">
      <w:pPr>
        <w:spacing w:line="276" w:lineRule="auto"/>
        <w:rPr>
          <w:rFonts w:cs="Arial"/>
          <w:b/>
        </w:rPr>
      </w:pPr>
    </w:p>
    <w:p w:rsidR="00874831" w:rsidRPr="00AC3752" w:rsidRDefault="00874831" w:rsidP="00401F62">
      <w:pPr>
        <w:pStyle w:val="Odstavecseseznamem"/>
        <w:numPr>
          <w:ilvl w:val="0"/>
          <w:numId w:val="1"/>
        </w:numPr>
        <w:ind w:left="284" w:hanging="284"/>
        <w:rPr>
          <w:rFonts w:cs="Arial"/>
          <w:b/>
          <w:lang w:val="cs-CZ"/>
        </w:rPr>
      </w:pPr>
      <w:r w:rsidRPr="00AC3752">
        <w:rPr>
          <w:rFonts w:cs="Arial"/>
          <w:b/>
          <w:lang w:val="cs-CZ"/>
        </w:rPr>
        <w:t>Odpisy majetku MZ</w:t>
      </w:r>
    </w:p>
    <w:p w:rsidR="004A5844" w:rsidRDefault="004A5844" w:rsidP="00401F62">
      <w:pPr>
        <w:rPr>
          <w:rFonts w:cs="Arial"/>
        </w:rPr>
      </w:pPr>
    </w:p>
    <w:p w:rsidR="00D96A07" w:rsidRDefault="00D96A07" w:rsidP="00401F62">
      <w:pPr>
        <w:rPr>
          <w:rFonts w:cs="Arial"/>
        </w:rPr>
      </w:pPr>
      <w:r w:rsidRPr="00AC3752">
        <w:rPr>
          <w:rFonts w:cs="Arial"/>
        </w:rPr>
        <w:t>Kontrol</w:t>
      </w:r>
      <w:r w:rsidR="00EF371B">
        <w:rPr>
          <w:rFonts w:cs="Arial"/>
        </w:rPr>
        <w:t>ní akce</w:t>
      </w:r>
      <w:r w:rsidRPr="00AC3752">
        <w:rPr>
          <w:rFonts w:cs="Arial"/>
        </w:rPr>
        <w:t xml:space="preserve"> </w:t>
      </w:r>
      <w:r w:rsidR="006B52A7">
        <w:rPr>
          <w:rFonts w:cs="Arial"/>
        </w:rPr>
        <w:t xml:space="preserve">NKÚ </w:t>
      </w:r>
      <w:r w:rsidR="003564F9">
        <w:rPr>
          <w:rFonts w:cs="Arial"/>
        </w:rPr>
        <w:t>zjistila</w:t>
      </w:r>
      <w:r w:rsidRPr="00AC3752">
        <w:rPr>
          <w:rFonts w:cs="Arial"/>
        </w:rPr>
        <w:t xml:space="preserve">, že MZ nepostupovalo v souladu </w:t>
      </w:r>
      <w:r w:rsidR="008C2012">
        <w:rPr>
          <w:rFonts w:cs="Arial"/>
        </w:rPr>
        <w:t>s </w:t>
      </w:r>
      <w:r w:rsidRPr="00AC3752">
        <w:rPr>
          <w:rFonts w:cs="Arial"/>
        </w:rPr>
        <w:t>ustanovením</w:t>
      </w:r>
      <w:r w:rsidR="00EF371B">
        <w:rPr>
          <w:rFonts w:cs="Arial"/>
        </w:rPr>
        <w:t>i</w:t>
      </w:r>
      <w:r w:rsidRPr="00AC3752">
        <w:rPr>
          <w:rFonts w:cs="Arial"/>
        </w:rPr>
        <w:t xml:space="preserve"> § 66 odst. 1 a 9 vyhlášky č. 410/2009 Sb.</w:t>
      </w:r>
      <w:r w:rsidRPr="00AC3752">
        <w:rPr>
          <w:rStyle w:val="Znakapoznpodarou"/>
          <w:rFonts w:cs="Arial"/>
        </w:rPr>
        <w:footnoteReference w:id="7"/>
      </w:r>
      <w:r w:rsidRPr="00AC3752">
        <w:rPr>
          <w:rFonts w:cs="Arial"/>
        </w:rPr>
        <w:t xml:space="preserve"> tím, že první odpis </w:t>
      </w:r>
      <w:r w:rsidR="007D478B">
        <w:rPr>
          <w:rFonts w:cs="Arial"/>
        </w:rPr>
        <w:t>maje</w:t>
      </w:r>
      <w:r w:rsidR="00996514">
        <w:rPr>
          <w:rFonts w:cs="Arial"/>
        </w:rPr>
        <w:t>tku v celkové hodnotě 2 321 161 </w:t>
      </w:r>
      <w:r w:rsidR="007D478B">
        <w:rPr>
          <w:rFonts w:cs="Arial"/>
        </w:rPr>
        <w:t>Kč</w:t>
      </w:r>
      <w:r w:rsidRPr="00AC3752">
        <w:rPr>
          <w:rFonts w:cs="Arial"/>
        </w:rPr>
        <w:t xml:space="preserve"> zařazen</w:t>
      </w:r>
      <w:r w:rsidR="007D478B">
        <w:rPr>
          <w:rFonts w:cs="Arial"/>
        </w:rPr>
        <w:t>ého</w:t>
      </w:r>
      <w:r w:rsidRPr="00AC3752">
        <w:rPr>
          <w:rFonts w:cs="Arial"/>
        </w:rPr>
        <w:t xml:space="preserve"> do </w:t>
      </w:r>
      <w:r w:rsidR="008373E2" w:rsidRPr="00AC3752">
        <w:rPr>
          <w:rFonts w:cs="Arial"/>
        </w:rPr>
        <w:t>užívání v měsíci listopadu 2011</w:t>
      </w:r>
      <w:r w:rsidRPr="00AC3752">
        <w:rPr>
          <w:rFonts w:cs="Arial"/>
        </w:rPr>
        <w:t xml:space="preserve"> provedlo ve výši 40 % pořizovací ceny, ačkoliv okamžik zařazení dlouhodobého majetku do užívání byl MZ znám.</w:t>
      </w:r>
      <w:r w:rsidR="00DF7185" w:rsidRPr="00AC3752">
        <w:rPr>
          <w:rFonts w:cs="Arial"/>
        </w:rPr>
        <w:t xml:space="preserve"> Tímto způsobem došlo k navýšení odpisů</w:t>
      </w:r>
      <w:r w:rsidR="007D478B">
        <w:rPr>
          <w:rFonts w:cs="Arial"/>
        </w:rPr>
        <w:t xml:space="preserve"> MZ</w:t>
      </w:r>
      <w:r w:rsidR="00DF7185" w:rsidRPr="00AC3752">
        <w:rPr>
          <w:rFonts w:cs="Arial"/>
        </w:rPr>
        <w:t xml:space="preserve"> k 31. 12. 2011 minimálně o částku 904 285 Kč.</w:t>
      </w:r>
      <w:r w:rsidR="002829F9">
        <w:rPr>
          <w:rFonts w:cs="Arial"/>
        </w:rPr>
        <w:t xml:space="preserve"> </w:t>
      </w:r>
      <w:r w:rsidR="008373E2" w:rsidRPr="00AC3752">
        <w:rPr>
          <w:rFonts w:cs="Arial"/>
        </w:rPr>
        <w:t>Kontrolou bylo dále zjištěno, že</w:t>
      </w:r>
      <w:r w:rsidRPr="00AC3752">
        <w:rPr>
          <w:rFonts w:cs="Arial"/>
        </w:rPr>
        <w:t xml:space="preserve"> MZ nepostupovalo v souladu </w:t>
      </w:r>
      <w:r w:rsidR="008C2012">
        <w:rPr>
          <w:rFonts w:cs="Arial"/>
        </w:rPr>
        <w:t>s </w:t>
      </w:r>
      <w:r w:rsidRPr="00AC3752">
        <w:rPr>
          <w:rFonts w:cs="Arial"/>
        </w:rPr>
        <w:t>bodem 4.3. ČÚS č. 708</w:t>
      </w:r>
      <w:r w:rsidR="00A42C7A" w:rsidRPr="00AC3752">
        <w:rPr>
          <w:rStyle w:val="Znakapoznpodarou"/>
          <w:rFonts w:cs="Arial"/>
        </w:rPr>
        <w:footnoteReference w:id="8"/>
      </w:r>
      <w:r w:rsidR="009E7691">
        <w:rPr>
          <w:rFonts w:cs="Arial"/>
        </w:rPr>
        <w:t>, když</w:t>
      </w:r>
      <w:r w:rsidRPr="00AC3752">
        <w:rPr>
          <w:rFonts w:cs="Arial"/>
        </w:rPr>
        <w:t xml:space="preserve"> </w:t>
      </w:r>
      <w:r w:rsidR="008C2012">
        <w:rPr>
          <w:rFonts w:cs="Arial"/>
        </w:rPr>
        <w:t>v </w:t>
      </w:r>
      <w:r w:rsidR="006B52A7">
        <w:rPr>
          <w:rFonts w:cs="Arial"/>
        </w:rPr>
        <w:t xml:space="preserve">prosinci 2011 </w:t>
      </w:r>
      <w:r w:rsidR="00513661">
        <w:rPr>
          <w:rFonts w:cs="Arial"/>
        </w:rPr>
        <w:t xml:space="preserve">zařadilo do užívání majetek </w:t>
      </w:r>
      <w:r w:rsidR="007D478B">
        <w:rPr>
          <w:rFonts w:cs="Arial"/>
        </w:rPr>
        <w:t>v celkové hodnotě 601 961 Kč</w:t>
      </w:r>
      <w:r w:rsidRPr="00AC3752">
        <w:rPr>
          <w:rFonts w:cs="Arial"/>
        </w:rPr>
        <w:t xml:space="preserve"> </w:t>
      </w:r>
      <w:r w:rsidR="00513661">
        <w:rPr>
          <w:rFonts w:cs="Arial"/>
        </w:rPr>
        <w:t>a současně zahájilo jeho odepisování. O</w:t>
      </w:r>
      <w:r w:rsidRPr="00AC3752">
        <w:rPr>
          <w:rFonts w:cs="Arial"/>
        </w:rPr>
        <w:t xml:space="preserve">dpisování </w:t>
      </w:r>
      <w:r w:rsidR="00513661">
        <w:rPr>
          <w:rFonts w:cs="Arial"/>
        </w:rPr>
        <w:t xml:space="preserve">však </w:t>
      </w:r>
      <w:r w:rsidRPr="00AC3752">
        <w:rPr>
          <w:rFonts w:cs="Arial"/>
        </w:rPr>
        <w:t>mělo být zahájeno prvním dnem měsíce,</w:t>
      </w:r>
      <w:r w:rsidR="00A42C7A" w:rsidRPr="00AC3752">
        <w:rPr>
          <w:rFonts w:cs="Arial"/>
        </w:rPr>
        <w:t xml:space="preserve"> </w:t>
      </w:r>
      <w:r w:rsidRPr="00AC3752">
        <w:rPr>
          <w:rFonts w:cs="Arial"/>
        </w:rPr>
        <w:t>který</w:t>
      </w:r>
      <w:r w:rsidR="00A42C7A" w:rsidRPr="00AC3752">
        <w:rPr>
          <w:rFonts w:cs="Arial"/>
        </w:rPr>
        <w:t xml:space="preserve"> </w:t>
      </w:r>
      <w:r w:rsidRPr="00AC3752">
        <w:rPr>
          <w:rFonts w:cs="Arial"/>
        </w:rPr>
        <w:t>následuje</w:t>
      </w:r>
      <w:r w:rsidR="00A42C7A" w:rsidRPr="00AC3752">
        <w:rPr>
          <w:rFonts w:cs="Arial"/>
        </w:rPr>
        <w:t xml:space="preserve"> </w:t>
      </w:r>
      <w:r w:rsidRPr="00AC3752">
        <w:rPr>
          <w:rFonts w:cs="Arial"/>
        </w:rPr>
        <w:t>po</w:t>
      </w:r>
      <w:r w:rsidR="00A42C7A" w:rsidRPr="00AC3752">
        <w:rPr>
          <w:rFonts w:cs="Arial"/>
        </w:rPr>
        <w:t xml:space="preserve"> </w:t>
      </w:r>
      <w:r w:rsidRPr="00AC3752">
        <w:rPr>
          <w:rFonts w:cs="Arial"/>
        </w:rPr>
        <w:t xml:space="preserve">měsíci, ve kterém došlo k zařazení </w:t>
      </w:r>
      <w:r w:rsidR="00760078">
        <w:rPr>
          <w:rFonts w:cs="Arial"/>
        </w:rPr>
        <w:t xml:space="preserve">majetku </w:t>
      </w:r>
      <w:r w:rsidRPr="00AC3752">
        <w:rPr>
          <w:rFonts w:cs="Arial"/>
        </w:rPr>
        <w:t xml:space="preserve">do užívání. </w:t>
      </w:r>
      <w:r w:rsidR="00DF7185" w:rsidRPr="00AC3752">
        <w:rPr>
          <w:rFonts w:cs="Arial"/>
        </w:rPr>
        <w:t>Tímto způsobem došlo k navýšení odpisů k 31. 12. 2011 o částku 245 015 Kč.</w:t>
      </w:r>
    </w:p>
    <w:p w:rsidR="004A5844" w:rsidRPr="00AC3752" w:rsidRDefault="004A5844" w:rsidP="00401F62">
      <w:pPr>
        <w:rPr>
          <w:rFonts w:cs="Arial"/>
        </w:rPr>
      </w:pPr>
    </w:p>
    <w:p w:rsidR="00DF7185" w:rsidRDefault="00A711A3" w:rsidP="00795D92">
      <w:pPr>
        <w:rPr>
          <w:rFonts w:cs="Arial"/>
        </w:rPr>
      </w:pPr>
      <w:r w:rsidRPr="00AC3752">
        <w:rPr>
          <w:rFonts w:cs="Arial"/>
        </w:rPr>
        <w:t>Výše uvedeným postupem</w:t>
      </w:r>
      <w:r w:rsidR="00D96A07" w:rsidRPr="00AC3752">
        <w:rPr>
          <w:rFonts w:cs="Arial"/>
        </w:rPr>
        <w:t xml:space="preserve"> MZ</w:t>
      </w:r>
      <w:r w:rsidR="00DF7185" w:rsidRPr="00AC3752">
        <w:rPr>
          <w:rFonts w:cs="Arial"/>
        </w:rPr>
        <w:t xml:space="preserve"> k 31.</w:t>
      </w:r>
      <w:r w:rsidR="00D42746">
        <w:rPr>
          <w:rFonts w:cs="Arial"/>
        </w:rPr>
        <w:t> 12. 2011 nadhodnotilo účet 082 – </w:t>
      </w:r>
      <w:r w:rsidR="00DF7185" w:rsidRPr="00F34569">
        <w:rPr>
          <w:rFonts w:cs="Arial"/>
          <w:i/>
        </w:rPr>
        <w:t>Oprávky k samostatným movitým věcem a souborům movitých věcí</w:t>
      </w:r>
      <w:r w:rsidR="00DF7185" w:rsidRPr="00AC3752">
        <w:rPr>
          <w:rFonts w:cs="Arial"/>
        </w:rPr>
        <w:t xml:space="preserve"> vykazovaný ve sloupci „KOREKCE“ rozvahové položky</w:t>
      </w:r>
      <w:r w:rsidR="00F34569">
        <w:rPr>
          <w:rFonts w:cs="Arial"/>
        </w:rPr>
        <w:t xml:space="preserve"> </w:t>
      </w:r>
      <w:proofErr w:type="gramStart"/>
      <w:r w:rsidR="00DF7185" w:rsidRPr="00401F62">
        <w:rPr>
          <w:rFonts w:cs="Arial"/>
          <w:i/>
        </w:rPr>
        <w:t>A.II</w:t>
      </w:r>
      <w:proofErr w:type="gramEnd"/>
      <w:r w:rsidR="00DF7185" w:rsidRPr="00401F62">
        <w:rPr>
          <w:rFonts w:cs="Arial"/>
          <w:i/>
        </w:rPr>
        <w:t>.4.</w:t>
      </w:r>
      <w:r w:rsidR="00760078">
        <w:rPr>
          <w:rFonts w:cs="Arial"/>
          <w:i/>
        </w:rPr>
        <w:t> </w:t>
      </w:r>
      <w:r w:rsidR="00DF7185" w:rsidRPr="00F34569">
        <w:rPr>
          <w:rFonts w:cs="Arial"/>
          <w:i/>
        </w:rPr>
        <w:t>Samostatné movité věci a soubory movitých věcí</w:t>
      </w:r>
      <w:r w:rsidR="00DF7185" w:rsidRPr="00AC3752">
        <w:rPr>
          <w:rFonts w:cs="Arial"/>
        </w:rPr>
        <w:t>, čímž podhodnotilo aktiva vykazovaná v rozvahové položce</w:t>
      </w:r>
      <w:r w:rsidR="00F34569">
        <w:rPr>
          <w:rFonts w:cs="Arial"/>
        </w:rPr>
        <w:t xml:space="preserve"> </w:t>
      </w:r>
      <w:proofErr w:type="gramStart"/>
      <w:r w:rsidR="00DF7185" w:rsidRPr="00401F62">
        <w:rPr>
          <w:rFonts w:cs="Arial"/>
          <w:i/>
        </w:rPr>
        <w:t>A.II</w:t>
      </w:r>
      <w:proofErr w:type="gramEnd"/>
      <w:r w:rsidR="00DF7185" w:rsidRPr="00401F62">
        <w:rPr>
          <w:rFonts w:cs="Arial"/>
          <w:i/>
        </w:rPr>
        <w:t>.4.</w:t>
      </w:r>
      <w:r w:rsidR="00760078">
        <w:rPr>
          <w:rFonts w:cs="Arial"/>
        </w:rPr>
        <w:t> </w:t>
      </w:r>
      <w:r w:rsidR="00DF7185" w:rsidRPr="00F34569">
        <w:rPr>
          <w:rFonts w:cs="Arial"/>
          <w:i/>
        </w:rPr>
        <w:t>Samostatné movité v</w:t>
      </w:r>
      <w:r w:rsidR="00F34569" w:rsidRPr="00F34569">
        <w:rPr>
          <w:rFonts w:cs="Arial"/>
          <w:i/>
        </w:rPr>
        <w:t>ěci a </w:t>
      </w:r>
      <w:r w:rsidR="00DF7185" w:rsidRPr="00F34569">
        <w:rPr>
          <w:rFonts w:cs="Arial"/>
          <w:i/>
        </w:rPr>
        <w:t>soubory movitých věcí</w:t>
      </w:r>
      <w:r w:rsidR="00DF7185" w:rsidRPr="00AC3752">
        <w:rPr>
          <w:rFonts w:cs="Arial"/>
        </w:rPr>
        <w:t xml:space="preserve"> o částku 1 149 300 Kč. Zároveň MZ nadhodnotilo účet </w:t>
      </w:r>
      <w:r w:rsidR="00760078">
        <w:rPr>
          <w:rFonts w:cs="Arial"/>
        </w:rPr>
        <w:br/>
      </w:r>
      <w:r w:rsidR="00DF7185" w:rsidRPr="00AC3752">
        <w:rPr>
          <w:rFonts w:cs="Arial"/>
        </w:rPr>
        <w:t xml:space="preserve">406 </w:t>
      </w:r>
      <w:r w:rsidR="00D42746">
        <w:rPr>
          <w:rFonts w:cs="Arial"/>
        </w:rPr>
        <w:t>–</w:t>
      </w:r>
      <w:r w:rsidR="00DF7185" w:rsidRPr="00AC3752">
        <w:rPr>
          <w:rFonts w:cs="Arial"/>
        </w:rPr>
        <w:t xml:space="preserve"> </w:t>
      </w:r>
      <w:r w:rsidR="00DF7185" w:rsidRPr="00F34569">
        <w:rPr>
          <w:rFonts w:cs="Arial"/>
          <w:i/>
        </w:rPr>
        <w:t>Oceňovací rozdíly při změně metody</w:t>
      </w:r>
      <w:r w:rsidR="00DF7185" w:rsidRPr="00AC3752">
        <w:rPr>
          <w:rFonts w:cs="Arial"/>
        </w:rPr>
        <w:t xml:space="preserve"> k 31. 12. 2011 o částku 1 149 300 Kč.</w:t>
      </w:r>
    </w:p>
    <w:p w:rsidR="00795D92" w:rsidRPr="00AC3752" w:rsidRDefault="00795D92" w:rsidP="00795D92">
      <w:pPr>
        <w:rPr>
          <w:rFonts w:cs="Arial"/>
        </w:rPr>
      </w:pPr>
    </w:p>
    <w:p w:rsidR="00752AA8" w:rsidRPr="00AC3752" w:rsidRDefault="00752AA8" w:rsidP="00401F62">
      <w:pPr>
        <w:pStyle w:val="Odstavecseseznamem"/>
        <w:numPr>
          <w:ilvl w:val="0"/>
          <w:numId w:val="1"/>
        </w:numPr>
        <w:ind w:left="284" w:hanging="284"/>
        <w:rPr>
          <w:rFonts w:cs="Arial"/>
          <w:b/>
          <w:lang w:val="cs-CZ"/>
        </w:rPr>
      </w:pPr>
      <w:r w:rsidRPr="00AC3752">
        <w:rPr>
          <w:rFonts w:cs="Arial"/>
          <w:b/>
          <w:lang w:val="cs-CZ"/>
        </w:rPr>
        <w:t>Pohledávky a závazky MZ</w:t>
      </w:r>
    </w:p>
    <w:bookmarkEnd w:id="0"/>
    <w:p w:rsidR="004A5844" w:rsidRDefault="004A5844" w:rsidP="00401F62">
      <w:pPr>
        <w:rPr>
          <w:rFonts w:cs="Arial"/>
        </w:rPr>
      </w:pPr>
    </w:p>
    <w:p w:rsidR="008539F5" w:rsidRDefault="008539F5" w:rsidP="00401F62">
      <w:pPr>
        <w:rPr>
          <w:rFonts w:cs="Arial"/>
        </w:rPr>
      </w:pPr>
      <w:r w:rsidRPr="00AC3752">
        <w:rPr>
          <w:rFonts w:cs="Arial"/>
        </w:rPr>
        <w:t>Kontrol</w:t>
      </w:r>
      <w:r w:rsidR="00760078">
        <w:rPr>
          <w:rFonts w:cs="Arial"/>
        </w:rPr>
        <w:t>ní</w:t>
      </w:r>
      <w:r w:rsidRPr="00AC3752">
        <w:rPr>
          <w:rFonts w:cs="Arial"/>
        </w:rPr>
        <w:t xml:space="preserve"> </w:t>
      </w:r>
      <w:r w:rsidR="00760078">
        <w:rPr>
          <w:rFonts w:cs="Arial"/>
        </w:rPr>
        <w:t xml:space="preserve">akce </w:t>
      </w:r>
      <w:r w:rsidR="005D4033">
        <w:rPr>
          <w:rFonts w:cs="Arial"/>
        </w:rPr>
        <w:t xml:space="preserve">NKÚ </w:t>
      </w:r>
      <w:r w:rsidRPr="00AC3752">
        <w:rPr>
          <w:rFonts w:cs="Arial"/>
        </w:rPr>
        <w:t>zji</w:t>
      </w:r>
      <w:r w:rsidR="003564F9">
        <w:rPr>
          <w:rFonts w:cs="Arial"/>
        </w:rPr>
        <w:t>s</w:t>
      </w:r>
      <w:r w:rsidRPr="00AC3752">
        <w:rPr>
          <w:rFonts w:cs="Arial"/>
        </w:rPr>
        <w:t>t</w:t>
      </w:r>
      <w:r w:rsidR="003564F9">
        <w:rPr>
          <w:rFonts w:cs="Arial"/>
        </w:rPr>
        <w:t>ila</w:t>
      </w:r>
      <w:r w:rsidRPr="00AC3752">
        <w:rPr>
          <w:rFonts w:cs="Arial"/>
        </w:rPr>
        <w:t xml:space="preserve">, že MZ nepostupovalo v souladu </w:t>
      </w:r>
      <w:r w:rsidR="008C2012">
        <w:rPr>
          <w:rFonts w:cs="Arial"/>
        </w:rPr>
        <w:t>s </w:t>
      </w:r>
      <w:r w:rsidRPr="00AC3752">
        <w:rPr>
          <w:rFonts w:cs="Arial"/>
        </w:rPr>
        <w:t>ustanovením § 32 odst. 9 písm. c) vyhlášky č. 410/2009 Sb.</w:t>
      </w:r>
      <w:r w:rsidR="00760078">
        <w:rPr>
          <w:rFonts w:cs="Arial"/>
        </w:rPr>
        <w:t>, neboť</w:t>
      </w:r>
      <w:r w:rsidRPr="00AC3752">
        <w:rPr>
          <w:rFonts w:cs="Arial"/>
        </w:rPr>
        <w:t xml:space="preserve"> ke konci roku 2010 neúčtovalo o </w:t>
      </w:r>
      <w:r w:rsidR="00513661">
        <w:rPr>
          <w:rFonts w:cs="Arial"/>
        </w:rPr>
        <w:t>poskytnutých</w:t>
      </w:r>
      <w:r w:rsidRPr="00AC3752">
        <w:rPr>
          <w:rFonts w:cs="Arial"/>
        </w:rPr>
        <w:t xml:space="preserve"> </w:t>
      </w:r>
      <w:r w:rsidR="00A0732B">
        <w:rPr>
          <w:rFonts w:cs="Arial"/>
        </w:rPr>
        <w:t>záloh</w:t>
      </w:r>
      <w:r w:rsidR="00513661">
        <w:rPr>
          <w:rFonts w:cs="Arial"/>
        </w:rPr>
        <w:t>ách</w:t>
      </w:r>
      <w:r w:rsidRPr="00AC3752">
        <w:rPr>
          <w:rFonts w:cs="Arial"/>
        </w:rPr>
        <w:t xml:space="preserve"> ve výši</w:t>
      </w:r>
      <w:r w:rsidR="00513661">
        <w:rPr>
          <w:rFonts w:cs="Arial"/>
        </w:rPr>
        <w:t xml:space="preserve"> </w:t>
      </w:r>
      <w:r w:rsidRPr="00AC3752">
        <w:rPr>
          <w:rFonts w:cs="Arial"/>
        </w:rPr>
        <w:t>1 807 949,70</w:t>
      </w:r>
      <w:r w:rsidR="00A0732B">
        <w:rPr>
          <w:rFonts w:cs="Arial"/>
        </w:rPr>
        <w:t xml:space="preserve"> </w:t>
      </w:r>
      <w:r w:rsidRPr="00AC3752">
        <w:rPr>
          <w:rFonts w:cs="Arial"/>
        </w:rPr>
        <w:t>Kč</w:t>
      </w:r>
      <w:r w:rsidR="00A0732B">
        <w:rPr>
          <w:rFonts w:cs="Arial"/>
        </w:rPr>
        <w:t xml:space="preserve"> </w:t>
      </w:r>
      <w:r w:rsidRPr="00AC3752">
        <w:rPr>
          <w:rFonts w:cs="Arial"/>
        </w:rPr>
        <w:t>na</w:t>
      </w:r>
      <w:r w:rsidR="00A0732B">
        <w:rPr>
          <w:rFonts w:cs="Arial"/>
        </w:rPr>
        <w:t xml:space="preserve"> </w:t>
      </w:r>
      <w:r w:rsidRPr="00AC3752">
        <w:rPr>
          <w:rFonts w:cs="Arial"/>
        </w:rPr>
        <w:t>nákladové</w:t>
      </w:r>
      <w:r w:rsidR="00A0732B">
        <w:rPr>
          <w:rFonts w:cs="Arial"/>
        </w:rPr>
        <w:t xml:space="preserve"> </w:t>
      </w:r>
      <w:r w:rsidRPr="00AC3752">
        <w:rPr>
          <w:rFonts w:cs="Arial"/>
        </w:rPr>
        <w:t xml:space="preserve">účty a souvztažně na účet 389 – </w:t>
      </w:r>
      <w:r w:rsidRPr="00731DC9">
        <w:rPr>
          <w:rFonts w:cs="Arial"/>
          <w:i/>
        </w:rPr>
        <w:t>Dohadné účty pasivní</w:t>
      </w:r>
      <w:r w:rsidR="00760078">
        <w:rPr>
          <w:rFonts w:cs="Arial"/>
        </w:rPr>
        <w:t>;</w:t>
      </w:r>
      <w:r w:rsidRPr="00AC3752">
        <w:rPr>
          <w:rFonts w:cs="Arial"/>
        </w:rPr>
        <w:t xml:space="preserve"> </w:t>
      </w:r>
      <w:r w:rsidR="00760078">
        <w:rPr>
          <w:rFonts w:cs="Arial"/>
        </w:rPr>
        <w:t>přestože</w:t>
      </w:r>
      <w:r w:rsidRPr="00AC3752">
        <w:rPr>
          <w:rFonts w:cs="Arial"/>
        </w:rPr>
        <w:t xml:space="preserve"> skutečná výše závazků nebyla k okamžiku účetního případu znám</w:t>
      </w:r>
      <w:r w:rsidR="000133CD">
        <w:rPr>
          <w:rFonts w:cs="Arial"/>
        </w:rPr>
        <w:t>a</w:t>
      </w:r>
      <w:r w:rsidRPr="00AC3752">
        <w:rPr>
          <w:rFonts w:cs="Arial"/>
        </w:rPr>
        <w:t>, bylo známo</w:t>
      </w:r>
      <w:r w:rsidR="00A0732B">
        <w:rPr>
          <w:rFonts w:cs="Arial"/>
        </w:rPr>
        <w:t xml:space="preserve"> </w:t>
      </w:r>
      <w:r w:rsidRPr="00AC3752">
        <w:rPr>
          <w:rFonts w:cs="Arial"/>
        </w:rPr>
        <w:t>účetní</w:t>
      </w:r>
      <w:r w:rsidR="00A0732B">
        <w:rPr>
          <w:rFonts w:cs="Arial"/>
        </w:rPr>
        <w:t xml:space="preserve"> </w:t>
      </w:r>
      <w:r w:rsidRPr="00AC3752">
        <w:rPr>
          <w:rFonts w:cs="Arial"/>
        </w:rPr>
        <w:t>období, se kterým souvisely.</w:t>
      </w:r>
    </w:p>
    <w:p w:rsidR="004A5844" w:rsidRPr="00AC3752" w:rsidRDefault="004A5844" w:rsidP="00401F62">
      <w:pPr>
        <w:rPr>
          <w:rFonts w:cs="Arial"/>
        </w:rPr>
      </w:pPr>
    </w:p>
    <w:p w:rsidR="008539F5" w:rsidRDefault="008539F5" w:rsidP="00401F62">
      <w:pPr>
        <w:rPr>
          <w:rFonts w:cs="Arial"/>
        </w:rPr>
      </w:pPr>
      <w:r w:rsidRPr="00AC3752">
        <w:rPr>
          <w:rFonts w:cs="Arial"/>
        </w:rPr>
        <w:t xml:space="preserve">Výše uvedeným postupem MZ k 31. 12. 2010 podhodnotilo položku </w:t>
      </w:r>
      <w:proofErr w:type="gramStart"/>
      <w:r w:rsidRPr="00401F62">
        <w:rPr>
          <w:rFonts w:cs="Arial"/>
          <w:i/>
        </w:rPr>
        <w:t>A.I.</w:t>
      </w:r>
      <w:proofErr w:type="gramEnd"/>
      <w:r w:rsidR="00760078">
        <w:rPr>
          <w:rFonts w:cs="Arial"/>
        </w:rPr>
        <w:t> </w:t>
      </w:r>
      <w:r w:rsidRPr="00731DC9">
        <w:rPr>
          <w:rFonts w:cs="Arial"/>
          <w:i/>
        </w:rPr>
        <w:t>Náklady z činnosti</w:t>
      </w:r>
      <w:r w:rsidR="00885ECB">
        <w:rPr>
          <w:rFonts w:cs="Arial"/>
        </w:rPr>
        <w:t xml:space="preserve"> o </w:t>
      </w:r>
      <w:r w:rsidRPr="00AC3752">
        <w:rPr>
          <w:rFonts w:cs="Arial"/>
        </w:rPr>
        <w:t xml:space="preserve">částku 1 807 949,70 Kč a nadhodnotilo </w:t>
      </w:r>
      <w:proofErr w:type="gramStart"/>
      <w:r w:rsidRPr="00AC3752">
        <w:rPr>
          <w:rFonts w:cs="Arial"/>
        </w:rPr>
        <w:t xml:space="preserve">položku </w:t>
      </w:r>
      <w:r w:rsidRPr="00401F62">
        <w:rPr>
          <w:rFonts w:cs="Arial"/>
          <w:i/>
        </w:rPr>
        <w:t>B.VI</w:t>
      </w:r>
      <w:proofErr w:type="gramEnd"/>
      <w:r w:rsidRPr="00401F62">
        <w:rPr>
          <w:rFonts w:cs="Arial"/>
          <w:i/>
        </w:rPr>
        <w:t>.4.</w:t>
      </w:r>
      <w:r w:rsidR="00760078">
        <w:rPr>
          <w:rFonts w:cs="Arial"/>
          <w:i/>
        </w:rPr>
        <w:t> </w:t>
      </w:r>
      <w:r w:rsidRPr="00731DC9">
        <w:rPr>
          <w:rFonts w:cs="Arial"/>
          <w:i/>
        </w:rPr>
        <w:t>Výsledek hospodaření po zdanění</w:t>
      </w:r>
      <w:r w:rsidRPr="00AC3752">
        <w:rPr>
          <w:rFonts w:cs="Arial"/>
        </w:rPr>
        <w:t xml:space="preserve"> o</w:t>
      </w:r>
      <w:r w:rsidR="00E85D22">
        <w:rPr>
          <w:rFonts w:cs="Arial"/>
        </w:rPr>
        <w:t> </w:t>
      </w:r>
      <w:r w:rsidRPr="00AC3752">
        <w:rPr>
          <w:rFonts w:cs="Arial"/>
        </w:rPr>
        <w:t>částku 1 807 949,70 Kč.</w:t>
      </w:r>
    </w:p>
    <w:p w:rsidR="004A5844" w:rsidRPr="00AC3752" w:rsidRDefault="004A5844" w:rsidP="00401F62">
      <w:pPr>
        <w:rPr>
          <w:rFonts w:cs="Arial"/>
        </w:rPr>
      </w:pPr>
    </w:p>
    <w:p w:rsidR="008539F5" w:rsidRDefault="008539F5" w:rsidP="00401F62">
      <w:pPr>
        <w:rPr>
          <w:rFonts w:cs="Arial"/>
        </w:rPr>
      </w:pPr>
      <w:r w:rsidRPr="00AC3752">
        <w:rPr>
          <w:rFonts w:cs="Arial"/>
        </w:rPr>
        <w:t xml:space="preserve">Kontrolou bylo dále zjištěno, že MZ nedodrželo obsahové vymezení položky </w:t>
      </w:r>
      <w:proofErr w:type="gramStart"/>
      <w:r w:rsidRPr="00401F62">
        <w:rPr>
          <w:rFonts w:cs="Arial"/>
          <w:i/>
        </w:rPr>
        <w:t>C.I.5.</w:t>
      </w:r>
      <w:proofErr w:type="gramEnd"/>
      <w:r w:rsidR="00760078">
        <w:rPr>
          <w:rFonts w:cs="Arial"/>
          <w:i/>
        </w:rPr>
        <w:t> </w:t>
      </w:r>
      <w:r w:rsidRPr="00731DC9">
        <w:rPr>
          <w:rFonts w:cs="Arial"/>
          <w:i/>
        </w:rPr>
        <w:t>Oceňovací rozdíly při prvotním použití metody</w:t>
      </w:r>
      <w:r w:rsidRPr="00AC3752">
        <w:rPr>
          <w:rFonts w:cs="Arial"/>
        </w:rPr>
        <w:t xml:space="preserve"> tím, že k 31. 12. 2011 zaúčtovalo krátkodobé poskytnuté zálohy za rok 2007 ve výši 2 890 Kč, za rok </w:t>
      </w:r>
      <w:r w:rsidR="00D42746">
        <w:rPr>
          <w:rFonts w:cs="Arial"/>
        </w:rPr>
        <w:t>2008 ve výši 229 264 Kč, za rok</w:t>
      </w:r>
      <w:r w:rsidR="008E21F5">
        <w:rPr>
          <w:rFonts w:cs="Arial"/>
        </w:rPr>
        <w:t xml:space="preserve"> </w:t>
      </w:r>
      <w:r w:rsidRPr="00AC3752">
        <w:rPr>
          <w:rFonts w:cs="Arial"/>
        </w:rPr>
        <w:t>2009 ve výši 1 933 918,50 Kč a za rok 2010 ve výši 321 843,60 Kč, neboť se nejednalo o</w:t>
      </w:r>
      <w:r w:rsidR="00E85D22">
        <w:rPr>
          <w:rFonts w:cs="Arial"/>
        </w:rPr>
        <w:t> </w:t>
      </w:r>
      <w:r w:rsidRPr="00AC3752">
        <w:rPr>
          <w:rFonts w:cs="Arial"/>
        </w:rPr>
        <w:t>účetní metodu dle ustanovení § 55 až § 74 vyhlášky č. 410/2009 Sb. a dle bodu 7.</w:t>
      </w:r>
      <w:r w:rsidR="008E21F5">
        <w:rPr>
          <w:rFonts w:cs="Arial"/>
        </w:rPr>
        <w:t> </w:t>
      </w:r>
      <w:r w:rsidR="00760078">
        <w:rPr>
          <w:rFonts w:cs="Arial"/>
        </w:rPr>
        <w:t>českého účetního standardu</w:t>
      </w:r>
      <w:r w:rsidRPr="00AC3752">
        <w:rPr>
          <w:rFonts w:cs="Arial"/>
        </w:rPr>
        <w:t xml:space="preserve"> č. 701</w:t>
      </w:r>
      <w:r w:rsidR="00792376">
        <w:rPr>
          <w:rFonts w:cs="Arial"/>
        </w:rPr>
        <w:t xml:space="preserve"> – </w:t>
      </w:r>
      <w:r w:rsidR="00792376" w:rsidRPr="00401F62">
        <w:rPr>
          <w:bCs/>
          <w:i/>
        </w:rPr>
        <w:t>Účty a zásady účtování na účtech</w:t>
      </w:r>
      <w:r w:rsidRPr="00AC3752">
        <w:rPr>
          <w:rFonts w:cs="Arial"/>
        </w:rPr>
        <w:t>.</w:t>
      </w:r>
    </w:p>
    <w:p w:rsidR="004A5844" w:rsidRPr="00AC3752" w:rsidRDefault="004A5844" w:rsidP="00401F62">
      <w:pPr>
        <w:rPr>
          <w:rFonts w:cs="Arial"/>
        </w:rPr>
      </w:pPr>
    </w:p>
    <w:p w:rsidR="008539F5" w:rsidRDefault="008539F5" w:rsidP="00795D92">
      <w:pPr>
        <w:rPr>
          <w:rFonts w:cs="Arial"/>
        </w:rPr>
      </w:pPr>
      <w:r w:rsidRPr="00AC3752">
        <w:rPr>
          <w:rFonts w:cs="Arial"/>
        </w:rPr>
        <w:t xml:space="preserve">Tímto postupem MZ k 31. 12. 2011 nadhodnotilo položku </w:t>
      </w:r>
      <w:proofErr w:type="gramStart"/>
      <w:r w:rsidRPr="00401F62">
        <w:rPr>
          <w:rFonts w:cs="Arial"/>
          <w:i/>
        </w:rPr>
        <w:t>C.I.5.</w:t>
      </w:r>
      <w:proofErr w:type="gramEnd"/>
      <w:r w:rsidR="00760078">
        <w:rPr>
          <w:rFonts w:cs="Arial"/>
          <w:i/>
        </w:rPr>
        <w:t> </w:t>
      </w:r>
      <w:r w:rsidRPr="00731DC9">
        <w:rPr>
          <w:rFonts w:cs="Arial"/>
          <w:i/>
        </w:rPr>
        <w:t>Oceňovací rozdíly při prvotním použití metody</w:t>
      </w:r>
      <w:r w:rsidRPr="00AC3752">
        <w:rPr>
          <w:rFonts w:cs="Arial"/>
        </w:rPr>
        <w:t xml:space="preserve"> o částku 2 487 916,10 Kč.</w:t>
      </w:r>
    </w:p>
    <w:p w:rsidR="00795D92" w:rsidRDefault="00795D92" w:rsidP="00795D92">
      <w:pPr>
        <w:rPr>
          <w:rFonts w:cs="Arial"/>
        </w:rPr>
      </w:pPr>
    </w:p>
    <w:p w:rsidR="00896DAB" w:rsidRDefault="00896DAB" w:rsidP="00795D92">
      <w:pPr>
        <w:rPr>
          <w:rFonts w:cs="Arial"/>
        </w:rPr>
      </w:pPr>
    </w:p>
    <w:p w:rsidR="00B56D21" w:rsidRPr="00AC3752" w:rsidRDefault="00B56D21" w:rsidP="00401F62">
      <w:pPr>
        <w:pStyle w:val="Odstavecseseznamem"/>
        <w:numPr>
          <w:ilvl w:val="0"/>
          <w:numId w:val="1"/>
        </w:numPr>
        <w:ind w:left="284" w:hanging="284"/>
        <w:rPr>
          <w:rFonts w:cs="Arial"/>
          <w:b/>
          <w:lang w:val="cs-CZ"/>
        </w:rPr>
      </w:pPr>
      <w:r w:rsidRPr="00AC3752">
        <w:rPr>
          <w:rFonts w:cs="Arial"/>
          <w:b/>
          <w:lang w:val="cs-CZ"/>
        </w:rPr>
        <w:lastRenderedPageBreak/>
        <w:t>Inventarizace majetku MZ</w:t>
      </w:r>
    </w:p>
    <w:p w:rsidR="004A5844" w:rsidRDefault="004A5844" w:rsidP="00B56D21">
      <w:pPr>
        <w:rPr>
          <w:rFonts w:cs="Arial"/>
        </w:rPr>
      </w:pPr>
    </w:p>
    <w:p w:rsidR="00B56D21" w:rsidRPr="00AC3752" w:rsidRDefault="00B56D21" w:rsidP="00B56D21">
      <w:pPr>
        <w:rPr>
          <w:rFonts w:cs="Arial"/>
        </w:rPr>
      </w:pPr>
      <w:r w:rsidRPr="00AC3752">
        <w:rPr>
          <w:rFonts w:cs="Arial"/>
        </w:rPr>
        <w:t>Kontrol</w:t>
      </w:r>
      <w:r w:rsidR="00760078">
        <w:rPr>
          <w:rFonts w:cs="Arial"/>
        </w:rPr>
        <w:t>ní akcí</w:t>
      </w:r>
      <w:r w:rsidRPr="00AC3752">
        <w:rPr>
          <w:rFonts w:cs="Arial"/>
        </w:rPr>
        <w:t xml:space="preserve"> NKÚ bylo prověřeno provedení inventarizace majetku vykazovaného </w:t>
      </w:r>
      <w:r w:rsidR="00760078">
        <w:rPr>
          <w:rFonts w:cs="Arial"/>
        </w:rPr>
        <w:t xml:space="preserve">na </w:t>
      </w:r>
      <w:r w:rsidRPr="00AC3752">
        <w:rPr>
          <w:rFonts w:cs="Arial"/>
        </w:rPr>
        <w:t xml:space="preserve">položkách rozvahy </w:t>
      </w:r>
      <w:proofErr w:type="gramStart"/>
      <w:r w:rsidRPr="00401F62">
        <w:rPr>
          <w:rFonts w:cs="Arial"/>
          <w:i/>
        </w:rPr>
        <w:t>A.I.1.</w:t>
      </w:r>
      <w:proofErr w:type="gramEnd"/>
      <w:r w:rsidRPr="00AC3752">
        <w:rPr>
          <w:rFonts w:cs="Arial"/>
        </w:rPr>
        <w:t xml:space="preserve"> </w:t>
      </w:r>
      <w:r w:rsidRPr="00731DC9">
        <w:rPr>
          <w:rFonts w:cs="Arial"/>
          <w:i/>
        </w:rPr>
        <w:t>Nehmotné výsledky výzkumu a vývoje</w:t>
      </w:r>
      <w:r w:rsidRPr="00AC3752">
        <w:rPr>
          <w:rFonts w:cs="Arial"/>
        </w:rPr>
        <w:t xml:space="preserve">, </w:t>
      </w:r>
      <w:proofErr w:type="gramStart"/>
      <w:r w:rsidRPr="00401F62">
        <w:rPr>
          <w:rFonts w:cs="Arial"/>
          <w:i/>
        </w:rPr>
        <w:t>A.I.2.</w:t>
      </w:r>
      <w:proofErr w:type="gramEnd"/>
      <w:r w:rsidRPr="00AC3752">
        <w:rPr>
          <w:rFonts w:cs="Arial"/>
        </w:rPr>
        <w:t xml:space="preserve"> </w:t>
      </w:r>
      <w:r w:rsidRPr="00731DC9">
        <w:rPr>
          <w:rFonts w:cs="Arial"/>
          <w:i/>
        </w:rPr>
        <w:t>Software</w:t>
      </w:r>
      <w:r w:rsidRPr="00AC3752">
        <w:rPr>
          <w:rFonts w:cs="Arial"/>
        </w:rPr>
        <w:t xml:space="preserve">, </w:t>
      </w:r>
      <w:proofErr w:type="gramStart"/>
      <w:r w:rsidRPr="00401F62">
        <w:rPr>
          <w:rFonts w:cs="Arial"/>
          <w:i/>
        </w:rPr>
        <w:t>A.I.7.</w:t>
      </w:r>
      <w:proofErr w:type="gramEnd"/>
      <w:r w:rsidR="00760078">
        <w:rPr>
          <w:rFonts w:cs="Arial"/>
        </w:rPr>
        <w:t> </w:t>
      </w:r>
      <w:r w:rsidRPr="00731DC9">
        <w:rPr>
          <w:rFonts w:cs="Arial"/>
          <w:i/>
        </w:rPr>
        <w:t>Nedokončený dlouhodobý nehmotný majetek</w:t>
      </w:r>
      <w:r w:rsidRPr="00AC3752">
        <w:rPr>
          <w:rFonts w:cs="Arial"/>
        </w:rPr>
        <w:t xml:space="preserve">, </w:t>
      </w:r>
      <w:proofErr w:type="gramStart"/>
      <w:r w:rsidRPr="00401F62">
        <w:rPr>
          <w:rFonts w:cs="Arial"/>
          <w:i/>
        </w:rPr>
        <w:t>A.II</w:t>
      </w:r>
      <w:proofErr w:type="gramEnd"/>
      <w:r w:rsidRPr="00401F62">
        <w:rPr>
          <w:rFonts w:cs="Arial"/>
          <w:i/>
        </w:rPr>
        <w:t>.1.</w:t>
      </w:r>
      <w:r w:rsidRPr="00AC3752">
        <w:rPr>
          <w:rFonts w:cs="Arial"/>
        </w:rPr>
        <w:t xml:space="preserve"> </w:t>
      </w:r>
      <w:r w:rsidRPr="00731DC9">
        <w:rPr>
          <w:rFonts w:cs="Arial"/>
          <w:i/>
        </w:rPr>
        <w:t>Pozemky</w:t>
      </w:r>
      <w:r w:rsidRPr="00AC3752">
        <w:rPr>
          <w:rFonts w:cs="Arial"/>
        </w:rPr>
        <w:t xml:space="preserve">, </w:t>
      </w:r>
      <w:proofErr w:type="gramStart"/>
      <w:r w:rsidRPr="00401F62">
        <w:rPr>
          <w:rFonts w:cs="Arial"/>
          <w:i/>
        </w:rPr>
        <w:t>A.II</w:t>
      </w:r>
      <w:proofErr w:type="gramEnd"/>
      <w:r w:rsidRPr="00401F62">
        <w:rPr>
          <w:rFonts w:cs="Arial"/>
          <w:i/>
        </w:rPr>
        <w:t>.3.</w:t>
      </w:r>
      <w:r w:rsidRPr="00AC3752">
        <w:rPr>
          <w:rFonts w:cs="Arial"/>
        </w:rPr>
        <w:t xml:space="preserve"> </w:t>
      </w:r>
      <w:r w:rsidRPr="00731DC9">
        <w:rPr>
          <w:rFonts w:cs="Arial"/>
          <w:i/>
        </w:rPr>
        <w:t xml:space="preserve">Stavby </w:t>
      </w:r>
      <w:r w:rsidRPr="00AC3752">
        <w:rPr>
          <w:rFonts w:cs="Arial"/>
        </w:rPr>
        <w:t>a</w:t>
      </w:r>
      <w:r w:rsidR="00760078">
        <w:rPr>
          <w:rFonts w:cs="Arial"/>
        </w:rPr>
        <w:t> </w:t>
      </w:r>
      <w:proofErr w:type="gramStart"/>
      <w:r w:rsidRPr="00401F62">
        <w:rPr>
          <w:rFonts w:cs="Arial"/>
          <w:i/>
        </w:rPr>
        <w:t>A.II</w:t>
      </w:r>
      <w:proofErr w:type="gramEnd"/>
      <w:r w:rsidRPr="00401F62">
        <w:rPr>
          <w:rFonts w:cs="Arial"/>
          <w:i/>
        </w:rPr>
        <w:t>.8</w:t>
      </w:r>
      <w:r w:rsidR="00760078">
        <w:rPr>
          <w:rFonts w:cs="Arial"/>
          <w:i/>
        </w:rPr>
        <w:t>.</w:t>
      </w:r>
      <w:r w:rsidR="00760078">
        <w:rPr>
          <w:rFonts w:cs="Arial"/>
        </w:rPr>
        <w:t> </w:t>
      </w:r>
      <w:r w:rsidRPr="00731DC9">
        <w:rPr>
          <w:rFonts w:cs="Arial"/>
          <w:i/>
        </w:rPr>
        <w:t>Nedokončený dlouhodobý hmotný majetek</w:t>
      </w:r>
      <w:r w:rsidRPr="00AC3752">
        <w:rPr>
          <w:rFonts w:cs="Arial"/>
        </w:rPr>
        <w:t xml:space="preserve"> k 31. 12. 2010, k 31. 12. 2011 a</w:t>
      </w:r>
      <w:r w:rsidR="00760078">
        <w:rPr>
          <w:rFonts w:cs="Arial"/>
        </w:rPr>
        <w:t> </w:t>
      </w:r>
      <w:r w:rsidRPr="00AC3752">
        <w:rPr>
          <w:rFonts w:cs="Arial"/>
        </w:rPr>
        <w:t>k 31. 12. 2012. Kontrolou nebyl</w:t>
      </w:r>
      <w:r w:rsidR="00E15592">
        <w:rPr>
          <w:rFonts w:cs="Arial"/>
        </w:rPr>
        <w:t>y</w:t>
      </w:r>
      <w:r w:rsidRPr="00AC3752">
        <w:rPr>
          <w:rFonts w:cs="Arial"/>
        </w:rPr>
        <w:t xml:space="preserve"> zjištěn</w:t>
      </w:r>
      <w:r w:rsidR="00E15592">
        <w:rPr>
          <w:rFonts w:cs="Arial"/>
        </w:rPr>
        <w:t>y nedostatky.</w:t>
      </w:r>
    </w:p>
    <w:p w:rsidR="00C04506" w:rsidRDefault="00C04506" w:rsidP="00401F62">
      <w:pPr>
        <w:spacing w:line="276" w:lineRule="auto"/>
        <w:jc w:val="center"/>
        <w:rPr>
          <w:rFonts w:cs="Arial"/>
          <w:b/>
        </w:rPr>
      </w:pPr>
    </w:p>
    <w:p w:rsidR="00550BB1" w:rsidRDefault="00550BB1" w:rsidP="00401F62">
      <w:pPr>
        <w:spacing w:line="276" w:lineRule="auto"/>
        <w:jc w:val="center"/>
        <w:rPr>
          <w:rFonts w:cs="Arial"/>
          <w:b/>
        </w:rPr>
      </w:pPr>
    </w:p>
    <w:p w:rsidR="00B33E13" w:rsidRPr="00401F62" w:rsidRDefault="00B33E13" w:rsidP="00401F62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401F62">
        <w:rPr>
          <w:rFonts w:cs="Arial"/>
          <w:b/>
          <w:sz w:val="24"/>
          <w:szCs w:val="24"/>
        </w:rPr>
        <w:t>III. Shrnutí</w:t>
      </w:r>
    </w:p>
    <w:p w:rsidR="004A5844" w:rsidRDefault="004A5844" w:rsidP="00401F62">
      <w:pPr>
        <w:spacing w:line="276" w:lineRule="auto"/>
        <w:jc w:val="center"/>
        <w:rPr>
          <w:rFonts w:cs="Arial"/>
          <w:b/>
        </w:rPr>
      </w:pPr>
    </w:p>
    <w:p w:rsidR="003564F9" w:rsidRDefault="00762D6F" w:rsidP="00401F62">
      <w:pPr>
        <w:rPr>
          <w:rFonts w:cs="Arial"/>
          <w:b/>
        </w:rPr>
      </w:pPr>
      <w:r>
        <w:rPr>
          <w:rFonts w:cs="Arial"/>
          <w:b/>
        </w:rPr>
        <w:t xml:space="preserve">NKÚ zkontroloval </w:t>
      </w:r>
      <w:r w:rsidR="008E21F5">
        <w:rPr>
          <w:rFonts w:cs="Arial"/>
          <w:b/>
        </w:rPr>
        <w:t xml:space="preserve">u MZ </w:t>
      </w:r>
      <w:r>
        <w:rPr>
          <w:rFonts w:cs="Arial"/>
          <w:b/>
        </w:rPr>
        <w:t>majetek</w:t>
      </w:r>
      <w:r w:rsidR="009E7971">
        <w:rPr>
          <w:rFonts w:cs="Arial"/>
          <w:b/>
        </w:rPr>
        <w:t>,</w:t>
      </w:r>
      <w:r w:rsidR="003564F9">
        <w:rPr>
          <w:rFonts w:cs="Arial"/>
          <w:b/>
        </w:rPr>
        <w:t xml:space="preserve"> </w:t>
      </w:r>
      <w:r w:rsidR="009E7971">
        <w:rPr>
          <w:rFonts w:cs="Arial"/>
          <w:b/>
        </w:rPr>
        <w:t>vybran</w:t>
      </w:r>
      <w:r w:rsidR="008E21F5">
        <w:rPr>
          <w:rFonts w:cs="Arial"/>
          <w:b/>
        </w:rPr>
        <w:t>é</w:t>
      </w:r>
      <w:r w:rsidR="009E7971">
        <w:rPr>
          <w:rFonts w:cs="Arial"/>
          <w:b/>
        </w:rPr>
        <w:t xml:space="preserve"> náklad</w:t>
      </w:r>
      <w:r w:rsidR="008E21F5">
        <w:rPr>
          <w:rFonts w:cs="Arial"/>
          <w:b/>
        </w:rPr>
        <w:t>y</w:t>
      </w:r>
      <w:r w:rsidR="009E7971">
        <w:rPr>
          <w:rFonts w:cs="Arial"/>
          <w:b/>
        </w:rPr>
        <w:t xml:space="preserve"> a výdaj</w:t>
      </w:r>
      <w:r w:rsidR="008E21F5">
        <w:rPr>
          <w:rFonts w:cs="Arial"/>
          <w:b/>
        </w:rPr>
        <w:t>e</w:t>
      </w:r>
      <w:r w:rsidR="009E7971">
        <w:rPr>
          <w:rFonts w:cs="Arial"/>
          <w:b/>
        </w:rPr>
        <w:t xml:space="preserve"> na zajištění činnost</w:t>
      </w:r>
      <w:r w:rsidR="00C74CFD">
        <w:rPr>
          <w:rFonts w:cs="Arial"/>
          <w:b/>
        </w:rPr>
        <w:t>i</w:t>
      </w:r>
      <w:r w:rsidR="00721C78">
        <w:rPr>
          <w:rFonts w:cs="Arial"/>
          <w:b/>
        </w:rPr>
        <w:t>,</w:t>
      </w:r>
      <w:r w:rsidR="008E21F5">
        <w:rPr>
          <w:rFonts w:cs="Arial"/>
          <w:b/>
        </w:rPr>
        <w:t xml:space="preserve"> to vše</w:t>
      </w:r>
      <w:r w:rsidR="009E7971">
        <w:rPr>
          <w:rFonts w:cs="Arial"/>
          <w:b/>
        </w:rPr>
        <w:t xml:space="preserve"> </w:t>
      </w:r>
      <w:r>
        <w:rPr>
          <w:rFonts w:cs="Arial"/>
          <w:b/>
        </w:rPr>
        <w:t xml:space="preserve">v celkové hodnotě 521 735 757 Kč. </w:t>
      </w:r>
    </w:p>
    <w:p w:rsidR="004A5844" w:rsidRDefault="004A5844" w:rsidP="00401F62">
      <w:pPr>
        <w:rPr>
          <w:rFonts w:cs="Arial"/>
          <w:b/>
        </w:rPr>
      </w:pPr>
    </w:p>
    <w:p w:rsidR="00697BE1" w:rsidRDefault="00762D6F" w:rsidP="00697BE1">
      <w:pPr>
        <w:rPr>
          <w:rFonts w:cs="Arial"/>
          <w:b/>
        </w:rPr>
      </w:pPr>
      <w:r>
        <w:rPr>
          <w:rFonts w:cs="Arial"/>
          <w:b/>
        </w:rPr>
        <w:t xml:space="preserve">Kontrolou bylo zjištěno, že účetnictví MZ nebylo v letech 2009 až 2013 správné ve smyslu ustanovení § 8 odst. 2 zákona č. 563/1991 Sb. Nesprávnost účetnictví </w:t>
      </w:r>
      <w:r w:rsidR="008E21F5">
        <w:rPr>
          <w:rFonts w:cs="Arial"/>
          <w:b/>
        </w:rPr>
        <w:t>byla způsobena tím</w:t>
      </w:r>
      <w:r w:rsidR="003564F9">
        <w:rPr>
          <w:rFonts w:cs="Arial"/>
          <w:b/>
        </w:rPr>
        <w:t>, že</w:t>
      </w:r>
      <w:r w:rsidR="008E21F5">
        <w:rPr>
          <w:rFonts w:cs="Arial"/>
          <w:b/>
        </w:rPr>
        <w:t xml:space="preserve"> MZ</w:t>
      </w:r>
      <w:r w:rsidR="00697BE1">
        <w:rPr>
          <w:rFonts w:cs="Arial"/>
          <w:b/>
        </w:rPr>
        <w:t>:</w:t>
      </w:r>
    </w:p>
    <w:p w:rsidR="00F75783" w:rsidRDefault="00697BE1" w:rsidP="00697BE1">
      <w:pPr>
        <w:pStyle w:val="Odstavecseseznamem"/>
        <w:numPr>
          <w:ilvl w:val="0"/>
          <w:numId w:val="5"/>
        </w:numPr>
        <w:rPr>
          <w:rFonts w:cs="Arial"/>
          <w:b/>
          <w:lang w:val="cs-CZ"/>
        </w:rPr>
      </w:pPr>
      <w:r w:rsidRPr="00697BE1">
        <w:rPr>
          <w:rFonts w:cs="Arial"/>
          <w:b/>
          <w:lang w:val="cs-CZ"/>
        </w:rPr>
        <w:t>účtov</w:t>
      </w:r>
      <w:r w:rsidR="003564F9">
        <w:rPr>
          <w:rFonts w:cs="Arial"/>
          <w:b/>
          <w:lang w:val="cs-CZ"/>
        </w:rPr>
        <w:t>alo</w:t>
      </w:r>
      <w:r w:rsidRPr="00697BE1">
        <w:rPr>
          <w:rFonts w:cs="Arial"/>
          <w:b/>
          <w:lang w:val="cs-CZ"/>
        </w:rPr>
        <w:t xml:space="preserve"> o nakládání s majetkem a o nákladech na zajištění činnosti do účetních období, </w:t>
      </w:r>
      <w:r w:rsidR="008E21F5">
        <w:rPr>
          <w:rFonts w:cs="Arial"/>
          <w:b/>
          <w:lang w:val="cs-CZ"/>
        </w:rPr>
        <w:t xml:space="preserve">s nimiž </w:t>
      </w:r>
      <w:r w:rsidR="00896DAB">
        <w:rPr>
          <w:rFonts w:cs="Arial"/>
          <w:b/>
          <w:lang w:val="cs-CZ"/>
        </w:rPr>
        <w:t>dané</w:t>
      </w:r>
      <w:r w:rsidR="008E21F5">
        <w:rPr>
          <w:rFonts w:cs="Arial"/>
          <w:b/>
          <w:lang w:val="cs-CZ"/>
        </w:rPr>
        <w:t xml:space="preserve"> účetní případy</w:t>
      </w:r>
      <w:r w:rsidRPr="00697BE1">
        <w:rPr>
          <w:rFonts w:cs="Arial"/>
          <w:b/>
          <w:lang w:val="cs-CZ"/>
        </w:rPr>
        <w:t xml:space="preserve"> věcně a</w:t>
      </w:r>
      <w:r w:rsidR="008E21F5">
        <w:rPr>
          <w:rFonts w:cs="Arial"/>
          <w:b/>
          <w:lang w:val="cs-CZ"/>
        </w:rPr>
        <w:t>ni</w:t>
      </w:r>
      <w:r w:rsidRPr="00697BE1">
        <w:rPr>
          <w:rFonts w:cs="Arial"/>
          <w:b/>
          <w:lang w:val="cs-CZ"/>
        </w:rPr>
        <w:t xml:space="preserve"> časově nesouvisel</w:t>
      </w:r>
      <w:r w:rsidR="008E21F5">
        <w:rPr>
          <w:rFonts w:cs="Arial"/>
          <w:b/>
          <w:lang w:val="cs-CZ"/>
        </w:rPr>
        <w:t>y</w:t>
      </w:r>
      <w:r w:rsidR="00F75783">
        <w:rPr>
          <w:rFonts w:cs="Arial"/>
          <w:b/>
          <w:lang w:val="cs-CZ"/>
        </w:rPr>
        <w:t>;</w:t>
      </w:r>
    </w:p>
    <w:p w:rsidR="00B96BDB" w:rsidRDefault="00F75783" w:rsidP="00697BE1">
      <w:pPr>
        <w:pStyle w:val="Odstavecseseznamem"/>
        <w:numPr>
          <w:ilvl w:val="0"/>
          <w:numId w:val="5"/>
        </w:numPr>
        <w:rPr>
          <w:rFonts w:cs="Arial"/>
          <w:b/>
          <w:lang w:val="cs-CZ"/>
        </w:rPr>
      </w:pPr>
      <w:r>
        <w:rPr>
          <w:rFonts w:cs="Arial"/>
          <w:b/>
          <w:lang w:val="cs-CZ"/>
        </w:rPr>
        <w:t>nedodrže</w:t>
      </w:r>
      <w:r w:rsidR="003564F9">
        <w:rPr>
          <w:rFonts w:cs="Arial"/>
          <w:b/>
          <w:lang w:val="cs-CZ"/>
        </w:rPr>
        <w:t>lo</w:t>
      </w:r>
      <w:r>
        <w:rPr>
          <w:rFonts w:cs="Arial"/>
          <w:b/>
          <w:lang w:val="cs-CZ"/>
        </w:rPr>
        <w:t xml:space="preserve"> obsahové vymezení polože</w:t>
      </w:r>
      <w:r w:rsidR="00941447">
        <w:rPr>
          <w:rFonts w:cs="Arial"/>
          <w:b/>
          <w:lang w:val="cs-CZ"/>
        </w:rPr>
        <w:t>k účetní závěrky při účtování o </w:t>
      </w:r>
      <w:r>
        <w:rPr>
          <w:rFonts w:cs="Arial"/>
          <w:b/>
          <w:lang w:val="cs-CZ"/>
        </w:rPr>
        <w:t>nakládání s majetkem;</w:t>
      </w:r>
    </w:p>
    <w:p w:rsidR="00B349C0" w:rsidRPr="00B349C0" w:rsidRDefault="00B349C0" w:rsidP="00401F62">
      <w:pPr>
        <w:pStyle w:val="Odstavecseseznamem"/>
        <w:numPr>
          <w:ilvl w:val="0"/>
          <w:numId w:val="5"/>
        </w:numPr>
        <w:ind w:left="777" w:hanging="357"/>
        <w:rPr>
          <w:rFonts w:cs="Arial"/>
          <w:b/>
          <w:lang w:val="cs-CZ"/>
        </w:rPr>
      </w:pPr>
      <w:r>
        <w:rPr>
          <w:rFonts w:cs="Arial"/>
          <w:b/>
          <w:lang w:val="cs-CZ"/>
        </w:rPr>
        <w:t>odepisov</w:t>
      </w:r>
      <w:r w:rsidR="003564F9">
        <w:rPr>
          <w:rFonts w:cs="Arial"/>
          <w:b/>
          <w:lang w:val="cs-CZ"/>
        </w:rPr>
        <w:t>alo</w:t>
      </w:r>
      <w:r>
        <w:rPr>
          <w:rFonts w:cs="Arial"/>
          <w:b/>
          <w:lang w:val="cs-CZ"/>
        </w:rPr>
        <w:t xml:space="preserve"> majet</w:t>
      </w:r>
      <w:r w:rsidR="003564F9">
        <w:rPr>
          <w:rFonts w:cs="Arial"/>
          <w:b/>
          <w:lang w:val="cs-CZ"/>
        </w:rPr>
        <w:t>e</w:t>
      </w:r>
      <w:r>
        <w:rPr>
          <w:rFonts w:cs="Arial"/>
          <w:b/>
          <w:lang w:val="cs-CZ"/>
        </w:rPr>
        <w:t>k v nesprávné výši.</w:t>
      </w:r>
    </w:p>
    <w:p w:rsidR="004A5844" w:rsidRDefault="004A5844" w:rsidP="00401F62">
      <w:pPr>
        <w:rPr>
          <w:rFonts w:cs="Arial"/>
          <w:b/>
        </w:rPr>
      </w:pPr>
    </w:p>
    <w:p w:rsidR="00B96BDB" w:rsidRDefault="00B96BDB" w:rsidP="00401F62">
      <w:pPr>
        <w:rPr>
          <w:rFonts w:cs="Arial"/>
          <w:b/>
        </w:rPr>
      </w:pPr>
      <w:r w:rsidRPr="00B96BDB">
        <w:rPr>
          <w:rFonts w:cs="Arial"/>
          <w:b/>
        </w:rPr>
        <w:t xml:space="preserve">Nesprávným účtováním ovlivnilo </w:t>
      </w:r>
      <w:r w:rsidR="008E21F5" w:rsidRPr="00B96BDB">
        <w:rPr>
          <w:rFonts w:cs="Arial"/>
          <w:b/>
        </w:rPr>
        <w:t xml:space="preserve">MZ </w:t>
      </w:r>
      <w:r w:rsidRPr="00B96BDB">
        <w:rPr>
          <w:rFonts w:cs="Arial"/>
          <w:b/>
        </w:rPr>
        <w:t>výsledek hospodaření v letech 2010 až 2013.</w:t>
      </w:r>
      <w:r w:rsidR="00B349C0">
        <w:rPr>
          <w:rFonts w:cs="Arial"/>
          <w:b/>
        </w:rPr>
        <w:t xml:space="preserve"> V roce 2010 měl být výsledek hospodaření</w:t>
      </w:r>
      <w:r w:rsidR="00896B40" w:rsidRPr="00896B40">
        <w:rPr>
          <w:rFonts w:cs="Arial"/>
          <w:b/>
        </w:rPr>
        <w:t xml:space="preserve"> </w:t>
      </w:r>
      <w:r w:rsidR="00896B40">
        <w:rPr>
          <w:rFonts w:cs="Arial"/>
          <w:b/>
        </w:rPr>
        <w:t>nižší</w:t>
      </w:r>
      <w:r w:rsidR="00B349C0">
        <w:rPr>
          <w:rFonts w:cs="Arial"/>
          <w:b/>
        </w:rPr>
        <w:t xml:space="preserve"> minimálně o 19 994 738 Kč. V letech 2011 až 2013 měl být výsledek hospodaření MZ </w:t>
      </w:r>
      <w:r w:rsidR="00896B40">
        <w:rPr>
          <w:rFonts w:cs="Arial"/>
          <w:b/>
        </w:rPr>
        <w:t>vyšší</w:t>
      </w:r>
      <w:r w:rsidR="008E21F5">
        <w:rPr>
          <w:rFonts w:cs="Arial"/>
          <w:b/>
        </w:rPr>
        <w:t>,</w:t>
      </w:r>
      <w:r w:rsidR="003564F9">
        <w:rPr>
          <w:rFonts w:cs="Arial"/>
          <w:b/>
        </w:rPr>
        <w:t xml:space="preserve"> a to minimálně o 2 533 865 Kč</w:t>
      </w:r>
      <w:r w:rsidR="003564F9" w:rsidRPr="003564F9">
        <w:rPr>
          <w:rFonts w:cs="Arial"/>
          <w:b/>
        </w:rPr>
        <w:t xml:space="preserve"> </w:t>
      </w:r>
      <w:r w:rsidR="003564F9">
        <w:rPr>
          <w:rFonts w:cs="Arial"/>
          <w:b/>
        </w:rPr>
        <w:t>v roce 2011,</w:t>
      </w:r>
      <w:r w:rsidR="00C74CFD">
        <w:rPr>
          <w:rFonts w:cs="Arial"/>
          <w:b/>
        </w:rPr>
        <w:t xml:space="preserve"> </w:t>
      </w:r>
      <w:r w:rsidR="003564F9">
        <w:rPr>
          <w:rFonts w:cs="Arial"/>
          <w:b/>
        </w:rPr>
        <w:t xml:space="preserve">o 2 236 483 Kč v roce 2012 a o 4 821 439 Kč v roce 2013. </w:t>
      </w:r>
    </w:p>
    <w:p w:rsidR="004A5844" w:rsidRPr="00B96BDB" w:rsidRDefault="004A5844" w:rsidP="00401F62">
      <w:pPr>
        <w:rPr>
          <w:rFonts w:cs="Arial"/>
          <w:b/>
        </w:rPr>
      </w:pPr>
    </w:p>
    <w:p w:rsidR="00B96BDB" w:rsidRPr="00896B40" w:rsidRDefault="00762D6F" w:rsidP="00896B40">
      <w:pPr>
        <w:spacing w:after="120"/>
        <w:rPr>
          <w:rFonts w:cs="Arial"/>
          <w:b/>
        </w:rPr>
      </w:pPr>
      <w:r w:rsidRPr="00B96BDB">
        <w:rPr>
          <w:rFonts w:cs="Arial"/>
          <w:b/>
        </w:rPr>
        <w:t>MZ v kontrolovaném období uhradilo obchodním společnostem celkem 3 240 960 Kč za plnění související s</w:t>
      </w:r>
      <w:r w:rsidR="00237B94">
        <w:rPr>
          <w:rFonts w:cs="Arial"/>
          <w:b/>
        </w:rPr>
        <w:t xml:space="preserve"> nerealizovaným </w:t>
      </w:r>
      <w:r w:rsidR="008A661D">
        <w:rPr>
          <w:rFonts w:cs="Arial"/>
          <w:b/>
        </w:rPr>
        <w:t xml:space="preserve">projektem </w:t>
      </w:r>
      <w:r w:rsidRPr="00B96BDB">
        <w:rPr>
          <w:rFonts w:cs="Arial"/>
          <w:b/>
        </w:rPr>
        <w:t>reorganizac</w:t>
      </w:r>
      <w:r w:rsidR="008A661D">
        <w:rPr>
          <w:rFonts w:cs="Arial"/>
          <w:b/>
        </w:rPr>
        <w:t>e</w:t>
      </w:r>
      <w:r w:rsidRPr="00B96BDB">
        <w:rPr>
          <w:rFonts w:cs="Arial"/>
          <w:b/>
        </w:rPr>
        <w:t xml:space="preserve"> ICT na MZ</w:t>
      </w:r>
      <w:r w:rsidR="00237B94">
        <w:rPr>
          <w:rFonts w:cs="Arial"/>
          <w:b/>
        </w:rPr>
        <w:t>.</w:t>
      </w:r>
    </w:p>
    <w:p w:rsidR="00DA2E9C" w:rsidRDefault="00DA2E9C" w:rsidP="003C5721">
      <w:pPr>
        <w:spacing w:after="120" w:line="276" w:lineRule="auto"/>
        <w:jc w:val="center"/>
        <w:rPr>
          <w:rFonts w:cs="Arial"/>
          <w:b/>
        </w:rPr>
      </w:pPr>
    </w:p>
    <w:p w:rsidR="0074582C" w:rsidRDefault="0074582C">
      <w:r>
        <w:br w:type="page"/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495"/>
        <w:gridCol w:w="1643"/>
        <w:gridCol w:w="496"/>
        <w:gridCol w:w="1235"/>
        <w:gridCol w:w="1076"/>
        <w:gridCol w:w="1176"/>
        <w:gridCol w:w="733"/>
        <w:gridCol w:w="1262"/>
      </w:tblGrid>
      <w:tr w:rsidR="0074582C" w:rsidTr="00AE75A5">
        <w:trPr>
          <w:trHeight w:val="420"/>
        </w:trPr>
        <w:tc>
          <w:tcPr>
            <w:tcW w:w="6625" w:type="dxa"/>
            <w:gridSpan w:val="7"/>
            <w:noWrap/>
            <w:vAlign w:val="bottom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lastRenderedPageBreak/>
              <w:t>Příloha č. 1 kontrolního závěru z kontrolní akce 13/31</w:t>
            </w:r>
          </w:p>
        </w:tc>
        <w:tc>
          <w:tcPr>
            <w:tcW w:w="733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1262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</w:tr>
      <w:tr w:rsidR="0074582C" w:rsidTr="00AE75A5">
        <w:trPr>
          <w:trHeight w:val="225"/>
        </w:trPr>
        <w:tc>
          <w:tcPr>
            <w:tcW w:w="504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495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1643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496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1235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1076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1176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733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1262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</w:tr>
      <w:tr w:rsidR="0074582C" w:rsidTr="00AE75A5">
        <w:trPr>
          <w:trHeight w:val="375"/>
        </w:trPr>
        <w:tc>
          <w:tcPr>
            <w:tcW w:w="2642" w:type="dxa"/>
            <w:gridSpan w:val="3"/>
            <w:noWrap/>
            <w:vAlign w:val="bottom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VLIV NA ÚČETNÍ VÝKAZY MZ</w:t>
            </w:r>
          </w:p>
        </w:tc>
        <w:tc>
          <w:tcPr>
            <w:tcW w:w="496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1235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1076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1176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733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1262" w:type="dxa"/>
            <w:noWrap/>
            <w:vAlign w:val="bottom"/>
            <w:hideMark/>
          </w:tcPr>
          <w:p w:rsidR="0074582C" w:rsidRDefault="0074582C" w:rsidP="00AE75A5">
            <w:pPr>
              <w:spacing w:line="276" w:lineRule="auto"/>
            </w:pPr>
          </w:p>
        </w:tc>
      </w:tr>
      <w:tr w:rsidR="0074582C" w:rsidTr="00AE75A5">
        <w:trPr>
          <w:trHeight w:val="300"/>
        </w:trPr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Rok</w:t>
            </w:r>
          </w:p>
        </w:tc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Kap. KZ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Předmět kontroly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Účet</w:t>
            </w: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Rozvaha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Výkaz zisku a ztráty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Výsledek hospodaření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Aktiva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Pasiva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Náklady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Výnosy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74582C" w:rsidTr="00AE75A5">
        <w:trPr>
          <w:trHeight w:val="22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2009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4582C" w:rsidRDefault="004419F7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II.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  <w:proofErr w:type="gramEnd"/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Ezp</w:t>
            </w:r>
            <w:proofErr w:type="spellEnd"/>
          </w:p>
        </w:tc>
        <w:tc>
          <w:tcPr>
            <w:tcW w:w="496" w:type="dxa"/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041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602 259,00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602 259,00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602 259,00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602 259,00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24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4419F7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II.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  <w:proofErr w:type="gramEnd"/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Kultivace seznamu zdrav. </w:t>
            </w: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výkonů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041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1 315 635,00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1 359 271,00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43 636,00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DD459D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43 636,00</w:t>
            </w:r>
          </w:p>
        </w:tc>
      </w:tr>
      <w:tr w:rsidR="0074582C" w:rsidTr="00AE75A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Audit fakultních nemocnic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012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DD459D" w:rsidP="00DD459D">
            <w:pPr>
              <w:ind w:left="-74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22 920 000,00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22 920 000,00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DD459D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22 920 000,00</w:t>
            </w:r>
          </w:p>
        </w:tc>
      </w:tr>
      <w:tr w:rsidR="0074582C" w:rsidTr="00AE75A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Spisová služba</w:t>
            </w:r>
          </w:p>
        </w:tc>
        <w:tc>
          <w:tcPr>
            <w:tcW w:w="496" w:type="dxa"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2 814 840,00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1 962 008,00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4 776 848,00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4 776 848,00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4 776 848,00</w:t>
            </w:r>
          </w:p>
        </w:tc>
      </w:tr>
      <w:tr w:rsidR="0074582C" w:rsidTr="00AE75A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4419F7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II.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6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Zálohové platby</w:t>
            </w:r>
          </w:p>
        </w:tc>
        <w:tc>
          <w:tcPr>
            <w:tcW w:w="496" w:type="dxa"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1 807 949,70</w:t>
            </w:r>
          </w:p>
        </w:tc>
        <w:tc>
          <w:tcPr>
            <w:tcW w:w="733" w:type="dxa"/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1 807 949,70</w:t>
            </w:r>
          </w:p>
        </w:tc>
      </w:tr>
      <w:tr w:rsidR="0074582C" w:rsidTr="00AE75A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DD459D" w:rsidP="00DD459D">
            <w:pPr>
              <w:ind w:left="-74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b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16 827 517,00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6 136 119,00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19 994 737,70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DD459D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b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19 994 737,70</w:t>
            </w:r>
          </w:p>
        </w:tc>
      </w:tr>
      <w:tr w:rsidR="0074582C" w:rsidTr="00AE75A5">
        <w:trPr>
          <w:trHeight w:val="52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4582C" w:rsidRDefault="004419F7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II.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  <w:proofErr w:type="gramEnd"/>
          </w:p>
        </w:tc>
        <w:tc>
          <w:tcPr>
            <w:tcW w:w="1643" w:type="dxa"/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Kultivace seznamu zdrav. </w:t>
            </w: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výkonů</w:t>
            </w:r>
            <w:proofErr w:type="gramEnd"/>
          </w:p>
        </w:tc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43 636,00</w:t>
            </w:r>
          </w:p>
        </w:tc>
        <w:tc>
          <w:tcPr>
            <w:tcW w:w="733" w:type="dxa"/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43 636,00</w:t>
            </w:r>
          </w:p>
        </w:tc>
      </w:tr>
      <w:tr w:rsidR="0074582C" w:rsidTr="00AE75A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Audit fakultních nemocnic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072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8 595 000,00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551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8 595 000,00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8 595 000,00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Spisová služba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4 776 848,00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4 776 848,00</w:t>
            </w:r>
          </w:p>
        </w:tc>
      </w:tr>
      <w:tr w:rsidR="0074582C" w:rsidTr="00AE75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4582C" w:rsidRDefault="004419F7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II.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proofErr w:type="gramEnd"/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Outsourcingované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služby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1 327 922,86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noWrap/>
            <w:vAlign w:val="center"/>
            <w:hideMark/>
          </w:tcPr>
          <w:p w:rsidR="0074582C" w:rsidRDefault="0074582C" w:rsidP="00AE75A5">
            <w:pPr>
              <w:spacing w:line="276" w:lineRule="auto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80 212,06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80 212,06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1 247 710,80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1 247 710,80</w:t>
            </w:r>
          </w:p>
        </w:tc>
      </w:tr>
      <w:tr w:rsidR="0074582C" w:rsidTr="00AE75A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8 595 000,00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1 327 922,86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DD459D" w:rsidP="00DD459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b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2 533 865,14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2 533 865,14</w:t>
            </w:r>
          </w:p>
        </w:tc>
      </w:tr>
      <w:tr w:rsidR="0074582C" w:rsidTr="00AE75A5">
        <w:trPr>
          <w:trHeight w:val="22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4419F7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II.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  <w:proofErr w:type="gramEnd"/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Audit fakultních nemocnic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072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2 865 000,00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551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2 865 000,00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2 865 000,00</w:t>
            </w:r>
          </w:p>
        </w:tc>
      </w:tr>
      <w:tr w:rsidR="0074582C" w:rsidTr="00AE75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4582C" w:rsidRDefault="004419F7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II.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proofErr w:type="gramEnd"/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Outsourcingované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služby 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80 212,06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80 212,06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1 247 710,80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1 247 710,80</w:t>
            </w:r>
          </w:p>
        </w:tc>
      </w:tr>
      <w:tr w:rsidR="0074582C" w:rsidTr="00AE75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Outsourcingované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služby 2</w:t>
            </w:r>
          </w:p>
        </w:tc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1 249 906,40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511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119 186,00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119 186,00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1 130 720,40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1 130 720,40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Komoditní burza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706 533,00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706 533,00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706 533,00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2 865 000,00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1 956 439,40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DD459D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b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2 236 483,46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2 236 483,46</w:t>
            </w:r>
          </w:p>
        </w:tc>
      </w:tr>
      <w:tr w:rsidR="0074582C" w:rsidTr="00AE75A5">
        <w:trPr>
          <w:trHeight w:val="24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4582C" w:rsidRDefault="004419F7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II.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  <w:proofErr w:type="gramEnd"/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Audit fakultních nemocnic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072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2 865 000,00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551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2 865 000,00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2 865 000,00</w:t>
            </w:r>
          </w:p>
        </w:tc>
      </w:tr>
      <w:tr w:rsidR="0074582C" w:rsidTr="00AE75A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74582C" w:rsidRDefault="004419F7" w:rsidP="00AE75A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II.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proofErr w:type="gramEnd"/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Outsourcingované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služby 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119 186,00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119 186,00</w:t>
            </w:r>
          </w:p>
        </w:tc>
      </w:tr>
      <w:tr w:rsidR="0074582C" w:rsidTr="00AE75A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1 130 720,40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1 130 720,40</w:t>
            </w:r>
          </w:p>
        </w:tc>
      </w:tr>
      <w:tr w:rsidR="0074582C" w:rsidTr="00AE75A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74582C" w:rsidRDefault="0074582C" w:rsidP="008B54CC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Komoditní burza</w:t>
            </w:r>
          </w:p>
        </w:tc>
        <w:tc>
          <w:tcPr>
            <w:tcW w:w="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582C" w:rsidRDefault="009E110A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sz w:val="16"/>
                <w:szCs w:val="16"/>
              </w:rPr>
              <w:t>−</w:t>
            </w:r>
            <w:bookmarkStart w:id="1" w:name="_GoBack"/>
            <w:bookmarkEnd w:id="1"/>
            <w:r w:rsidR="0074582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706 533,00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706 533,00</w:t>
            </w:r>
          </w:p>
        </w:tc>
      </w:tr>
      <w:tr w:rsidR="0074582C" w:rsidTr="00AE75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74582C" w:rsidRDefault="0074582C" w:rsidP="00AE75A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2 865 000,00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DD459D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D459D">
              <w:rPr>
                <w:rFonts w:cs="Arial"/>
                <w:b/>
                <w:sz w:val="16"/>
                <w:szCs w:val="16"/>
              </w:rPr>
              <w:t>−</w:t>
            </w:r>
            <w:r w:rsidR="0074582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4 821 439,40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74582C" w:rsidRDefault="0074582C" w:rsidP="00AE75A5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4 821 439,40</w:t>
            </w:r>
          </w:p>
        </w:tc>
      </w:tr>
    </w:tbl>
    <w:p w:rsidR="0074582C" w:rsidRPr="003C5721" w:rsidRDefault="0074582C" w:rsidP="0074582C">
      <w:pPr>
        <w:spacing w:after="120" w:line="276" w:lineRule="auto"/>
        <w:jc w:val="center"/>
        <w:rPr>
          <w:rFonts w:cs="Arial"/>
          <w:b/>
        </w:rPr>
      </w:pPr>
    </w:p>
    <w:p w:rsidR="00DA2E9C" w:rsidRPr="003C5721" w:rsidRDefault="00DA2E9C" w:rsidP="003C5721">
      <w:pPr>
        <w:spacing w:after="120" w:line="276" w:lineRule="auto"/>
        <w:jc w:val="center"/>
        <w:rPr>
          <w:rFonts w:cs="Arial"/>
          <w:b/>
        </w:rPr>
      </w:pPr>
    </w:p>
    <w:sectPr w:rsidR="00DA2E9C" w:rsidRPr="003C5721" w:rsidSect="00121518">
      <w:footerReference w:type="default" r:id="rId13"/>
      <w:pgSz w:w="11906" w:h="16838"/>
      <w:pgMar w:top="1417" w:right="1417" w:bottom="1417" w:left="1417" w:header="708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96" w:rsidRDefault="006E7F96" w:rsidP="00B33E13">
      <w:r>
        <w:separator/>
      </w:r>
    </w:p>
  </w:endnote>
  <w:endnote w:type="continuationSeparator" w:id="0">
    <w:p w:rsidR="006E7F96" w:rsidRDefault="006E7F96" w:rsidP="00B3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F96" w:rsidRPr="00494FF1" w:rsidRDefault="006E7F96" w:rsidP="002D5108">
    <w:pPr>
      <w:pStyle w:val="Zpat"/>
      <w:jc w:val="center"/>
      <w:rPr>
        <w:rFonts w:cs="Arial"/>
      </w:rPr>
    </w:pPr>
    <w:r w:rsidRPr="00494FF1">
      <w:rPr>
        <w:rFonts w:cs="Arial"/>
      </w:rPr>
      <w:fldChar w:fldCharType="begin"/>
    </w:r>
    <w:r w:rsidRPr="00494FF1">
      <w:rPr>
        <w:rFonts w:cs="Arial"/>
      </w:rPr>
      <w:instrText xml:space="preserve"> PAGE   \* MERGEFORMAT </w:instrText>
    </w:r>
    <w:r w:rsidRPr="00494FF1">
      <w:rPr>
        <w:rFonts w:cs="Arial"/>
      </w:rPr>
      <w:fldChar w:fldCharType="separate"/>
    </w:r>
    <w:r w:rsidR="009E110A">
      <w:rPr>
        <w:rFonts w:cs="Arial"/>
        <w:noProof/>
      </w:rPr>
      <w:t>8</w:t>
    </w:r>
    <w:r w:rsidRPr="00494FF1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96" w:rsidRDefault="006E7F96" w:rsidP="00B33E13">
      <w:r>
        <w:separator/>
      </w:r>
    </w:p>
  </w:footnote>
  <w:footnote w:type="continuationSeparator" w:id="0">
    <w:p w:rsidR="006E7F96" w:rsidRDefault="006E7F96" w:rsidP="00B33E13">
      <w:r>
        <w:continuationSeparator/>
      </w:r>
    </w:p>
  </w:footnote>
  <w:footnote w:id="1">
    <w:p w:rsidR="006E7F96" w:rsidRPr="006229FE" w:rsidRDefault="006E7F96" w:rsidP="006229FE">
      <w:pPr>
        <w:pStyle w:val="Textpoznpodarou"/>
        <w:ind w:left="284" w:hanging="284"/>
        <w:rPr>
          <w:rFonts w:cs="Arial"/>
          <w:sz w:val="18"/>
          <w:szCs w:val="18"/>
        </w:rPr>
      </w:pPr>
      <w:r w:rsidRPr="006229FE">
        <w:rPr>
          <w:rStyle w:val="Znakapoznpodarou"/>
          <w:rFonts w:cs="Arial"/>
          <w:sz w:val="18"/>
          <w:szCs w:val="18"/>
        </w:rPr>
        <w:footnoteRef/>
      </w:r>
      <w:r w:rsidRPr="006229F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 w:rsidRPr="006229FE">
        <w:rPr>
          <w:rFonts w:cs="Arial"/>
          <w:sz w:val="18"/>
          <w:szCs w:val="18"/>
        </w:rPr>
        <w:t>Zákon č. 219/2000 Sb., o majetku České republiky a jejím vystupování v právních vztazích</w:t>
      </w:r>
      <w:r>
        <w:rPr>
          <w:rFonts w:cs="Arial"/>
          <w:sz w:val="18"/>
          <w:szCs w:val="18"/>
        </w:rPr>
        <w:t>.</w:t>
      </w:r>
      <w:r w:rsidRPr="006229FE">
        <w:rPr>
          <w:rFonts w:cs="Arial"/>
          <w:sz w:val="18"/>
          <w:szCs w:val="18"/>
        </w:rPr>
        <w:t xml:space="preserve"> </w:t>
      </w:r>
    </w:p>
  </w:footnote>
  <w:footnote w:id="2">
    <w:p w:rsidR="006E7F96" w:rsidRPr="006229FE" w:rsidRDefault="006E7F96" w:rsidP="006229FE">
      <w:pPr>
        <w:pStyle w:val="Textpoznpodarou"/>
        <w:ind w:left="284" w:hanging="284"/>
        <w:rPr>
          <w:rFonts w:cs="Arial"/>
          <w:sz w:val="18"/>
          <w:szCs w:val="18"/>
        </w:rPr>
      </w:pPr>
      <w:r w:rsidRPr="006229FE">
        <w:rPr>
          <w:rStyle w:val="Znakapoznpodarou"/>
          <w:rFonts w:cs="Arial"/>
          <w:sz w:val="18"/>
          <w:szCs w:val="18"/>
        </w:rPr>
        <w:footnoteRef/>
      </w:r>
      <w:r w:rsidRPr="006229F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 w:rsidRPr="006229FE">
        <w:rPr>
          <w:rFonts w:cs="Arial"/>
          <w:sz w:val="18"/>
          <w:szCs w:val="18"/>
        </w:rPr>
        <w:t>Zákon č. 563/1991 Sb., o účetnictví.</w:t>
      </w:r>
    </w:p>
  </w:footnote>
  <w:footnote w:id="3">
    <w:p w:rsidR="006E7F96" w:rsidRPr="006229FE" w:rsidRDefault="006E7F96" w:rsidP="006229FE">
      <w:pPr>
        <w:pStyle w:val="Textpoznpodarou"/>
        <w:ind w:left="284" w:hanging="284"/>
        <w:rPr>
          <w:rFonts w:cs="Arial"/>
          <w:sz w:val="18"/>
          <w:szCs w:val="18"/>
        </w:rPr>
      </w:pPr>
      <w:r w:rsidRPr="006229FE">
        <w:rPr>
          <w:rStyle w:val="Znakapoznpodarou"/>
          <w:rFonts w:cs="Arial"/>
          <w:sz w:val="18"/>
          <w:szCs w:val="18"/>
        </w:rPr>
        <w:footnoteRef/>
      </w:r>
      <w:r w:rsidRPr="006229F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 w:rsidRPr="006229FE">
        <w:rPr>
          <w:rFonts w:cs="Arial"/>
          <w:sz w:val="18"/>
          <w:szCs w:val="18"/>
        </w:rPr>
        <w:t>Zákon č. 2/1969 Sb., o zřízení ministerstev a jiných ústředních orgánů státní správy České republiky.</w:t>
      </w:r>
    </w:p>
  </w:footnote>
  <w:footnote w:id="4">
    <w:p w:rsidR="006E7F96" w:rsidRPr="004A5844" w:rsidRDefault="006E7F96" w:rsidP="006229FE">
      <w:pPr>
        <w:pStyle w:val="Textpoznpodarou"/>
        <w:ind w:left="284" w:hanging="284"/>
        <w:rPr>
          <w:rFonts w:cs="Arial"/>
          <w:sz w:val="18"/>
          <w:szCs w:val="18"/>
        </w:rPr>
      </w:pPr>
      <w:r w:rsidRPr="004A5844">
        <w:rPr>
          <w:rStyle w:val="Znakapoznpodarou"/>
          <w:rFonts w:cs="Arial"/>
          <w:sz w:val="18"/>
          <w:szCs w:val="18"/>
        </w:rPr>
        <w:footnoteRef/>
      </w:r>
      <w:r w:rsidRPr="004A584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 w:rsidRPr="006229FE">
        <w:rPr>
          <w:rFonts w:cs="Arial"/>
          <w:sz w:val="18"/>
          <w:szCs w:val="18"/>
        </w:rPr>
        <w:t>Zákon č. 137/2006 Sb., o veřejných zakázkách.</w:t>
      </w:r>
    </w:p>
  </w:footnote>
  <w:footnote w:id="5">
    <w:p w:rsidR="006E7F96" w:rsidRPr="004A5844" w:rsidRDefault="006E7F96" w:rsidP="006229FE">
      <w:pPr>
        <w:pStyle w:val="Textpoznpodarou"/>
        <w:ind w:left="284" w:hanging="284"/>
        <w:rPr>
          <w:rStyle w:val="Znakapoznpodarou"/>
          <w:sz w:val="22"/>
          <w:szCs w:val="22"/>
          <w:vertAlign w:val="baseline"/>
        </w:rPr>
      </w:pPr>
      <w:r w:rsidRPr="006229FE">
        <w:rPr>
          <w:rStyle w:val="Znakapoznpodarou"/>
          <w:rFonts w:cs="Arial"/>
          <w:sz w:val="18"/>
          <w:szCs w:val="18"/>
        </w:rPr>
        <w:footnoteRef/>
      </w:r>
      <w:r w:rsidRPr="006229FE">
        <w:rPr>
          <w:rFonts w:cs="Arial"/>
          <w:sz w:val="18"/>
          <w:szCs w:val="18"/>
        </w:rPr>
        <w:t> </w:t>
      </w:r>
      <w:r>
        <w:rPr>
          <w:rFonts w:cs="Arial"/>
          <w:sz w:val="18"/>
          <w:szCs w:val="18"/>
        </w:rPr>
        <w:tab/>
      </w:r>
      <w:r w:rsidRPr="006229FE">
        <w:rPr>
          <w:rFonts w:cs="Arial"/>
          <w:sz w:val="18"/>
          <w:szCs w:val="18"/>
        </w:rPr>
        <w:t xml:space="preserve">Kontrolní závěr z kontrolní akce č. 11/34 </w:t>
      </w:r>
      <w:r>
        <w:rPr>
          <w:rFonts w:cs="Arial"/>
          <w:sz w:val="18"/>
          <w:szCs w:val="18"/>
        </w:rPr>
        <w:t xml:space="preserve">– </w:t>
      </w:r>
      <w:r w:rsidRPr="004A5844">
        <w:rPr>
          <w:rFonts w:cs="Arial"/>
          <w:i/>
          <w:sz w:val="18"/>
          <w:szCs w:val="18"/>
        </w:rPr>
        <w:t>Peněžní prostředky vynakládané na úhradu nákladů z činnosti u vybraných ministerstev</w:t>
      </w:r>
      <w:r w:rsidRPr="006229FE">
        <w:rPr>
          <w:rFonts w:cs="Arial"/>
          <w:sz w:val="18"/>
          <w:szCs w:val="18"/>
        </w:rPr>
        <w:t xml:space="preserve"> byl zveřejněn v částce 3/2012 </w:t>
      </w:r>
      <w:r w:rsidRPr="004A5844">
        <w:rPr>
          <w:rFonts w:cs="Arial"/>
          <w:i/>
          <w:sz w:val="18"/>
          <w:szCs w:val="18"/>
        </w:rPr>
        <w:t>Věstníku NKÚ</w:t>
      </w:r>
      <w:r w:rsidRPr="006229FE">
        <w:rPr>
          <w:rFonts w:cs="Arial"/>
          <w:sz w:val="18"/>
          <w:szCs w:val="18"/>
        </w:rPr>
        <w:t>.</w:t>
      </w:r>
    </w:p>
  </w:footnote>
  <w:footnote w:id="6">
    <w:p w:rsidR="006E7F96" w:rsidRPr="006229FE" w:rsidRDefault="006E7F96" w:rsidP="006229FE">
      <w:pPr>
        <w:pStyle w:val="Textpoznpodarou"/>
        <w:ind w:left="284" w:hanging="284"/>
        <w:rPr>
          <w:rFonts w:cs="Arial"/>
          <w:sz w:val="18"/>
          <w:szCs w:val="18"/>
        </w:rPr>
      </w:pPr>
      <w:r w:rsidRPr="006229FE">
        <w:rPr>
          <w:rStyle w:val="Znakapoznpodarou"/>
          <w:rFonts w:cs="Arial"/>
          <w:sz w:val="18"/>
          <w:szCs w:val="18"/>
        </w:rPr>
        <w:footnoteRef/>
      </w:r>
      <w:r w:rsidRPr="006229F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 w:rsidRPr="006229FE">
        <w:rPr>
          <w:rFonts w:cs="Arial"/>
          <w:sz w:val="18"/>
          <w:szCs w:val="18"/>
        </w:rPr>
        <w:t>Zákon č. 262/2006 Sb., zákoník práce.</w:t>
      </w:r>
    </w:p>
  </w:footnote>
  <w:footnote w:id="7">
    <w:p w:rsidR="006E7F96" w:rsidRPr="00401F62" w:rsidRDefault="006E7F96" w:rsidP="006229FE">
      <w:pPr>
        <w:pStyle w:val="Textpoznpodarou"/>
        <w:ind w:left="284" w:hanging="284"/>
        <w:rPr>
          <w:rStyle w:val="Znakapoznpodarou"/>
          <w:rFonts w:cs="Arial"/>
          <w:sz w:val="18"/>
          <w:szCs w:val="18"/>
          <w:vertAlign w:val="baseline"/>
        </w:rPr>
      </w:pPr>
      <w:r w:rsidRPr="004A5844">
        <w:rPr>
          <w:rStyle w:val="Znakapoznpodarou"/>
          <w:rFonts w:cs="Arial"/>
          <w:sz w:val="18"/>
          <w:szCs w:val="18"/>
        </w:rPr>
        <w:footnoteRef/>
      </w:r>
      <w:r w:rsidRPr="004A5844">
        <w:rPr>
          <w:rStyle w:val="Znakapoznpodarou"/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 w:rsidRPr="00401F62">
        <w:rPr>
          <w:rFonts w:cs="Arial"/>
          <w:sz w:val="18"/>
          <w:szCs w:val="18"/>
        </w:rPr>
        <w:t xml:space="preserve">Vyhláška č. 410/2009 Sb., </w:t>
      </w:r>
      <w:r w:rsidRPr="00401F62">
        <w:rPr>
          <w:rStyle w:val="Znakapoznpodarou"/>
          <w:rFonts w:cs="Arial"/>
          <w:sz w:val="18"/>
          <w:szCs w:val="18"/>
          <w:vertAlign w:val="baseline"/>
        </w:rPr>
        <w:t>kterou se provádějí některá ustanovení zákona č. 563/1991 Sb., o účetnictví, ve znění pozdějších předpisů, pro některé vybrané účetní jednotky</w:t>
      </w:r>
      <w:r w:rsidRPr="00401F62">
        <w:rPr>
          <w:rFonts w:cs="Arial"/>
          <w:sz w:val="18"/>
          <w:szCs w:val="18"/>
        </w:rPr>
        <w:t>.</w:t>
      </w:r>
    </w:p>
  </w:footnote>
  <w:footnote w:id="8">
    <w:p w:rsidR="006E7F96" w:rsidRPr="00401F62" w:rsidRDefault="006E7F96" w:rsidP="006229FE">
      <w:pPr>
        <w:pStyle w:val="Textpoznpodarou"/>
        <w:ind w:left="284" w:hanging="284"/>
        <w:rPr>
          <w:rFonts w:cs="Arial"/>
          <w:sz w:val="18"/>
          <w:szCs w:val="18"/>
        </w:rPr>
      </w:pPr>
      <w:r w:rsidRPr="00401F62">
        <w:rPr>
          <w:rStyle w:val="Znakapoznpodarou"/>
          <w:sz w:val="18"/>
          <w:szCs w:val="18"/>
        </w:rPr>
        <w:footnoteRef/>
      </w:r>
      <w:r w:rsidRPr="00401F6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401F62">
        <w:rPr>
          <w:rFonts w:cs="Arial"/>
          <w:sz w:val="18"/>
          <w:szCs w:val="18"/>
        </w:rPr>
        <w:t>Česk</w:t>
      </w:r>
      <w:r>
        <w:rPr>
          <w:rFonts w:cs="Arial"/>
          <w:sz w:val="18"/>
          <w:szCs w:val="18"/>
        </w:rPr>
        <w:t>ý</w:t>
      </w:r>
      <w:r w:rsidRPr="00401F62">
        <w:rPr>
          <w:rFonts w:cs="Arial"/>
          <w:sz w:val="18"/>
          <w:szCs w:val="18"/>
        </w:rPr>
        <w:t xml:space="preserve"> účetní standard č. 708 </w:t>
      </w:r>
      <w:r>
        <w:rPr>
          <w:rFonts w:cs="Arial"/>
          <w:sz w:val="18"/>
          <w:szCs w:val="18"/>
        </w:rPr>
        <w:t xml:space="preserve">– </w:t>
      </w:r>
      <w:r w:rsidRPr="008E21F5">
        <w:rPr>
          <w:rFonts w:cs="Arial"/>
          <w:i/>
          <w:sz w:val="18"/>
          <w:szCs w:val="18"/>
        </w:rPr>
        <w:t>Odpisování dlouhodobého majetku</w:t>
      </w:r>
      <w:r w:rsidRPr="00401F62">
        <w:rPr>
          <w:rFonts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7A2B"/>
    <w:multiLevelType w:val="hybridMultilevel"/>
    <w:tmpl w:val="5454B34C"/>
    <w:lvl w:ilvl="0" w:tplc="88628C0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D2D4AE9"/>
    <w:multiLevelType w:val="hybridMultilevel"/>
    <w:tmpl w:val="86248136"/>
    <w:lvl w:ilvl="0" w:tplc="DB865CB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652F9"/>
    <w:multiLevelType w:val="hybridMultilevel"/>
    <w:tmpl w:val="9DAAF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C19C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B3E97"/>
    <w:multiLevelType w:val="hybridMultilevel"/>
    <w:tmpl w:val="DE40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E557B"/>
    <w:multiLevelType w:val="hybridMultilevel"/>
    <w:tmpl w:val="97D08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01F1C"/>
    <w:multiLevelType w:val="hybridMultilevel"/>
    <w:tmpl w:val="6B30A714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13"/>
    <w:rsid w:val="00003992"/>
    <w:rsid w:val="000133CD"/>
    <w:rsid w:val="00017ED9"/>
    <w:rsid w:val="00037239"/>
    <w:rsid w:val="00042B58"/>
    <w:rsid w:val="0004649F"/>
    <w:rsid w:val="00055065"/>
    <w:rsid w:val="00055A2E"/>
    <w:rsid w:val="00072E3C"/>
    <w:rsid w:val="00082B4F"/>
    <w:rsid w:val="00083C74"/>
    <w:rsid w:val="0009003A"/>
    <w:rsid w:val="000A0CEC"/>
    <w:rsid w:val="000A1699"/>
    <w:rsid w:val="000B6858"/>
    <w:rsid w:val="000C7481"/>
    <w:rsid w:val="000E39B6"/>
    <w:rsid w:val="000E423A"/>
    <w:rsid w:val="000F55FA"/>
    <w:rsid w:val="000F5744"/>
    <w:rsid w:val="000F762A"/>
    <w:rsid w:val="0010176A"/>
    <w:rsid w:val="00114BF4"/>
    <w:rsid w:val="00121518"/>
    <w:rsid w:val="001241A7"/>
    <w:rsid w:val="00134C8E"/>
    <w:rsid w:val="001413D4"/>
    <w:rsid w:val="001443EE"/>
    <w:rsid w:val="00146F24"/>
    <w:rsid w:val="00175D46"/>
    <w:rsid w:val="00181EB3"/>
    <w:rsid w:val="001877D5"/>
    <w:rsid w:val="00193C24"/>
    <w:rsid w:val="001A0B84"/>
    <w:rsid w:val="001B3A0E"/>
    <w:rsid w:val="001F4594"/>
    <w:rsid w:val="00207803"/>
    <w:rsid w:val="002240E1"/>
    <w:rsid w:val="00237B94"/>
    <w:rsid w:val="002524C2"/>
    <w:rsid w:val="00257124"/>
    <w:rsid w:val="00265040"/>
    <w:rsid w:val="0027640D"/>
    <w:rsid w:val="002829F9"/>
    <w:rsid w:val="002860DE"/>
    <w:rsid w:val="00293398"/>
    <w:rsid w:val="002D5108"/>
    <w:rsid w:val="002D6002"/>
    <w:rsid w:val="002F3DE1"/>
    <w:rsid w:val="00301173"/>
    <w:rsid w:val="00302695"/>
    <w:rsid w:val="00303352"/>
    <w:rsid w:val="003033F6"/>
    <w:rsid w:val="003154C7"/>
    <w:rsid w:val="00321045"/>
    <w:rsid w:val="00327936"/>
    <w:rsid w:val="00334577"/>
    <w:rsid w:val="00335ACE"/>
    <w:rsid w:val="00344B6C"/>
    <w:rsid w:val="00345AC9"/>
    <w:rsid w:val="003564F9"/>
    <w:rsid w:val="00371B32"/>
    <w:rsid w:val="00384DF7"/>
    <w:rsid w:val="003957DF"/>
    <w:rsid w:val="003C3ED6"/>
    <w:rsid w:val="003C5721"/>
    <w:rsid w:val="003E2CC8"/>
    <w:rsid w:val="003E6DDD"/>
    <w:rsid w:val="003F53FE"/>
    <w:rsid w:val="0040017B"/>
    <w:rsid w:val="00401F62"/>
    <w:rsid w:val="00431047"/>
    <w:rsid w:val="004419F7"/>
    <w:rsid w:val="004669A0"/>
    <w:rsid w:val="00467843"/>
    <w:rsid w:val="00467A3A"/>
    <w:rsid w:val="0048645B"/>
    <w:rsid w:val="00497CF0"/>
    <w:rsid w:val="004A4954"/>
    <w:rsid w:val="004A5844"/>
    <w:rsid w:val="004A7422"/>
    <w:rsid w:val="004D0CE5"/>
    <w:rsid w:val="004F663A"/>
    <w:rsid w:val="00512763"/>
    <w:rsid w:val="00513661"/>
    <w:rsid w:val="00523BD9"/>
    <w:rsid w:val="0053549E"/>
    <w:rsid w:val="00535571"/>
    <w:rsid w:val="00550BB1"/>
    <w:rsid w:val="005643BC"/>
    <w:rsid w:val="00570EE3"/>
    <w:rsid w:val="005732AB"/>
    <w:rsid w:val="005820BB"/>
    <w:rsid w:val="0059701E"/>
    <w:rsid w:val="0059782D"/>
    <w:rsid w:val="005A15FA"/>
    <w:rsid w:val="005B0306"/>
    <w:rsid w:val="005B38C7"/>
    <w:rsid w:val="005C45BC"/>
    <w:rsid w:val="005C6672"/>
    <w:rsid w:val="005D2BFD"/>
    <w:rsid w:val="005D4033"/>
    <w:rsid w:val="005D644B"/>
    <w:rsid w:val="005D705A"/>
    <w:rsid w:val="005E4C90"/>
    <w:rsid w:val="006155DA"/>
    <w:rsid w:val="00621B9F"/>
    <w:rsid w:val="006229FE"/>
    <w:rsid w:val="00625A7B"/>
    <w:rsid w:val="00635125"/>
    <w:rsid w:val="00640010"/>
    <w:rsid w:val="00644BCC"/>
    <w:rsid w:val="00650EB6"/>
    <w:rsid w:val="00651B59"/>
    <w:rsid w:val="006537FA"/>
    <w:rsid w:val="006672F9"/>
    <w:rsid w:val="006762DF"/>
    <w:rsid w:val="00682048"/>
    <w:rsid w:val="00697BE1"/>
    <w:rsid w:val="006A665D"/>
    <w:rsid w:val="006B52A7"/>
    <w:rsid w:val="006E7F96"/>
    <w:rsid w:val="006F1C36"/>
    <w:rsid w:val="006F7951"/>
    <w:rsid w:val="00710388"/>
    <w:rsid w:val="00721C78"/>
    <w:rsid w:val="007256BF"/>
    <w:rsid w:val="00731DC9"/>
    <w:rsid w:val="007422F3"/>
    <w:rsid w:val="0074582C"/>
    <w:rsid w:val="007519FF"/>
    <w:rsid w:val="00752AA8"/>
    <w:rsid w:val="00760078"/>
    <w:rsid w:val="007600F7"/>
    <w:rsid w:val="00762D6F"/>
    <w:rsid w:val="00766A80"/>
    <w:rsid w:val="00775463"/>
    <w:rsid w:val="00775C47"/>
    <w:rsid w:val="007764C4"/>
    <w:rsid w:val="00786619"/>
    <w:rsid w:val="00792376"/>
    <w:rsid w:val="00795D92"/>
    <w:rsid w:val="007A2D51"/>
    <w:rsid w:val="007B0452"/>
    <w:rsid w:val="007B20C0"/>
    <w:rsid w:val="007B4C11"/>
    <w:rsid w:val="007C3E03"/>
    <w:rsid w:val="007C70D5"/>
    <w:rsid w:val="007D478B"/>
    <w:rsid w:val="007E0CAD"/>
    <w:rsid w:val="007E369F"/>
    <w:rsid w:val="007E4B62"/>
    <w:rsid w:val="007F2807"/>
    <w:rsid w:val="007F4571"/>
    <w:rsid w:val="007F6AC4"/>
    <w:rsid w:val="00802254"/>
    <w:rsid w:val="0080651F"/>
    <w:rsid w:val="00806B88"/>
    <w:rsid w:val="00822E91"/>
    <w:rsid w:val="0082358C"/>
    <w:rsid w:val="008340A9"/>
    <w:rsid w:val="008348ED"/>
    <w:rsid w:val="008362CA"/>
    <w:rsid w:val="00836A04"/>
    <w:rsid w:val="008373E2"/>
    <w:rsid w:val="00837D4B"/>
    <w:rsid w:val="00840BFE"/>
    <w:rsid w:val="00841545"/>
    <w:rsid w:val="00844DBA"/>
    <w:rsid w:val="008539F5"/>
    <w:rsid w:val="00874831"/>
    <w:rsid w:val="00885ECB"/>
    <w:rsid w:val="00891205"/>
    <w:rsid w:val="00896B40"/>
    <w:rsid w:val="00896DAB"/>
    <w:rsid w:val="008A661D"/>
    <w:rsid w:val="008A76AB"/>
    <w:rsid w:val="008B54B1"/>
    <w:rsid w:val="008B54CC"/>
    <w:rsid w:val="008C0BD4"/>
    <w:rsid w:val="008C2012"/>
    <w:rsid w:val="008D3EA0"/>
    <w:rsid w:val="008D6EFA"/>
    <w:rsid w:val="008E21F5"/>
    <w:rsid w:val="008E72D9"/>
    <w:rsid w:val="008F2DFC"/>
    <w:rsid w:val="008F4667"/>
    <w:rsid w:val="00907A04"/>
    <w:rsid w:val="00910528"/>
    <w:rsid w:val="00927D9A"/>
    <w:rsid w:val="00937F79"/>
    <w:rsid w:val="00941447"/>
    <w:rsid w:val="009532A4"/>
    <w:rsid w:val="009765A9"/>
    <w:rsid w:val="00980058"/>
    <w:rsid w:val="00980692"/>
    <w:rsid w:val="00996514"/>
    <w:rsid w:val="009A099F"/>
    <w:rsid w:val="009C073A"/>
    <w:rsid w:val="009C517D"/>
    <w:rsid w:val="009C59A7"/>
    <w:rsid w:val="009E110A"/>
    <w:rsid w:val="009E7691"/>
    <w:rsid w:val="009E77B4"/>
    <w:rsid w:val="009E7971"/>
    <w:rsid w:val="00A00FB8"/>
    <w:rsid w:val="00A0732B"/>
    <w:rsid w:val="00A127F9"/>
    <w:rsid w:val="00A20C00"/>
    <w:rsid w:val="00A30904"/>
    <w:rsid w:val="00A30B18"/>
    <w:rsid w:val="00A370DC"/>
    <w:rsid w:val="00A406A4"/>
    <w:rsid w:val="00A42C7A"/>
    <w:rsid w:val="00A43A5E"/>
    <w:rsid w:val="00A6520F"/>
    <w:rsid w:val="00A711A3"/>
    <w:rsid w:val="00A714A7"/>
    <w:rsid w:val="00A87230"/>
    <w:rsid w:val="00A93FF4"/>
    <w:rsid w:val="00A94FC4"/>
    <w:rsid w:val="00AB0267"/>
    <w:rsid w:val="00AB0D36"/>
    <w:rsid w:val="00AC3752"/>
    <w:rsid w:val="00AC79B0"/>
    <w:rsid w:val="00AD2BA0"/>
    <w:rsid w:val="00AE0B0D"/>
    <w:rsid w:val="00AE26D8"/>
    <w:rsid w:val="00AE38D0"/>
    <w:rsid w:val="00AE6611"/>
    <w:rsid w:val="00B020B9"/>
    <w:rsid w:val="00B161DD"/>
    <w:rsid w:val="00B20E66"/>
    <w:rsid w:val="00B33E13"/>
    <w:rsid w:val="00B349C0"/>
    <w:rsid w:val="00B45FF5"/>
    <w:rsid w:val="00B51CDB"/>
    <w:rsid w:val="00B56D21"/>
    <w:rsid w:val="00B6024F"/>
    <w:rsid w:val="00B6576D"/>
    <w:rsid w:val="00B81F33"/>
    <w:rsid w:val="00B84453"/>
    <w:rsid w:val="00B933D3"/>
    <w:rsid w:val="00B96BDB"/>
    <w:rsid w:val="00BA242C"/>
    <w:rsid w:val="00BA6092"/>
    <w:rsid w:val="00BB46FD"/>
    <w:rsid w:val="00BE5545"/>
    <w:rsid w:val="00BE693A"/>
    <w:rsid w:val="00C003B6"/>
    <w:rsid w:val="00C04506"/>
    <w:rsid w:val="00C04C60"/>
    <w:rsid w:val="00C07EC0"/>
    <w:rsid w:val="00C74CFD"/>
    <w:rsid w:val="00C87866"/>
    <w:rsid w:val="00C96C93"/>
    <w:rsid w:val="00CB5C50"/>
    <w:rsid w:val="00CD75B1"/>
    <w:rsid w:val="00D137EE"/>
    <w:rsid w:val="00D17C00"/>
    <w:rsid w:val="00D27223"/>
    <w:rsid w:val="00D30396"/>
    <w:rsid w:val="00D42746"/>
    <w:rsid w:val="00D44270"/>
    <w:rsid w:val="00D4463A"/>
    <w:rsid w:val="00D843D4"/>
    <w:rsid w:val="00D927E6"/>
    <w:rsid w:val="00D96A07"/>
    <w:rsid w:val="00D9732A"/>
    <w:rsid w:val="00DA2E9C"/>
    <w:rsid w:val="00DC1C04"/>
    <w:rsid w:val="00DC717A"/>
    <w:rsid w:val="00DD459D"/>
    <w:rsid w:val="00DE29F7"/>
    <w:rsid w:val="00DE3F86"/>
    <w:rsid w:val="00DF7185"/>
    <w:rsid w:val="00E05C09"/>
    <w:rsid w:val="00E06D55"/>
    <w:rsid w:val="00E15592"/>
    <w:rsid w:val="00E20DB0"/>
    <w:rsid w:val="00E2765F"/>
    <w:rsid w:val="00E66956"/>
    <w:rsid w:val="00E70FAE"/>
    <w:rsid w:val="00E85D22"/>
    <w:rsid w:val="00E91AE6"/>
    <w:rsid w:val="00E93F47"/>
    <w:rsid w:val="00EA25A8"/>
    <w:rsid w:val="00EB1BEB"/>
    <w:rsid w:val="00EB526E"/>
    <w:rsid w:val="00EC7917"/>
    <w:rsid w:val="00ED09D1"/>
    <w:rsid w:val="00ED0B6F"/>
    <w:rsid w:val="00EF371B"/>
    <w:rsid w:val="00F00EE7"/>
    <w:rsid w:val="00F01BA9"/>
    <w:rsid w:val="00F12249"/>
    <w:rsid w:val="00F15BD8"/>
    <w:rsid w:val="00F21C00"/>
    <w:rsid w:val="00F34569"/>
    <w:rsid w:val="00F355F3"/>
    <w:rsid w:val="00F50DBD"/>
    <w:rsid w:val="00F50DEC"/>
    <w:rsid w:val="00F55011"/>
    <w:rsid w:val="00F671A2"/>
    <w:rsid w:val="00F75783"/>
    <w:rsid w:val="00FA3E06"/>
    <w:rsid w:val="00FB1C3D"/>
    <w:rsid w:val="00FC5FCC"/>
    <w:rsid w:val="00FD5A21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71A2"/>
    <w:pPr>
      <w:spacing w:before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E13"/>
    <w:pPr>
      <w:ind w:left="720"/>
      <w:contextualSpacing/>
    </w:pPr>
    <w:rPr>
      <w:lang w:val="en-US"/>
    </w:rPr>
  </w:style>
  <w:style w:type="paragraph" w:styleId="Zpat">
    <w:name w:val="footer"/>
    <w:basedOn w:val="Normln"/>
    <w:link w:val="ZpatChar"/>
    <w:unhideWhenUsed/>
    <w:rsid w:val="00B33E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3E13"/>
    <w:rPr>
      <w:rFonts w:ascii="Times New Roman" w:eastAsia="Calibri" w:hAnsi="Times New Roman" w:cs="Times New Roman"/>
      <w:sz w:val="24"/>
    </w:rPr>
  </w:style>
  <w:style w:type="character" w:styleId="Znakapoznpodarou">
    <w:name w:val="footnote reference"/>
    <w:semiHidden/>
    <w:unhideWhenUsed/>
    <w:rsid w:val="00B33E13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B33E1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3E13"/>
    <w:rPr>
      <w:rFonts w:ascii="Times New Roman" w:eastAsia="Calibri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B33E13"/>
    <w:pPr>
      <w:jc w:val="left"/>
    </w:pPr>
    <w:rPr>
      <w:rFonts w:eastAsia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D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DE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17ED9"/>
    <w:rPr>
      <w:color w:val="0000FF"/>
      <w:u w:val="single"/>
    </w:rPr>
  </w:style>
  <w:style w:type="table" w:styleId="Mkatabulky">
    <w:name w:val="Table Grid"/>
    <w:basedOn w:val="Normlntabulka"/>
    <w:uiPriority w:val="59"/>
    <w:rsid w:val="007C3E0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C07EC0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643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3BC"/>
    <w:rPr>
      <w:rFonts w:ascii="Times New Roman" w:eastAsia="Calibri" w:hAnsi="Times New Roman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E38D0"/>
    <w:rPr>
      <w:sz w:val="16"/>
      <w:szCs w:val="16"/>
    </w:rPr>
  </w:style>
  <w:style w:type="paragraph" w:styleId="Bezmezer">
    <w:name w:val="No Spacing"/>
    <w:uiPriority w:val="1"/>
    <w:qFormat/>
    <w:rsid w:val="00F671A2"/>
    <w:pPr>
      <w:spacing w:before="0" w:line="240" w:lineRule="auto"/>
    </w:pPr>
    <w:rPr>
      <w:rFonts w:ascii="Arial" w:eastAsia="Calibri" w:hAnsi="Arial" w:cs="Times New Roman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8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8D0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8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8D0"/>
    <w:rPr>
      <w:rFonts w:ascii="Arial" w:eastAsia="Calibri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71A2"/>
    <w:pPr>
      <w:spacing w:before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E13"/>
    <w:pPr>
      <w:ind w:left="720"/>
      <w:contextualSpacing/>
    </w:pPr>
    <w:rPr>
      <w:lang w:val="en-US"/>
    </w:rPr>
  </w:style>
  <w:style w:type="paragraph" w:styleId="Zpat">
    <w:name w:val="footer"/>
    <w:basedOn w:val="Normln"/>
    <w:link w:val="ZpatChar"/>
    <w:unhideWhenUsed/>
    <w:rsid w:val="00B33E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3E13"/>
    <w:rPr>
      <w:rFonts w:ascii="Times New Roman" w:eastAsia="Calibri" w:hAnsi="Times New Roman" w:cs="Times New Roman"/>
      <w:sz w:val="24"/>
    </w:rPr>
  </w:style>
  <w:style w:type="character" w:styleId="Znakapoznpodarou">
    <w:name w:val="footnote reference"/>
    <w:semiHidden/>
    <w:unhideWhenUsed/>
    <w:rsid w:val="00B33E13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B33E1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3E13"/>
    <w:rPr>
      <w:rFonts w:ascii="Times New Roman" w:eastAsia="Calibri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B33E13"/>
    <w:pPr>
      <w:jc w:val="left"/>
    </w:pPr>
    <w:rPr>
      <w:rFonts w:eastAsia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D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DE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17ED9"/>
    <w:rPr>
      <w:color w:val="0000FF"/>
      <w:u w:val="single"/>
    </w:rPr>
  </w:style>
  <w:style w:type="table" w:styleId="Mkatabulky">
    <w:name w:val="Table Grid"/>
    <w:basedOn w:val="Normlntabulka"/>
    <w:uiPriority w:val="59"/>
    <w:rsid w:val="007C3E0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C07EC0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643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3BC"/>
    <w:rPr>
      <w:rFonts w:ascii="Times New Roman" w:eastAsia="Calibri" w:hAnsi="Times New Roman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E38D0"/>
    <w:rPr>
      <w:sz w:val="16"/>
      <w:szCs w:val="16"/>
    </w:rPr>
  </w:style>
  <w:style w:type="paragraph" w:styleId="Bezmezer">
    <w:name w:val="No Spacing"/>
    <w:uiPriority w:val="1"/>
    <w:qFormat/>
    <w:rsid w:val="00F671A2"/>
    <w:pPr>
      <w:spacing w:before="0" w:line="240" w:lineRule="auto"/>
    </w:pPr>
    <w:rPr>
      <w:rFonts w:ascii="Arial" w:eastAsia="Calibri" w:hAnsi="Arial" w:cs="Times New Roman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8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8D0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8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8D0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8B125-ACEF-4933-804D-A20D76E1652D}"/>
</file>

<file path=customXml/itemProps2.xml><?xml version="1.0" encoding="utf-8"?>
<ds:datastoreItem xmlns:ds="http://schemas.openxmlformats.org/officeDocument/2006/customXml" ds:itemID="{D2250F2D-FDEE-4ECE-9D7D-2E1419D31F3A}"/>
</file>

<file path=customXml/itemProps3.xml><?xml version="1.0" encoding="utf-8"?>
<ds:datastoreItem xmlns:ds="http://schemas.openxmlformats.org/officeDocument/2006/customXml" ds:itemID="{2D9DC1A8-BF27-4DD6-AD5A-CD20017B9066}"/>
</file>

<file path=customXml/itemProps4.xml><?xml version="1.0" encoding="utf-8"?>
<ds:datastoreItem xmlns:ds="http://schemas.openxmlformats.org/officeDocument/2006/customXml" ds:itemID="{66926769-7DB6-4C3C-8C82-775BB0FEF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8</Pages>
  <Words>2787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19199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13/31</dc:title>
  <dc:creator>PROFELDOVÁ Zdeňka</dc:creator>
  <cp:lastModifiedBy>POKORNÁ Jana</cp:lastModifiedBy>
  <cp:revision>43</cp:revision>
  <cp:lastPrinted>2014-05-29T08:43:00Z</cp:lastPrinted>
  <dcterms:created xsi:type="dcterms:W3CDTF">2014-05-20T11:05:00Z</dcterms:created>
  <dcterms:modified xsi:type="dcterms:W3CDTF">2014-06-05T07:24:00Z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  <property fmtid="{D5CDD505-2E9C-101B-9397-08002B2CF9AE}" pid="3" name="CJ">
    <vt:lpwstr>286/13-NKU200/397/13</vt:lpwstr>
  </property>
  <property fmtid="{D5CDD505-2E9C-101B-9397-08002B2CF9AE}" pid="4" name="Contact_PostaOdes_All">
    <vt:lpwstr/>
  </property>
  <property fmtid="{D5CDD505-2E9C-101B-9397-08002B2CF9AE}" pid="5" name="SZ_Spis_Pisemnost">
    <vt:lpwstr>286/13</vt:lpwstr>
  </property>
  <property fmtid="{D5CDD505-2E9C-101B-9397-08002B2CF9AE}" pid="6" name="DisplayName_SpisovyUzel_PoziceZodpo_Pisemnost">
    <vt:lpwstr>200</vt:lpwstr>
  </property>
  <property fmtid="{D5CDD505-2E9C-101B-9397-08002B2CF9AE}" pid="7" name="Zkratka_SpisovyUzel_PoziceZodpo_Pisemnost">
    <vt:lpwstr>200</vt:lpwstr>
  </property>
  <property fmtid="{D5CDD505-2E9C-101B-9397-08002B2CF9AE}" pid="8" name="Key_BarCode_Pisemnost">
    <vt:lpwstr>*B000185345*</vt:lpwstr>
  </property>
  <property fmtid="{D5CDD505-2E9C-101B-9397-08002B2CF9AE}" pid="9" name="EC_Pisemnost">
    <vt:lpwstr>13-11511</vt:lpwstr>
  </property>
  <property fmtid="{D5CDD505-2E9C-101B-9397-08002B2CF9AE}" pid="10" name="Odkaz">
    <vt:lpwstr>ODKAZ</vt:lpwstr>
  </property>
  <property fmtid="{D5CDD505-2E9C-101B-9397-08002B2CF9AE}" pid="11" name="SkartacniZnakLhuta_PisemnostZnak">
    <vt:lpwstr>/0</vt:lpwstr>
  </property>
  <property fmtid="{D5CDD505-2E9C-101B-9397-08002B2CF9AE}" pid="12" name="CJ_Spis_Pisemnost">
    <vt:lpwstr>CJ/SPIS/ROK</vt:lpwstr>
  </property>
  <property fmtid="{D5CDD505-2E9C-101B-9397-08002B2CF9AE}" pid="13" name="UserName_PisemnostTypZpristupneniInformaciZOSZ_Pisemnost">
    <vt:lpwstr>ZOSZ_UserName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DatumPlatnosti_PisemnostTypZpristupneniInformaciZOSZ_Pisemnost">
    <vt:lpwstr>ZOSZ_DatumPlatnosti</vt:lpwstr>
  </property>
  <property fmtid="{D5CDD505-2E9C-101B-9397-08002B2CF9AE}" pid="16" name="TEST">
    <vt:lpwstr>testovací pole</vt:lpwstr>
  </property>
  <property fmtid="{D5CDD505-2E9C-101B-9397-08002B2CF9AE}" pid="17" name="PocetListu_Pisemnost">
    <vt:lpwstr>9/1</vt:lpwstr>
  </property>
  <property fmtid="{D5CDD505-2E9C-101B-9397-08002B2CF9AE}" pid="18" name="Vec_Pisemnost">
    <vt:lpwstr>KZ 12/35 - připomínkové řízení</vt:lpwstr>
  </property>
  <property fmtid="{D5CDD505-2E9C-101B-9397-08002B2CF9AE}" pid="19" name="DatumPoriz_Pisemnost">
    <vt:lpwstr>31.7.2013</vt:lpwstr>
  </property>
  <property fmtid="{D5CDD505-2E9C-101B-9397-08002B2CF9AE}" pid="20" name="KRukam">
    <vt:lpwstr>{KRukam}</vt:lpwstr>
  </property>
  <property fmtid="{D5CDD505-2E9C-101B-9397-08002B2CF9AE}" pid="21" name="PocetListuDokumentu_Pisemnost">
    <vt:lpwstr>9</vt:lpwstr>
  </property>
  <property fmtid="{D5CDD505-2E9C-101B-9397-08002B2CF9AE}" pid="22" name="PocetPriloh_Pisemnost">
    <vt:lpwstr>1</vt:lpwstr>
  </property>
  <property fmtid="{D5CDD505-2E9C-101B-9397-08002B2CF9AE}" pid="23" name="TypPrilohy_Pisemnost">
    <vt:lpwstr>dokument ve Wordu</vt:lpwstr>
  </property>
  <property fmtid="{D5CDD505-2E9C-101B-9397-08002B2CF9AE}" pid="24" name="DisplayName_UserPoriz_Pisemnost">
    <vt:lpwstr>Ivana Růžičková</vt:lpwstr>
  </property>
  <property fmtid="{D5CDD505-2E9C-101B-9397-08002B2CF9AE}" pid="25" name="Podpis">
    <vt:lpwstr/>
  </property>
  <property fmtid="{D5CDD505-2E9C-101B-9397-08002B2CF9AE}" pid="26" name="SmlouvaCislo">
    <vt:lpwstr>ČÍSLO SMLOUVY</vt:lpwstr>
  </property>
</Properties>
</file>