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E0C91" w14:textId="77777777" w:rsidR="003D409D" w:rsidRDefault="00A41C38" w:rsidP="00766597">
      <w:pPr>
        <w:spacing w:after="0" w:line="240" w:lineRule="auto"/>
        <w:jc w:val="center"/>
      </w:pPr>
      <w:r>
        <w:rPr>
          <w:noProof/>
          <w:lang w:eastAsia="cs-CZ"/>
        </w:rPr>
        <w:drawing>
          <wp:inline distT="0" distB="0" distL="0" distR="0" wp14:anchorId="123E0DDF" wp14:editId="123E0DE0">
            <wp:extent cx="792480" cy="560705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3E0C92" w14:textId="77777777" w:rsidR="00A41C38" w:rsidRDefault="00A41C38" w:rsidP="007665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3E0C93" w14:textId="77777777" w:rsidR="00DF725E" w:rsidRDefault="00DF725E" w:rsidP="007665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3E0C94" w14:textId="77777777" w:rsidR="003D409D" w:rsidRPr="005A6A43" w:rsidRDefault="003D409D" w:rsidP="0076659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A6A43">
        <w:rPr>
          <w:rFonts w:ascii="Arial" w:hAnsi="Arial" w:cs="Arial"/>
          <w:b/>
          <w:sz w:val="28"/>
          <w:szCs w:val="28"/>
        </w:rPr>
        <w:t>Kontrolní závěr z kontrolní akce</w:t>
      </w:r>
    </w:p>
    <w:p w14:paraId="123E0C95" w14:textId="77777777" w:rsidR="00A41C38" w:rsidRPr="005A6A43" w:rsidRDefault="00A41C38" w:rsidP="0076659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23E0C96" w14:textId="71C3AC38" w:rsidR="003D409D" w:rsidRPr="005A6A43" w:rsidRDefault="005273FE" w:rsidP="0076659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13/26</w:t>
      </w:r>
    </w:p>
    <w:p w14:paraId="123E0C97" w14:textId="77777777" w:rsidR="00A41C38" w:rsidRPr="005A6A43" w:rsidRDefault="00A41C38" w:rsidP="0076659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23E0C98" w14:textId="78732B12" w:rsidR="003D409D" w:rsidRPr="005273FE" w:rsidRDefault="005273FE" w:rsidP="0076659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273FE">
        <w:rPr>
          <w:rFonts w:ascii="Arial" w:hAnsi="Arial" w:cs="Arial"/>
          <w:b/>
          <w:sz w:val="28"/>
          <w:szCs w:val="28"/>
        </w:rPr>
        <w:t>Správa peněžitých plně</w:t>
      </w:r>
      <w:r>
        <w:rPr>
          <w:rFonts w:ascii="Arial" w:hAnsi="Arial" w:cs="Arial"/>
          <w:b/>
          <w:sz w:val="28"/>
          <w:szCs w:val="28"/>
        </w:rPr>
        <w:t>ní ukládaných správními úřady a </w:t>
      </w:r>
      <w:r w:rsidRPr="005273FE">
        <w:rPr>
          <w:rFonts w:ascii="Arial" w:hAnsi="Arial" w:cs="Arial"/>
          <w:b/>
          <w:sz w:val="28"/>
          <w:szCs w:val="28"/>
        </w:rPr>
        <w:t>předávaných k vymáhání celním orgánům (tzv. dělená správa)</w:t>
      </w:r>
    </w:p>
    <w:p w14:paraId="123E0C99" w14:textId="77777777" w:rsidR="003D409D" w:rsidRDefault="003D409D" w:rsidP="00766597">
      <w:pPr>
        <w:spacing w:after="0" w:line="240" w:lineRule="auto"/>
        <w:rPr>
          <w:rFonts w:ascii="Arial" w:hAnsi="Arial" w:cs="Arial"/>
        </w:rPr>
      </w:pPr>
    </w:p>
    <w:p w14:paraId="123E0C9A" w14:textId="77CDB38A" w:rsidR="00A41C38" w:rsidRDefault="00A41C38" w:rsidP="00766597">
      <w:pPr>
        <w:spacing w:after="0" w:line="240" w:lineRule="auto"/>
        <w:rPr>
          <w:rFonts w:ascii="Arial" w:hAnsi="Arial" w:cs="Arial"/>
        </w:rPr>
      </w:pPr>
    </w:p>
    <w:p w14:paraId="123E0C9B" w14:textId="6980CC08" w:rsidR="003D409D" w:rsidRDefault="003D409D" w:rsidP="002D1F8C">
      <w:pPr>
        <w:spacing w:after="0" w:line="240" w:lineRule="auto"/>
        <w:jc w:val="both"/>
        <w:rPr>
          <w:rFonts w:ascii="Arial" w:hAnsi="Arial" w:cs="Arial"/>
        </w:rPr>
      </w:pPr>
      <w:r w:rsidRPr="00EE5D14">
        <w:rPr>
          <w:rFonts w:ascii="Arial" w:hAnsi="Arial" w:cs="Arial"/>
        </w:rPr>
        <w:t>Kontrolní akce byla zařazena do plánu kontrolní činnosti Nejvyššího kontrolního úř</w:t>
      </w:r>
      <w:r>
        <w:rPr>
          <w:rFonts w:ascii="Arial" w:hAnsi="Arial" w:cs="Arial"/>
        </w:rPr>
        <w:t xml:space="preserve">adu (dále </w:t>
      </w:r>
      <w:r w:rsidR="005273FE">
        <w:rPr>
          <w:rFonts w:ascii="Arial" w:hAnsi="Arial" w:cs="Arial"/>
        </w:rPr>
        <w:t>také „NKÚ“) na rok 2013 pod číslem 13</w:t>
      </w:r>
      <w:r>
        <w:rPr>
          <w:rFonts w:ascii="Arial" w:hAnsi="Arial" w:cs="Arial"/>
        </w:rPr>
        <w:t>/</w:t>
      </w:r>
      <w:r w:rsidR="005273FE">
        <w:rPr>
          <w:rFonts w:ascii="Arial" w:hAnsi="Arial" w:cs="Arial"/>
        </w:rPr>
        <w:t>26</w:t>
      </w:r>
      <w:r w:rsidRPr="00EE5D14">
        <w:rPr>
          <w:rFonts w:ascii="Arial" w:hAnsi="Arial" w:cs="Arial"/>
        </w:rPr>
        <w:t>. Kontrolní akci řídil a kontrolní závěr vypracoval člen</w:t>
      </w:r>
      <w:r>
        <w:rPr>
          <w:rFonts w:ascii="Arial" w:hAnsi="Arial" w:cs="Arial"/>
        </w:rPr>
        <w:t xml:space="preserve"> </w:t>
      </w:r>
      <w:r w:rsidRPr="00EE5D14">
        <w:rPr>
          <w:rFonts w:ascii="Arial" w:hAnsi="Arial" w:cs="Arial"/>
        </w:rPr>
        <w:t xml:space="preserve">NKÚ </w:t>
      </w:r>
      <w:r w:rsidR="005273FE">
        <w:rPr>
          <w:rFonts w:ascii="Arial" w:hAnsi="Arial" w:cs="Arial"/>
        </w:rPr>
        <w:t>Ing</w:t>
      </w:r>
      <w:r w:rsidRPr="00EE5D14">
        <w:rPr>
          <w:rFonts w:ascii="Arial" w:hAnsi="Arial" w:cs="Arial"/>
        </w:rPr>
        <w:t xml:space="preserve">. </w:t>
      </w:r>
      <w:r w:rsidR="005273FE">
        <w:rPr>
          <w:rFonts w:ascii="Arial" w:hAnsi="Arial" w:cs="Arial"/>
        </w:rPr>
        <w:t>Rudolf Kufa</w:t>
      </w:r>
      <w:r>
        <w:rPr>
          <w:rFonts w:ascii="Arial" w:hAnsi="Arial" w:cs="Arial"/>
        </w:rPr>
        <w:t>.</w:t>
      </w:r>
    </w:p>
    <w:p w14:paraId="123E0C9C" w14:textId="77777777" w:rsidR="00A41C38" w:rsidRPr="00EE5D14" w:rsidRDefault="00A41C38" w:rsidP="002D1F8C">
      <w:pPr>
        <w:spacing w:after="0" w:line="240" w:lineRule="auto"/>
        <w:rPr>
          <w:rFonts w:ascii="Arial" w:hAnsi="Arial" w:cs="Arial"/>
        </w:rPr>
      </w:pPr>
    </w:p>
    <w:p w14:paraId="123E0C9D" w14:textId="79824FCB" w:rsidR="00055F00" w:rsidRPr="00055F00" w:rsidRDefault="003D409D" w:rsidP="002D1F8C">
      <w:pPr>
        <w:spacing w:after="0" w:line="240" w:lineRule="auto"/>
        <w:jc w:val="both"/>
        <w:rPr>
          <w:rFonts w:ascii="Arial" w:hAnsi="Arial" w:cs="Arial"/>
        </w:rPr>
      </w:pPr>
      <w:r w:rsidRPr="00055F00">
        <w:rPr>
          <w:rFonts w:ascii="Arial" w:hAnsi="Arial" w:cs="Arial"/>
        </w:rPr>
        <w:t>Cílem kontroly byl</w:t>
      </w:r>
      <w:r w:rsidR="00055F00" w:rsidRPr="00055F00">
        <w:rPr>
          <w:rFonts w:ascii="Arial" w:hAnsi="Arial" w:cs="Arial"/>
        </w:rPr>
        <w:t xml:space="preserve">o </w:t>
      </w:r>
      <w:r w:rsidR="005273FE">
        <w:rPr>
          <w:rFonts w:ascii="Arial" w:eastAsia="Calibri" w:hAnsi="Arial" w:cs="Arial"/>
        </w:rPr>
        <w:t>p</w:t>
      </w:r>
      <w:r w:rsidR="005273FE" w:rsidRPr="00022C26">
        <w:rPr>
          <w:rFonts w:ascii="Arial" w:eastAsia="Calibri" w:hAnsi="Arial" w:cs="Arial"/>
        </w:rPr>
        <w:t>rověřit postup celních orgánů při vybírání a vymáhání peněžitých plnění, která jsou příjmem státního rozpočtu a byla uložena jinými správními úřady, a dále prověřit postup vybraných správních úřadů v rámci dělené správy</w:t>
      </w:r>
      <w:r w:rsidR="00055F00" w:rsidRPr="00055F00">
        <w:rPr>
          <w:rFonts w:ascii="Arial" w:hAnsi="Arial" w:cs="Arial"/>
        </w:rPr>
        <w:t>.</w:t>
      </w:r>
    </w:p>
    <w:p w14:paraId="123E0C9E" w14:textId="77777777" w:rsidR="00A41C38" w:rsidRDefault="00A41C38" w:rsidP="002D1F8C">
      <w:pPr>
        <w:spacing w:after="0" w:line="240" w:lineRule="auto"/>
        <w:jc w:val="both"/>
        <w:rPr>
          <w:rFonts w:ascii="Arial" w:hAnsi="Arial" w:cs="Arial"/>
        </w:rPr>
      </w:pPr>
    </w:p>
    <w:p w14:paraId="11293F42" w14:textId="313B5F07" w:rsidR="00D644A1" w:rsidRDefault="00D644A1" w:rsidP="002D1F8C">
      <w:pPr>
        <w:spacing w:after="0" w:line="240" w:lineRule="auto"/>
        <w:jc w:val="both"/>
        <w:rPr>
          <w:rFonts w:ascii="Arial" w:hAnsi="Arial" w:cs="Arial"/>
        </w:rPr>
      </w:pPr>
      <w:r w:rsidRPr="00EE5D14">
        <w:rPr>
          <w:rFonts w:ascii="Arial" w:hAnsi="Arial" w:cs="Arial"/>
        </w:rPr>
        <w:t xml:space="preserve">Kontrola byla prováděna od </w:t>
      </w:r>
      <w:r>
        <w:rPr>
          <w:rFonts w:ascii="Arial" w:hAnsi="Arial" w:cs="Arial"/>
        </w:rPr>
        <w:t>června 2013 do ledna</w:t>
      </w:r>
      <w:r w:rsidRPr="008C353E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4</w:t>
      </w:r>
      <w:r w:rsidRPr="008C353E">
        <w:rPr>
          <w:rFonts w:ascii="Arial" w:hAnsi="Arial" w:cs="Arial"/>
        </w:rPr>
        <w:t>.</w:t>
      </w:r>
      <w:r w:rsidRPr="00EE5D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Kontrolovaným obdobím byly roky 2011 a 2012</w:t>
      </w:r>
      <w:r w:rsidRPr="00EE5D1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 </w:t>
      </w:r>
      <w:r w:rsidRPr="00EE5D14">
        <w:rPr>
          <w:rFonts w:ascii="Arial" w:hAnsi="Arial" w:cs="Arial"/>
        </w:rPr>
        <w:t>případě věcných souvislostí i období předcházející nebo následující.</w:t>
      </w:r>
    </w:p>
    <w:p w14:paraId="3B14345A" w14:textId="77777777" w:rsidR="00D644A1" w:rsidRPr="00EE5D14" w:rsidRDefault="00D644A1" w:rsidP="002D1F8C">
      <w:pPr>
        <w:spacing w:after="0" w:line="240" w:lineRule="auto"/>
        <w:jc w:val="both"/>
        <w:rPr>
          <w:rFonts w:ascii="Arial" w:hAnsi="Arial" w:cs="Arial"/>
        </w:rPr>
      </w:pPr>
    </w:p>
    <w:p w14:paraId="123E0C9F" w14:textId="77777777" w:rsidR="003D409D" w:rsidRPr="002D1F8C" w:rsidRDefault="003D409D" w:rsidP="00B60A9B">
      <w:pPr>
        <w:spacing w:after="60" w:line="240" w:lineRule="auto"/>
        <w:rPr>
          <w:rFonts w:ascii="Arial" w:hAnsi="Arial" w:cs="Arial"/>
          <w:b/>
        </w:rPr>
      </w:pPr>
      <w:r w:rsidRPr="002D1F8C">
        <w:rPr>
          <w:rFonts w:ascii="Arial" w:hAnsi="Arial" w:cs="Arial"/>
          <w:b/>
        </w:rPr>
        <w:t>Kontrolované osoby:</w:t>
      </w:r>
    </w:p>
    <w:p w14:paraId="123E0CA0" w14:textId="31F3A16F" w:rsidR="003D409D" w:rsidRDefault="003D409D" w:rsidP="00B60A9B">
      <w:pPr>
        <w:spacing w:after="0" w:line="240" w:lineRule="auto"/>
        <w:jc w:val="both"/>
        <w:rPr>
          <w:rFonts w:ascii="Arial" w:hAnsi="Arial" w:cs="Arial"/>
        </w:rPr>
      </w:pPr>
      <w:r w:rsidRPr="00EE5D14">
        <w:rPr>
          <w:rFonts w:ascii="Arial" w:hAnsi="Arial" w:cs="Arial"/>
        </w:rPr>
        <w:t xml:space="preserve">Generální </w:t>
      </w:r>
      <w:r w:rsidR="005273FE">
        <w:rPr>
          <w:rFonts w:ascii="Arial" w:hAnsi="Arial" w:cs="Arial"/>
        </w:rPr>
        <w:t>ředitelství cel</w:t>
      </w:r>
      <w:r w:rsidR="00715114">
        <w:rPr>
          <w:rFonts w:ascii="Arial" w:hAnsi="Arial" w:cs="Arial"/>
        </w:rPr>
        <w:t>, Praha</w:t>
      </w:r>
      <w:r w:rsidR="004A5811">
        <w:rPr>
          <w:rFonts w:ascii="Arial" w:hAnsi="Arial" w:cs="Arial"/>
        </w:rPr>
        <w:t xml:space="preserve"> </w:t>
      </w:r>
      <w:r w:rsidR="005273FE">
        <w:rPr>
          <w:rFonts w:ascii="Arial" w:hAnsi="Arial" w:cs="Arial"/>
        </w:rPr>
        <w:t>(dále také „</w:t>
      </w:r>
      <w:r w:rsidR="005273FE" w:rsidRPr="00C51EB1">
        <w:rPr>
          <w:rFonts w:ascii="Arial" w:hAnsi="Arial" w:cs="Arial"/>
        </w:rPr>
        <w:t>GŘC</w:t>
      </w:r>
      <w:r w:rsidR="004A5811" w:rsidRPr="00C51EB1">
        <w:rPr>
          <w:rFonts w:ascii="Arial" w:hAnsi="Arial" w:cs="Arial"/>
        </w:rPr>
        <w:t>“)</w:t>
      </w:r>
      <w:r w:rsidR="00715114">
        <w:rPr>
          <w:rFonts w:ascii="Arial" w:hAnsi="Arial" w:cs="Arial"/>
        </w:rPr>
        <w:t>;</w:t>
      </w:r>
      <w:r w:rsidRPr="00C51EB1">
        <w:rPr>
          <w:rFonts w:ascii="Arial" w:hAnsi="Arial" w:cs="Arial"/>
        </w:rPr>
        <w:t xml:space="preserve"> </w:t>
      </w:r>
      <w:r w:rsidR="00C51EB1" w:rsidRPr="00C51EB1">
        <w:rPr>
          <w:rFonts w:ascii="Arial" w:hAnsi="Arial" w:cs="Arial"/>
          <w:noProof/>
          <w:color w:val="000000"/>
        </w:rPr>
        <w:t>Celní úřad pro Jihočeský kraj</w:t>
      </w:r>
      <w:r w:rsidRPr="00C51EB1">
        <w:rPr>
          <w:rFonts w:ascii="Arial" w:hAnsi="Arial" w:cs="Arial"/>
        </w:rPr>
        <w:t xml:space="preserve">, </w:t>
      </w:r>
      <w:r w:rsidR="00715114">
        <w:rPr>
          <w:rFonts w:ascii="Arial" w:hAnsi="Arial" w:cs="Arial"/>
        </w:rPr>
        <w:t xml:space="preserve">České Budějovice; </w:t>
      </w:r>
      <w:r w:rsidR="00C51EB1" w:rsidRPr="00C51EB1">
        <w:rPr>
          <w:rFonts w:ascii="Arial" w:hAnsi="Arial" w:cs="Arial"/>
          <w:noProof/>
          <w:color w:val="000000"/>
        </w:rPr>
        <w:t>Celní úřad pro Jihomoravský kraj</w:t>
      </w:r>
      <w:r w:rsidRPr="00C51EB1">
        <w:rPr>
          <w:rFonts w:ascii="Arial" w:hAnsi="Arial" w:cs="Arial"/>
        </w:rPr>
        <w:t xml:space="preserve">, </w:t>
      </w:r>
      <w:r w:rsidR="00715114">
        <w:rPr>
          <w:rFonts w:ascii="Arial" w:hAnsi="Arial" w:cs="Arial"/>
        </w:rPr>
        <w:t xml:space="preserve">Brno; </w:t>
      </w:r>
      <w:r w:rsidR="00C51EB1" w:rsidRPr="00C51EB1">
        <w:rPr>
          <w:rFonts w:ascii="Arial" w:hAnsi="Arial" w:cs="Arial"/>
          <w:noProof/>
          <w:color w:val="000000"/>
        </w:rPr>
        <w:t>Celní úřad pro Liberecký kraj</w:t>
      </w:r>
      <w:r w:rsidRPr="00C51EB1">
        <w:rPr>
          <w:rFonts w:ascii="Arial" w:hAnsi="Arial" w:cs="Arial"/>
        </w:rPr>
        <w:t xml:space="preserve">, </w:t>
      </w:r>
      <w:r w:rsidR="00715114">
        <w:rPr>
          <w:rFonts w:ascii="Arial" w:hAnsi="Arial" w:cs="Arial"/>
        </w:rPr>
        <w:t xml:space="preserve">Liberec; </w:t>
      </w:r>
      <w:r w:rsidR="00C51EB1" w:rsidRPr="00C51EB1">
        <w:rPr>
          <w:rFonts w:ascii="Arial" w:hAnsi="Arial" w:cs="Arial"/>
          <w:noProof/>
          <w:color w:val="000000"/>
        </w:rPr>
        <w:t>Celní úřad pro Moravskoslezský kraj</w:t>
      </w:r>
      <w:r w:rsidRPr="00C51EB1">
        <w:rPr>
          <w:rFonts w:ascii="Arial" w:hAnsi="Arial" w:cs="Arial"/>
        </w:rPr>
        <w:t xml:space="preserve">, </w:t>
      </w:r>
      <w:r w:rsidR="00715114">
        <w:rPr>
          <w:rFonts w:ascii="Arial" w:hAnsi="Arial" w:cs="Arial"/>
        </w:rPr>
        <w:t xml:space="preserve">Ostrava-Přívoz; </w:t>
      </w:r>
      <w:r w:rsidR="00C51EB1" w:rsidRPr="00C51EB1">
        <w:rPr>
          <w:rFonts w:ascii="Arial" w:hAnsi="Arial" w:cs="Arial"/>
          <w:noProof/>
          <w:color w:val="000000"/>
        </w:rPr>
        <w:t>Celní úřad pro Plzeňský kraj</w:t>
      </w:r>
      <w:r w:rsidRPr="00C51EB1">
        <w:rPr>
          <w:rFonts w:ascii="Arial" w:hAnsi="Arial" w:cs="Arial"/>
        </w:rPr>
        <w:t xml:space="preserve">, </w:t>
      </w:r>
      <w:r w:rsidR="00715114">
        <w:rPr>
          <w:rFonts w:ascii="Arial" w:hAnsi="Arial" w:cs="Arial"/>
        </w:rPr>
        <w:t>Plzeň</w:t>
      </w:r>
      <w:r w:rsidR="00D644A1">
        <w:rPr>
          <w:rFonts w:ascii="Arial" w:hAnsi="Arial" w:cs="Arial"/>
        </w:rPr>
        <w:t>;</w:t>
      </w:r>
      <w:r w:rsidR="00715114">
        <w:rPr>
          <w:rFonts w:ascii="Arial" w:hAnsi="Arial" w:cs="Arial"/>
        </w:rPr>
        <w:t xml:space="preserve"> </w:t>
      </w:r>
      <w:r w:rsidR="00C51EB1" w:rsidRPr="00C51EB1">
        <w:rPr>
          <w:rFonts w:ascii="Arial" w:hAnsi="Arial" w:cs="Arial"/>
          <w:noProof/>
          <w:color w:val="000000"/>
        </w:rPr>
        <w:t>Celní úřad pro Ústecký kraj</w:t>
      </w:r>
      <w:r w:rsidRPr="00C51EB1">
        <w:rPr>
          <w:rFonts w:ascii="Arial" w:hAnsi="Arial" w:cs="Arial"/>
        </w:rPr>
        <w:t xml:space="preserve">, </w:t>
      </w:r>
      <w:r w:rsidR="00715114">
        <w:rPr>
          <w:rFonts w:ascii="Arial" w:hAnsi="Arial" w:cs="Arial"/>
        </w:rPr>
        <w:t xml:space="preserve">Ústí nad Labem; </w:t>
      </w:r>
      <w:r w:rsidR="00C51EB1" w:rsidRPr="00C51EB1">
        <w:rPr>
          <w:rFonts w:ascii="Arial" w:hAnsi="Arial" w:cs="Arial"/>
          <w:noProof/>
          <w:color w:val="000000"/>
        </w:rPr>
        <w:t xml:space="preserve">Česká obchodní </w:t>
      </w:r>
      <w:r w:rsidR="00C51EB1" w:rsidRPr="00C51EB1">
        <w:rPr>
          <w:rFonts w:ascii="Arial" w:hAnsi="Arial" w:cs="Arial"/>
          <w:noProof/>
        </w:rPr>
        <w:t>inspekce</w:t>
      </w:r>
      <w:r w:rsidR="004E10BE">
        <w:rPr>
          <w:rFonts w:ascii="Arial" w:hAnsi="Arial" w:cs="Arial"/>
          <w:noProof/>
        </w:rPr>
        <w:t>, Praha</w:t>
      </w:r>
      <w:r w:rsidR="00454C7B">
        <w:rPr>
          <w:rFonts w:ascii="Arial" w:hAnsi="Arial" w:cs="Arial"/>
          <w:noProof/>
        </w:rPr>
        <w:t xml:space="preserve"> (dále také „ČOI“)</w:t>
      </w:r>
      <w:r w:rsidR="004E10BE">
        <w:rPr>
          <w:rFonts w:ascii="Arial" w:hAnsi="Arial" w:cs="Arial"/>
          <w:noProof/>
        </w:rPr>
        <w:t>;</w:t>
      </w:r>
      <w:r w:rsidRPr="00C51EB1">
        <w:rPr>
          <w:rFonts w:ascii="Arial" w:hAnsi="Arial" w:cs="Arial"/>
        </w:rPr>
        <w:t xml:space="preserve"> </w:t>
      </w:r>
      <w:r w:rsidR="00C51EB1" w:rsidRPr="00C51EB1">
        <w:rPr>
          <w:rFonts w:ascii="Arial" w:hAnsi="Arial" w:cs="Arial"/>
          <w:noProof/>
        </w:rPr>
        <w:t>Státní veterinární správa</w:t>
      </w:r>
      <w:r w:rsidR="004E10BE">
        <w:rPr>
          <w:rFonts w:ascii="Arial" w:hAnsi="Arial" w:cs="Arial"/>
          <w:noProof/>
        </w:rPr>
        <w:t>, Praha</w:t>
      </w:r>
      <w:r w:rsidR="00454C7B">
        <w:rPr>
          <w:rFonts w:ascii="Arial" w:hAnsi="Arial" w:cs="Arial"/>
          <w:noProof/>
        </w:rPr>
        <w:t xml:space="preserve"> (dále také „SVS“)</w:t>
      </w:r>
      <w:r w:rsidR="00D644A1">
        <w:rPr>
          <w:rFonts w:ascii="Arial" w:hAnsi="Arial" w:cs="Arial"/>
        </w:rPr>
        <w:t>;</w:t>
      </w:r>
      <w:r w:rsidRPr="00C51EB1">
        <w:rPr>
          <w:rFonts w:ascii="Arial" w:hAnsi="Arial" w:cs="Arial"/>
        </w:rPr>
        <w:t xml:space="preserve"> </w:t>
      </w:r>
      <w:r w:rsidR="00132FDE">
        <w:rPr>
          <w:rFonts w:ascii="Arial" w:hAnsi="Arial" w:cs="Arial"/>
        </w:rPr>
        <w:t>m</w:t>
      </w:r>
      <w:r w:rsidR="00C51EB1" w:rsidRPr="00C51EB1">
        <w:rPr>
          <w:rFonts w:ascii="Arial" w:hAnsi="Arial" w:cs="Arial"/>
          <w:noProof/>
        </w:rPr>
        <w:t>ěsto Klatovy</w:t>
      </w:r>
      <w:r w:rsidR="00D644A1">
        <w:rPr>
          <w:rFonts w:ascii="Arial" w:hAnsi="Arial" w:cs="Arial"/>
        </w:rPr>
        <w:t>;</w:t>
      </w:r>
      <w:r w:rsidRPr="00C51EB1">
        <w:rPr>
          <w:rFonts w:ascii="Arial" w:hAnsi="Arial" w:cs="Arial"/>
        </w:rPr>
        <w:t xml:space="preserve"> </w:t>
      </w:r>
      <w:r w:rsidR="00132FDE">
        <w:rPr>
          <w:rFonts w:ascii="Arial" w:hAnsi="Arial" w:cs="Arial"/>
        </w:rPr>
        <w:t>m</w:t>
      </w:r>
      <w:r w:rsidR="00C51EB1" w:rsidRPr="00C51EB1">
        <w:rPr>
          <w:rFonts w:ascii="Arial" w:hAnsi="Arial" w:cs="Arial"/>
          <w:noProof/>
        </w:rPr>
        <w:t>ěsto Blatná</w:t>
      </w:r>
      <w:r w:rsidR="00D644A1">
        <w:rPr>
          <w:rFonts w:ascii="Arial" w:hAnsi="Arial" w:cs="Arial"/>
        </w:rPr>
        <w:t>;</w:t>
      </w:r>
      <w:r w:rsidRPr="00C51EB1">
        <w:rPr>
          <w:rFonts w:ascii="Arial" w:hAnsi="Arial" w:cs="Arial"/>
        </w:rPr>
        <w:t xml:space="preserve"> </w:t>
      </w:r>
      <w:r w:rsidR="00132FDE">
        <w:rPr>
          <w:rFonts w:ascii="Arial" w:hAnsi="Arial" w:cs="Arial"/>
        </w:rPr>
        <w:t>m</w:t>
      </w:r>
      <w:r w:rsidR="00C51EB1" w:rsidRPr="00C51EB1">
        <w:rPr>
          <w:rFonts w:ascii="Arial" w:hAnsi="Arial" w:cs="Arial"/>
          <w:noProof/>
        </w:rPr>
        <w:t>ěsto Mikulov</w:t>
      </w:r>
      <w:r w:rsidR="00D644A1">
        <w:rPr>
          <w:rFonts w:ascii="Arial" w:hAnsi="Arial" w:cs="Arial"/>
        </w:rPr>
        <w:t>;</w:t>
      </w:r>
      <w:r w:rsidRPr="00C51EB1">
        <w:rPr>
          <w:rFonts w:ascii="Arial" w:hAnsi="Arial" w:cs="Arial"/>
        </w:rPr>
        <w:t xml:space="preserve"> </w:t>
      </w:r>
      <w:r w:rsidR="00132FDE">
        <w:rPr>
          <w:rFonts w:ascii="Arial" w:hAnsi="Arial" w:cs="Arial"/>
        </w:rPr>
        <w:t>m</w:t>
      </w:r>
      <w:r w:rsidR="00C51EB1" w:rsidRPr="00C51EB1">
        <w:rPr>
          <w:rFonts w:ascii="Arial" w:hAnsi="Arial" w:cs="Arial"/>
          <w:noProof/>
        </w:rPr>
        <w:t>ěsto Orlová</w:t>
      </w:r>
      <w:r w:rsidR="00D644A1">
        <w:rPr>
          <w:rFonts w:ascii="Arial" w:hAnsi="Arial" w:cs="Arial"/>
        </w:rPr>
        <w:t>;</w:t>
      </w:r>
      <w:r w:rsidRPr="00C51EB1">
        <w:rPr>
          <w:rFonts w:ascii="Arial" w:hAnsi="Arial" w:cs="Arial"/>
        </w:rPr>
        <w:t xml:space="preserve"> </w:t>
      </w:r>
      <w:r w:rsidR="00530C26">
        <w:rPr>
          <w:rFonts w:ascii="Arial" w:hAnsi="Arial" w:cs="Arial"/>
        </w:rPr>
        <w:t>s</w:t>
      </w:r>
      <w:r w:rsidR="00C51EB1" w:rsidRPr="00C51EB1">
        <w:rPr>
          <w:rFonts w:ascii="Arial" w:hAnsi="Arial" w:cs="Arial"/>
          <w:noProof/>
        </w:rPr>
        <w:t>tatutární město Ústí nad Labem</w:t>
      </w:r>
      <w:r w:rsidR="00D644A1">
        <w:rPr>
          <w:rFonts w:ascii="Arial" w:hAnsi="Arial" w:cs="Arial"/>
          <w:noProof/>
        </w:rPr>
        <w:t>;</w:t>
      </w:r>
      <w:r w:rsidRPr="00C51EB1">
        <w:rPr>
          <w:rFonts w:ascii="Arial" w:hAnsi="Arial" w:cs="Arial"/>
        </w:rPr>
        <w:t xml:space="preserve"> </w:t>
      </w:r>
      <w:r w:rsidR="00132FDE">
        <w:rPr>
          <w:rFonts w:ascii="Arial" w:hAnsi="Arial" w:cs="Arial"/>
        </w:rPr>
        <w:t>s</w:t>
      </w:r>
      <w:r w:rsidR="00C51EB1" w:rsidRPr="00C51EB1">
        <w:rPr>
          <w:rFonts w:ascii="Arial" w:hAnsi="Arial" w:cs="Arial"/>
          <w:color w:val="000000"/>
          <w:shd w:val="clear" w:color="auto" w:fill="FFFFFF"/>
        </w:rPr>
        <w:t>tatutární město Jablonec nad Nisou</w:t>
      </w:r>
      <w:r w:rsidRPr="00C51EB1">
        <w:rPr>
          <w:rFonts w:ascii="Arial" w:hAnsi="Arial" w:cs="Arial"/>
        </w:rPr>
        <w:t>.</w:t>
      </w:r>
    </w:p>
    <w:p w14:paraId="3FF5CFB4" w14:textId="77777777" w:rsidR="002D1F8C" w:rsidRPr="006063BD" w:rsidRDefault="002D1F8C" w:rsidP="002D1F8C">
      <w:pPr>
        <w:spacing w:after="0" w:line="240" w:lineRule="auto"/>
        <w:jc w:val="both"/>
        <w:rPr>
          <w:rFonts w:ascii="Arial" w:hAnsi="Arial" w:cs="Arial"/>
        </w:rPr>
      </w:pPr>
    </w:p>
    <w:p w14:paraId="123E0CA1" w14:textId="77777777" w:rsidR="003D409D" w:rsidRPr="00EE5D14" w:rsidRDefault="003D409D" w:rsidP="002D1F8C">
      <w:pPr>
        <w:spacing w:after="0" w:line="240" w:lineRule="auto"/>
        <w:rPr>
          <w:rFonts w:ascii="Arial" w:hAnsi="Arial" w:cs="Arial"/>
        </w:rPr>
      </w:pPr>
    </w:p>
    <w:p w14:paraId="123E0CA3" w14:textId="77777777" w:rsidR="00A41C38" w:rsidRPr="00EE5D14" w:rsidRDefault="00A41C38" w:rsidP="002D1F8C">
      <w:pPr>
        <w:spacing w:after="0" w:line="240" w:lineRule="auto"/>
        <w:jc w:val="both"/>
        <w:rPr>
          <w:rFonts w:ascii="Arial" w:hAnsi="Arial" w:cs="Arial"/>
        </w:rPr>
      </w:pPr>
    </w:p>
    <w:p w14:paraId="123E0CA4" w14:textId="068332AE" w:rsidR="003D409D" w:rsidRPr="00E24E7F" w:rsidRDefault="003D409D" w:rsidP="00766597">
      <w:pPr>
        <w:spacing w:after="0" w:line="240" w:lineRule="auto"/>
        <w:jc w:val="both"/>
        <w:rPr>
          <w:rFonts w:ascii="Arial" w:hAnsi="Arial" w:cs="Arial"/>
        </w:rPr>
      </w:pPr>
      <w:r w:rsidRPr="00584B66">
        <w:rPr>
          <w:rFonts w:ascii="Arial" w:hAnsi="Arial" w:cs="Arial"/>
        </w:rPr>
        <w:t>Námi</w:t>
      </w:r>
      <w:r w:rsidR="005273FE" w:rsidRPr="00584B66">
        <w:rPr>
          <w:rFonts w:ascii="Arial" w:hAnsi="Arial" w:cs="Arial"/>
        </w:rPr>
        <w:t>tky proti kontrolnímu protokolu nepodala žádná z kontrolovaných osob</w:t>
      </w:r>
      <w:r w:rsidRPr="00584B66">
        <w:rPr>
          <w:rFonts w:ascii="Arial" w:hAnsi="Arial" w:cs="Arial"/>
        </w:rPr>
        <w:t>.</w:t>
      </w:r>
    </w:p>
    <w:p w14:paraId="123E0CA5" w14:textId="77777777" w:rsidR="00E6100A" w:rsidRDefault="00E6100A" w:rsidP="00766597">
      <w:pPr>
        <w:spacing w:after="0" w:line="240" w:lineRule="auto"/>
        <w:jc w:val="both"/>
        <w:rPr>
          <w:rFonts w:ascii="Arial" w:hAnsi="Arial" w:cs="Arial"/>
        </w:rPr>
      </w:pPr>
    </w:p>
    <w:p w14:paraId="0AD41F4D" w14:textId="77777777" w:rsidR="002D1F8C" w:rsidRDefault="002D1F8C" w:rsidP="00766597">
      <w:pPr>
        <w:spacing w:after="0" w:line="240" w:lineRule="auto"/>
        <w:jc w:val="both"/>
        <w:rPr>
          <w:rFonts w:ascii="Arial" w:hAnsi="Arial" w:cs="Arial"/>
        </w:rPr>
      </w:pPr>
    </w:p>
    <w:p w14:paraId="06C192CF" w14:textId="1DC7A562" w:rsidR="002D1F8C" w:rsidRPr="00BA27BD" w:rsidRDefault="002D1F8C" w:rsidP="00766597">
      <w:pPr>
        <w:spacing w:after="0" w:line="240" w:lineRule="auto"/>
        <w:jc w:val="both"/>
        <w:rPr>
          <w:rFonts w:ascii="Arial" w:hAnsi="Arial" w:cs="Arial"/>
        </w:rPr>
      </w:pPr>
    </w:p>
    <w:p w14:paraId="123E0CA7" w14:textId="37660FF3" w:rsidR="003D409D" w:rsidRPr="00BA27BD" w:rsidRDefault="003D409D" w:rsidP="00C51EB1">
      <w:pPr>
        <w:spacing w:after="120" w:line="240" w:lineRule="auto"/>
        <w:rPr>
          <w:rFonts w:ascii="Arial" w:hAnsi="Arial" w:cs="Arial"/>
        </w:rPr>
      </w:pPr>
      <w:r w:rsidRPr="005A6A43">
        <w:rPr>
          <w:rFonts w:ascii="Arial" w:hAnsi="Arial" w:cs="Arial"/>
          <w:b/>
          <w:i/>
        </w:rPr>
        <w:t xml:space="preserve">K o l e g i u m  </w:t>
      </w:r>
      <w:r w:rsidR="00E57DBA" w:rsidRPr="005A6A43">
        <w:rPr>
          <w:rFonts w:ascii="Arial" w:hAnsi="Arial" w:cs="Arial"/>
          <w:b/>
          <w:i/>
        </w:rPr>
        <w:t xml:space="preserve"> </w:t>
      </w:r>
      <w:r w:rsidRPr="005A6A43">
        <w:rPr>
          <w:rFonts w:ascii="Arial" w:hAnsi="Arial" w:cs="Arial"/>
          <w:b/>
          <w:i/>
        </w:rPr>
        <w:t>N</w:t>
      </w:r>
      <w:r w:rsidR="007E1958" w:rsidRPr="005A6A43">
        <w:rPr>
          <w:rFonts w:ascii="Arial" w:hAnsi="Arial" w:cs="Arial"/>
          <w:b/>
          <w:i/>
        </w:rPr>
        <w:t xml:space="preserve"> </w:t>
      </w:r>
      <w:r w:rsidRPr="005A6A43">
        <w:rPr>
          <w:rFonts w:ascii="Arial" w:hAnsi="Arial" w:cs="Arial"/>
          <w:b/>
          <w:i/>
        </w:rPr>
        <w:t>K</w:t>
      </w:r>
      <w:r w:rsidR="007E1958" w:rsidRPr="005A6A43">
        <w:rPr>
          <w:rFonts w:ascii="Arial" w:hAnsi="Arial" w:cs="Arial"/>
          <w:b/>
          <w:i/>
        </w:rPr>
        <w:t xml:space="preserve"> </w:t>
      </w:r>
      <w:r w:rsidRPr="005A6A43">
        <w:rPr>
          <w:rFonts w:ascii="Arial" w:hAnsi="Arial" w:cs="Arial"/>
          <w:b/>
          <w:i/>
        </w:rPr>
        <w:t>Ú</w:t>
      </w:r>
      <w:r w:rsidR="007E1958">
        <w:rPr>
          <w:rFonts w:ascii="Arial" w:hAnsi="Arial" w:cs="Arial"/>
          <w:b/>
        </w:rPr>
        <w:t xml:space="preserve">  </w:t>
      </w:r>
      <w:r w:rsidRPr="00EE5D14">
        <w:rPr>
          <w:rFonts w:ascii="Arial" w:hAnsi="Arial" w:cs="Arial"/>
        </w:rPr>
        <w:t xml:space="preserve"> na svém </w:t>
      </w:r>
      <w:r w:rsidR="009220AB">
        <w:rPr>
          <w:rFonts w:ascii="Arial" w:hAnsi="Arial" w:cs="Arial"/>
        </w:rPr>
        <w:t>VII.</w:t>
      </w:r>
      <w:r w:rsidR="00DD45E8">
        <w:rPr>
          <w:rFonts w:ascii="Arial" w:hAnsi="Arial" w:cs="Arial"/>
        </w:rPr>
        <w:t xml:space="preserve"> </w:t>
      </w:r>
      <w:r w:rsidRPr="00EE5D14">
        <w:rPr>
          <w:rFonts w:ascii="Arial" w:hAnsi="Arial" w:cs="Arial"/>
        </w:rPr>
        <w:t xml:space="preserve">zasedání, konaném dne </w:t>
      </w:r>
      <w:r w:rsidR="009220AB">
        <w:rPr>
          <w:rFonts w:ascii="Arial" w:hAnsi="Arial" w:cs="Arial"/>
        </w:rPr>
        <w:t>31.</w:t>
      </w:r>
      <w:r w:rsidR="00DD45E8">
        <w:rPr>
          <w:rFonts w:ascii="Arial" w:hAnsi="Arial" w:cs="Arial"/>
        </w:rPr>
        <w:t xml:space="preserve"> </w:t>
      </w:r>
      <w:r w:rsidR="005273FE">
        <w:rPr>
          <w:rFonts w:ascii="Arial" w:hAnsi="Arial" w:cs="Arial"/>
        </w:rPr>
        <w:t>března</w:t>
      </w:r>
      <w:r w:rsidR="00DD45E8">
        <w:rPr>
          <w:rFonts w:ascii="Arial" w:hAnsi="Arial" w:cs="Arial"/>
        </w:rPr>
        <w:t xml:space="preserve"> </w:t>
      </w:r>
      <w:r w:rsidR="005273FE">
        <w:rPr>
          <w:rFonts w:ascii="Arial" w:hAnsi="Arial" w:cs="Arial"/>
        </w:rPr>
        <w:t>2014</w:t>
      </w:r>
      <w:r w:rsidR="00E6100A">
        <w:rPr>
          <w:rFonts w:ascii="Arial" w:hAnsi="Arial" w:cs="Arial"/>
        </w:rPr>
        <w:t>,</w:t>
      </w:r>
    </w:p>
    <w:p w14:paraId="123E0CA8" w14:textId="70CD0F2F" w:rsidR="003D409D" w:rsidRPr="00BA27BD" w:rsidRDefault="003D409D" w:rsidP="00C51EB1">
      <w:pPr>
        <w:spacing w:after="120" w:line="240" w:lineRule="auto"/>
        <w:rPr>
          <w:rFonts w:ascii="Arial" w:hAnsi="Arial" w:cs="Arial"/>
        </w:rPr>
      </w:pPr>
      <w:r w:rsidRPr="005A6A43">
        <w:rPr>
          <w:rFonts w:ascii="Arial" w:hAnsi="Arial" w:cs="Arial"/>
          <w:b/>
          <w:i/>
        </w:rPr>
        <w:t>s c h v á l i l o</w:t>
      </w:r>
      <w:r w:rsidRPr="00EE5D14">
        <w:rPr>
          <w:rFonts w:ascii="Arial" w:hAnsi="Arial" w:cs="Arial"/>
        </w:rPr>
        <w:t xml:space="preserve">   usnesením č.</w:t>
      </w:r>
      <w:r w:rsidR="00A41C38">
        <w:rPr>
          <w:rFonts w:ascii="Arial" w:hAnsi="Arial" w:cs="Arial"/>
        </w:rPr>
        <w:t xml:space="preserve"> </w:t>
      </w:r>
      <w:r w:rsidR="009E7DE1">
        <w:rPr>
          <w:rFonts w:ascii="Arial" w:hAnsi="Arial" w:cs="Arial"/>
        </w:rPr>
        <w:t>9</w:t>
      </w:r>
      <w:r w:rsidR="009220AB">
        <w:rPr>
          <w:rFonts w:ascii="Arial" w:hAnsi="Arial" w:cs="Arial"/>
        </w:rPr>
        <w:t>/VII/2014</w:t>
      </w:r>
    </w:p>
    <w:p w14:paraId="123E0CA9" w14:textId="77777777" w:rsidR="003D409D" w:rsidRPr="00EE5D14" w:rsidRDefault="003D409D" w:rsidP="00766597">
      <w:pPr>
        <w:spacing w:after="0" w:line="240" w:lineRule="auto"/>
        <w:rPr>
          <w:rFonts w:ascii="Arial" w:hAnsi="Arial" w:cs="Arial"/>
        </w:rPr>
      </w:pPr>
      <w:r w:rsidRPr="005A6A43">
        <w:rPr>
          <w:rFonts w:ascii="Arial" w:hAnsi="Arial" w:cs="Arial"/>
          <w:b/>
          <w:i/>
        </w:rPr>
        <w:t>k o n t r o l n í   z á v ě r</w:t>
      </w:r>
      <w:r w:rsidRPr="00EE5D14">
        <w:rPr>
          <w:rFonts w:ascii="Arial" w:hAnsi="Arial" w:cs="Arial"/>
        </w:rPr>
        <w:t xml:space="preserve">   v</w:t>
      </w:r>
      <w:r w:rsidR="00E57DBA">
        <w:rPr>
          <w:rFonts w:ascii="Arial" w:hAnsi="Arial" w:cs="Arial"/>
        </w:rPr>
        <w:t xml:space="preserve"> </w:t>
      </w:r>
      <w:r w:rsidRPr="00EE5D14">
        <w:rPr>
          <w:rFonts w:ascii="Arial" w:hAnsi="Arial" w:cs="Arial"/>
        </w:rPr>
        <w:t>tomto znění:</w:t>
      </w:r>
    </w:p>
    <w:p w14:paraId="123E0CAA" w14:textId="77777777" w:rsidR="00A41C38" w:rsidRDefault="00A41C38" w:rsidP="00766597">
      <w:pPr>
        <w:spacing w:after="0" w:line="240" w:lineRule="auto"/>
        <w:rPr>
          <w:rFonts w:ascii="Arial" w:hAnsi="Arial" w:cs="Arial"/>
        </w:rPr>
      </w:pPr>
    </w:p>
    <w:p w14:paraId="123E0CAB" w14:textId="77777777" w:rsidR="009D2621" w:rsidRDefault="009D2621" w:rsidP="00766597">
      <w:pPr>
        <w:spacing w:after="0" w:line="240" w:lineRule="auto"/>
        <w:rPr>
          <w:rFonts w:ascii="Arial" w:hAnsi="Arial" w:cs="Arial"/>
        </w:rPr>
      </w:pPr>
    </w:p>
    <w:p w14:paraId="123E0CAC" w14:textId="77777777" w:rsidR="00766597" w:rsidRDefault="0076659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23E0CAD" w14:textId="77777777" w:rsidR="003D409D" w:rsidRPr="005A6A43" w:rsidRDefault="003D409D" w:rsidP="00825F53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A6A43">
        <w:rPr>
          <w:rFonts w:ascii="Arial" w:hAnsi="Arial" w:cs="Arial"/>
          <w:b/>
          <w:sz w:val="24"/>
          <w:szCs w:val="24"/>
        </w:rPr>
        <w:lastRenderedPageBreak/>
        <w:t>I. Úvod</w:t>
      </w:r>
    </w:p>
    <w:p w14:paraId="123E0CAE" w14:textId="77777777" w:rsidR="003D409D" w:rsidRPr="00680E05" w:rsidRDefault="003D409D" w:rsidP="00766597">
      <w:pPr>
        <w:spacing w:after="0" w:line="240" w:lineRule="auto"/>
        <w:rPr>
          <w:rFonts w:ascii="Arial" w:hAnsi="Arial" w:cs="Arial"/>
        </w:rPr>
      </w:pPr>
    </w:p>
    <w:p w14:paraId="3B9AB403" w14:textId="7843BE29" w:rsidR="00B9353F" w:rsidRDefault="00B9353F" w:rsidP="00B60A9B">
      <w:pPr>
        <w:spacing w:after="0" w:line="240" w:lineRule="auto"/>
        <w:jc w:val="both"/>
        <w:rPr>
          <w:rFonts w:ascii="Arial" w:hAnsi="Arial" w:cs="Arial"/>
        </w:rPr>
      </w:pPr>
      <w:r w:rsidRPr="00827E3E">
        <w:rPr>
          <w:rFonts w:ascii="Arial" w:hAnsi="Arial" w:cs="Arial"/>
          <w:b/>
        </w:rPr>
        <w:t>Generální ředitelství cel</w:t>
      </w:r>
      <w:r w:rsidRPr="00B9353F">
        <w:rPr>
          <w:rFonts w:ascii="Arial" w:hAnsi="Arial" w:cs="Arial"/>
        </w:rPr>
        <w:t xml:space="preserve"> je organizační složkou státu a účetní jednotkou. GŘC je podřízeno Ministerstvu financí. Příjmy a výdaje GŘC jsou součástí rozpočtové kapitoly Ministerstva financí. GŘC vykonává působnost</w:t>
      </w:r>
      <w:r>
        <w:rPr>
          <w:rFonts w:ascii="Arial" w:hAnsi="Arial" w:cs="Arial"/>
        </w:rPr>
        <w:t xml:space="preserve"> </w:t>
      </w:r>
      <w:r w:rsidR="00765562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celé</w:t>
      </w:r>
      <w:r w:rsidR="0076556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území České republiky</w:t>
      </w:r>
      <w:r w:rsidRPr="00B9353F">
        <w:rPr>
          <w:rFonts w:ascii="Arial" w:hAnsi="Arial" w:cs="Arial"/>
        </w:rPr>
        <w:t>. GŘC mj. vykonává působnost správního orgánu nejblíže nadřízeného celním úřadům</w:t>
      </w:r>
      <w:r w:rsidR="00AF7948">
        <w:rPr>
          <w:rFonts w:ascii="Arial" w:hAnsi="Arial" w:cs="Arial"/>
        </w:rPr>
        <w:t xml:space="preserve"> (dále také „CÚ“)</w:t>
      </w:r>
      <w:r w:rsidRPr="00B9353F">
        <w:rPr>
          <w:rFonts w:ascii="Arial" w:hAnsi="Arial" w:cs="Arial"/>
        </w:rPr>
        <w:t>, podílí se na přípravě návrhů právních předpisů a zabezpečování analytických a koncepčních úkolů. GŘC je v oblasti evidence a statistiky správcem centrálního informačního systému orgánů celní správy.</w:t>
      </w:r>
    </w:p>
    <w:p w14:paraId="26FFF9F3" w14:textId="77777777" w:rsidR="00705BE5" w:rsidRPr="00B9353F" w:rsidRDefault="00705BE5" w:rsidP="00B60A9B">
      <w:pPr>
        <w:spacing w:after="0" w:line="240" w:lineRule="auto"/>
        <w:jc w:val="both"/>
        <w:rPr>
          <w:rFonts w:ascii="Arial" w:hAnsi="Arial" w:cs="Arial"/>
        </w:rPr>
      </w:pPr>
    </w:p>
    <w:p w14:paraId="38F8AE75" w14:textId="6A84E408" w:rsidR="00B9353F" w:rsidRDefault="00B9353F" w:rsidP="00B60A9B">
      <w:pPr>
        <w:spacing w:after="0" w:line="240" w:lineRule="auto"/>
        <w:jc w:val="both"/>
        <w:rPr>
          <w:rFonts w:ascii="Arial" w:hAnsi="Arial" w:cs="Arial"/>
        </w:rPr>
      </w:pPr>
      <w:r w:rsidRPr="00B9353F">
        <w:rPr>
          <w:rFonts w:ascii="Arial" w:hAnsi="Arial" w:cs="Arial"/>
        </w:rPr>
        <w:t>V kontrolovaném období let 2011 a 2012 byla působnost Celní správy České republiky</w:t>
      </w:r>
      <w:r w:rsidR="00B24997">
        <w:rPr>
          <w:rFonts w:ascii="Arial" w:hAnsi="Arial" w:cs="Arial"/>
        </w:rPr>
        <w:t xml:space="preserve"> </w:t>
      </w:r>
      <w:r w:rsidR="00B24997" w:rsidRPr="00B9353F">
        <w:rPr>
          <w:rFonts w:ascii="Arial" w:hAnsi="Arial" w:cs="Arial"/>
        </w:rPr>
        <w:t>(dále také „CS“)</w:t>
      </w:r>
      <w:r w:rsidRPr="00B9353F">
        <w:rPr>
          <w:rFonts w:ascii="Arial" w:hAnsi="Arial" w:cs="Arial"/>
        </w:rPr>
        <w:t xml:space="preserve"> </w:t>
      </w:r>
      <w:r w:rsidR="00392964">
        <w:rPr>
          <w:rFonts w:ascii="Arial" w:hAnsi="Arial" w:cs="Arial"/>
        </w:rPr>
        <w:t>upravena zákonem č. 185/2004 Sb.,</w:t>
      </w:r>
      <w:r w:rsidR="00392964" w:rsidRPr="00392964">
        <w:rPr>
          <w:rFonts w:ascii="Arial" w:hAnsi="Arial" w:cs="Arial"/>
        </w:rPr>
        <w:t xml:space="preserve"> o Celní správě České republiky.</w:t>
      </w:r>
      <w:r w:rsidRPr="00B9353F">
        <w:rPr>
          <w:rFonts w:ascii="Arial" w:hAnsi="Arial" w:cs="Arial"/>
        </w:rPr>
        <w:t xml:space="preserve"> Soustavu celních orgánů tvořilo do 31. 12. 2012 GŘC, celní ředitelství a </w:t>
      </w:r>
      <w:r w:rsidR="00AF7948">
        <w:rPr>
          <w:rFonts w:ascii="Arial" w:hAnsi="Arial" w:cs="Arial"/>
        </w:rPr>
        <w:t>CÚ</w:t>
      </w:r>
      <w:r w:rsidR="0098108F">
        <w:rPr>
          <w:rFonts w:ascii="Arial" w:hAnsi="Arial" w:cs="Arial"/>
        </w:rPr>
        <w:t>, přičemž celní ředitelství a </w:t>
      </w:r>
      <w:r w:rsidR="00AF7948">
        <w:rPr>
          <w:rFonts w:ascii="Arial" w:hAnsi="Arial" w:cs="Arial"/>
        </w:rPr>
        <w:t>CÚ</w:t>
      </w:r>
      <w:r w:rsidRPr="00B9353F">
        <w:rPr>
          <w:rFonts w:ascii="Arial" w:hAnsi="Arial" w:cs="Arial"/>
        </w:rPr>
        <w:t xml:space="preserve"> měly ve věcech hospodaření s peněžními prostředky a jiným majetkem státu postavení vnitřní</w:t>
      </w:r>
      <w:r w:rsidR="00B24997">
        <w:rPr>
          <w:rFonts w:ascii="Arial" w:hAnsi="Arial" w:cs="Arial"/>
        </w:rPr>
        <w:t>ch</w:t>
      </w:r>
      <w:r w:rsidRPr="00B9353F">
        <w:rPr>
          <w:rFonts w:ascii="Arial" w:hAnsi="Arial" w:cs="Arial"/>
        </w:rPr>
        <w:t xml:space="preserve"> organizační</w:t>
      </w:r>
      <w:r w:rsidR="00B24997">
        <w:rPr>
          <w:rFonts w:ascii="Arial" w:hAnsi="Arial" w:cs="Arial"/>
        </w:rPr>
        <w:t>ch</w:t>
      </w:r>
      <w:r w:rsidRPr="00B9353F">
        <w:rPr>
          <w:rFonts w:ascii="Arial" w:hAnsi="Arial" w:cs="Arial"/>
        </w:rPr>
        <w:t xml:space="preserve"> jednot</w:t>
      </w:r>
      <w:r w:rsidR="00B24997">
        <w:rPr>
          <w:rFonts w:ascii="Arial" w:hAnsi="Arial" w:cs="Arial"/>
        </w:rPr>
        <w:t>e</w:t>
      </w:r>
      <w:r w:rsidRPr="00B9353F">
        <w:rPr>
          <w:rFonts w:ascii="Arial" w:hAnsi="Arial" w:cs="Arial"/>
        </w:rPr>
        <w:t>k GŘC.</w:t>
      </w:r>
    </w:p>
    <w:p w14:paraId="45249CF1" w14:textId="77777777" w:rsidR="00705BE5" w:rsidRPr="00B9353F" w:rsidRDefault="00705BE5" w:rsidP="00B60A9B">
      <w:pPr>
        <w:spacing w:after="0" w:line="240" w:lineRule="auto"/>
        <w:jc w:val="both"/>
        <w:rPr>
          <w:rFonts w:ascii="Arial" w:hAnsi="Arial" w:cs="Arial"/>
        </w:rPr>
      </w:pPr>
    </w:p>
    <w:p w14:paraId="1D52C7DA" w14:textId="62F58BAE" w:rsidR="00CB1909" w:rsidRDefault="00B9353F" w:rsidP="00B60A9B">
      <w:pPr>
        <w:spacing w:after="0" w:line="240" w:lineRule="auto"/>
        <w:jc w:val="both"/>
        <w:rPr>
          <w:rFonts w:ascii="Arial" w:hAnsi="Arial" w:cs="Arial"/>
          <w:noProof/>
          <w:color w:val="000000"/>
        </w:rPr>
      </w:pPr>
      <w:r w:rsidRPr="00B9353F">
        <w:rPr>
          <w:rFonts w:ascii="Arial" w:hAnsi="Arial" w:cs="Arial"/>
        </w:rPr>
        <w:t>S účinnost</w:t>
      </w:r>
      <w:r w:rsidR="00D644A1">
        <w:rPr>
          <w:rFonts w:ascii="Arial" w:hAnsi="Arial" w:cs="Arial"/>
        </w:rPr>
        <w:t>í</w:t>
      </w:r>
      <w:r w:rsidRPr="00B9353F">
        <w:rPr>
          <w:rFonts w:ascii="Arial" w:hAnsi="Arial" w:cs="Arial"/>
        </w:rPr>
        <w:t xml:space="preserve"> od 1. 1. 2013, v rámci projektu modernizace celní správy, přešla </w:t>
      </w:r>
      <w:r w:rsidR="00B24997">
        <w:rPr>
          <w:rFonts w:ascii="Arial" w:hAnsi="Arial" w:cs="Arial"/>
        </w:rPr>
        <w:t>CS</w:t>
      </w:r>
      <w:r w:rsidRPr="00B9353F">
        <w:rPr>
          <w:rFonts w:ascii="Arial" w:hAnsi="Arial" w:cs="Arial"/>
        </w:rPr>
        <w:t xml:space="preserve"> na dvoustupňové organ</w:t>
      </w:r>
      <w:r>
        <w:rPr>
          <w:rFonts w:ascii="Arial" w:hAnsi="Arial" w:cs="Arial"/>
        </w:rPr>
        <w:t>izační uspořádání dle zákona č. </w:t>
      </w:r>
      <w:r w:rsidRPr="00B9353F">
        <w:rPr>
          <w:rFonts w:ascii="Arial" w:hAnsi="Arial" w:cs="Arial"/>
        </w:rPr>
        <w:t>17/2012 Sb.</w:t>
      </w:r>
      <w:r w:rsidR="00392964">
        <w:rPr>
          <w:rFonts w:ascii="Arial" w:hAnsi="Arial" w:cs="Arial"/>
        </w:rPr>
        <w:t>,</w:t>
      </w:r>
      <w:r w:rsidR="00392964" w:rsidRPr="00392964">
        <w:rPr>
          <w:rFonts w:ascii="Arial" w:hAnsi="Arial" w:cs="Arial"/>
        </w:rPr>
        <w:t xml:space="preserve"> o Celní správě České republiky</w:t>
      </w:r>
      <w:r w:rsidR="00392964">
        <w:rPr>
          <w:rFonts w:ascii="Arial" w:hAnsi="Arial" w:cs="Arial"/>
        </w:rPr>
        <w:t>.</w:t>
      </w:r>
      <w:r w:rsidRPr="00B9353F">
        <w:rPr>
          <w:rFonts w:ascii="Arial" w:hAnsi="Arial" w:cs="Arial"/>
        </w:rPr>
        <w:t xml:space="preserve"> Orgány </w:t>
      </w:r>
      <w:r w:rsidR="00B24997">
        <w:rPr>
          <w:rFonts w:ascii="Arial" w:hAnsi="Arial" w:cs="Arial"/>
        </w:rPr>
        <w:t>CS</w:t>
      </w:r>
      <w:r w:rsidR="003E2E06">
        <w:rPr>
          <w:rFonts w:ascii="Arial" w:hAnsi="Arial" w:cs="Arial"/>
        </w:rPr>
        <w:t xml:space="preserve"> jsou GŘC a </w:t>
      </w:r>
      <w:r w:rsidR="00AF7948">
        <w:rPr>
          <w:rFonts w:ascii="Arial" w:hAnsi="Arial" w:cs="Arial"/>
        </w:rPr>
        <w:t>CÚ</w:t>
      </w:r>
      <w:r w:rsidRPr="00B9353F">
        <w:rPr>
          <w:rFonts w:ascii="Arial" w:hAnsi="Arial" w:cs="Arial"/>
        </w:rPr>
        <w:t>, které jsou správními úřady a organizačními složkami státu. CÚ nejsou účetními jednotkami a pro účely hospodaření</w:t>
      </w:r>
      <w:r w:rsidR="0098108F">
        <w:rPr>
          <w:rFonts w:ascii="Arial" w:hAnsi="Arial" w:cs="Arial"/>
        </w:rPr>
        <w:t xml:space="preserve"> s majetkem státu, účetnictví a </w:t>
      </w:r>
      <w:r w:rsidRPr="00B9353F">
        <w:rPr>
          <w:rFonts w:ascii="Arial" w:hAnsi="Arial" w:cs="Arial"/>
        </w:rPr>
        <w:t>pracovněprávních vztahů mají postavení vnitřních organizačních jednotek GŘC.</w:t>
      </w:r>
      <w:r w:rsidR="003E6AF3">
        <w:rPr>
          <w:rFonts w:ascii="Arial" w:hAnsi="Arial" w:cs="Arial"/>
        </w:rPr>
        <w:t xml:space="preserve"> </w:t>
      </w:r>
      <w:r w:rsidR="0098108F">
        <w:rPr>
          <w:rFonts w:ascii="Arial" w:hAnsi="Arial" w:cs="Arial"/>
        </w:rPr>
        <w:t>Kontrola u </w:t>
      </w:r>
      <w:r w:rsidR="003E6AF3">
        <w:rPr>
          <w:rFonts w:ascii="Arial" w:hAnsi="Arial" w:cs="Arial"/>
        </w:rPr>
        <w:t xml:space="preserve">uvedených </w:t>
      </w:r>
      <w:r w:rsidR="00CB1909">
        <w:rPr>
          <w:rFonts w:ascii="Arial" w:hAnsi="Arial" w:cs="Arial"/>
        </w:rPr>
        <w:t>CÚ zahrnovala činnosti jejich předchůdců podle organiz</w:t>
      </w:r>
      <w:r w:rsidR="00FE380B">
        <w:rPr>
          <w:rFonts w:ascii="Arial" w:hAnsi="Arial" w:cs="Arial"/>
        </w:rPr>
        <w:t xml:space="preserve">ační struktury platné do </w:t>
      </w:r>
      <w:r w:rsidR="00EA2905">
        <w:rPr>
          <w:rFonts w:ascii="Arial" w:hAnsi="Arial" w:cs="Arial"/>
        </w:rPr>
        <w:t>31. 12. 2012</w:t>
      </w:r>
      <w:r w:rsidR="003E6AF3">
        <w:rPr>
          <w:rFonts w:ascii="Arial" w:hAnsi="Arial" w:cs="Arial"/>
        </w:rPr>
        <w:t xml:space="preserve"> (například kontrola u</w:t>
      </w:r>
      <w:r w:rsidR="00CB1909">
        <w:rPr>
          <w:rFonts w:ascii="Arial" w:hAnsi="Arial" w:cs="Arial"/>
        </w:rPr>
        <w:t xml:space="preserve"> </w:t>
      </w:r>
      <w:r w:rsidR="003E6AF3" w:rsidRPr="00C51EB1">
        <w:rPr>
          <w:rFonts w:ascii="Arial" w:hAnsi="Arial" w:cs="Arial"/>
          <w:noProof/>
          <w:color w:val="000000"/>
        </w:rPr>
        <w:t>Celní</w:t>
      </w:r>
      <w:r w:rsidR="003E6AF3">
        <w:rPr>
          <w:rFonts w:ascii="Arial" w:hAnsi="Arial" w:cs="Arial"/>
          <w:noProof/>
          <w:color w:val="000000"/>
        </w:rPr>
        <w:t>ho</w:t>
      </w:r>
      <w:r w:rsidR="003E6AF3" w:rsidRPr="00C51EB1">
        <w:rPr>
          <w:rFonts w:ascii="Arial" w:hAnsi="Arial" w:cs="Arial"/>
          <w:noProof/>
          <w:color w:val="000000"/>
        </w:rPr>
        <w:t xml:space="preserve"> úřad</w:t>
      </w:r>
      <w:r w:rsidR="003E6AF3">
        <w:rPr>
          <w:rFonts w:ascii="Arial" w:hAnsi="Arial" w:cs="Arial"/>
          <w:noProof/>
          <w:color w:val="000000"/>
        </w:rPr>
        <w:t>u</w:t>
      </w:r>
      <w:r w:rsidR="003E6AF3" w:rsidRPr="00C51EB1">
        <w:rPr>
          <w:rFonts w:ascii="Arial" w:hAnsi="Arial" w:cs="Arial"/>
          <w:noProof/>
          <w:color w:val="000000"/>
        </w:rPr>
        <w:t xml:space="preserve"> pro Plzeňský kraj</w:t>
      </w:r>
      <w:r w:rsidR="003E6AF3">
        <w:rPr>
          <w:rFonts w:ascii="Arial" w:hAnsi="Arial" w:cs="Arial"/>
          <w:noProof/>
          <w:color w:val="000000"/>
        </w:rPr>
        <w:t xml:space="preserve"> zahrnovala činnosti Celního úřadu Plzeň, Celního úřadu </w:t>
      </w:r>
      <w:r w:rsidR="00FE380B">
        <w:rPr>
          <w:rFonts w:ascii="Arial" w:hAnsi="Arial" w:cs="Arial"/>
          <w:noProof/>
          <w:color w:val="000000"/>
        </w:rPr>
        <w:t>Tachov, Celního úřadu Domažlice a</w:t>
      </w:r>
      <w:r w:rsidR="003E6AF3">
        <w:rPr>
          <w:rFonts w:ascii="Arial" w:hAnsi="Arial" w:cs="Arial"/>
          <w:noProof/>
          <w:color w:val="000000"/>
        </w:rPr>
        <w:t xml:space="preserve"> Celního úřadu </w:t>
      </w:r>
      <w:r w:rsidR="00FE380B">
        <w:rPr>
          <w:rFonts w:ascii="Arial" w:hAnsi="Arial" w:cs="Arial"/>
          <w:noProof/>
          <w:color w:val="000000"/>
        </w:rPr>
        <w:t>Klatovy).</w:t>
      </w:r>
    </w:p>
    <w:p w14:paraId="28A5B633" w14:textId="77777777" w:rsidR="00705BE5" w:rsidRPr="00B9353F" w:rsidRDefault="00705BE5" w:rsidP="00B60A9B">
      <w:pPr>
        <w:spacing w:after="0" w:line="240" w:lineRule="auto"/>
        <w:jc w:val="both"/>
        <w:rPr>
          <w:rFonts w:ascii="Arial" w:hAnsi="Arial" w:cs="Arial"/>
        </w:rPr>
      </w:pPr>
    </w:p>
    <w:p w14:paraId="2BCEFE98" w14:textId="4B395A46" w:rsidR="00B9353F" w:rsidRDefault="00827E3E" w:rsidP="00B60A9B">
      <w:pPr>
        <w:spacing w:after="0" w:line="240" w:lineRule="auto"/>
        <w:jc w:val="both"/>
        <w:rPr>
          <w:rFonts w:ascii="Arial" w:hAnsi="Arial" w:cs="Arial"/>
        </w:rPr>
      </w:pPr>
      <w:r w:rsidRPr="00827E3E">
        <w:rPr>
          <w:rFonts w:ascii="Arial" w:hAnsi="Arial" w:cs="Arial"/>
          <w:b/>
        </w:rPr>
        <w:t>Celní úřady</w:t>
      </w:r>
      <w:r w:rsidR="003E6AF3" w:rsidRPr="003E6AF3">
        <w:rPr>
          <w:rFonts w:ascii="Arial" w:hAnsi="Arial" w:cs="Arial"/>
        </w:rPr>
        <w:t xml:space="preserve"> vykonávají </w:t>
      </w:r>
      <w:r w:rsidR="00EA2905">
        <w:rPr>
          <w:rFonts w:ascii="Arial" w:hAnsi="Arial" w:cs="Arial"/>
        </w:rPr>
        <w:t xml:space="preserve">mj. </w:t>
      </w:r>
      <w:r w:rsidR="003E6AF3" w:rsidRPr="003E6AF3">
        <w:rPr>
          <w:rFonts w:ascii="Arial" w:hAnsi="Arial" w:cs="Arial"/>
        </w:rPr>
        <w:t xml:space="preserve">správu </w:t>
      </w:r>
      <w:r w:rsidR="003E6AF3" w:rsidRPr="00822172">
        <w:rPr>
          <w:rFonts w:ascii="Arial" w:hAnsi="Arial" w:cs="Arial"/>
        </w:rPr>
        <w:t>daní a jiných peněžitých plnění</w:t>
      </w:r>
      <w:r w:rsidR="004D287A" w:rsidRPr="00822172">
        <w:rPr>
          <w:rFonts w:ascii="Arial" w:hAnsi="Arial" w:cs="Arial"/>
        </w:rPr>
        <w:t xml:space="preserve"> (dále také „PP“)</w:t>
      </w:r>
      <w:r w:rsidR="003E6AF3" w:rsidRPr="00822172">
        <w:rPr>
          <w:rFonts w:ascii="Arial" w:hAnsi="Arial" w:cs="Arial"/>
        </w:rPr>
        <w:t xml:space="preserve">. CÚ je obecným správcem daně </w:t>
      </w:r>
      <w:r w:rsidR="008C42DF" w:rsidRPr="00822172">
        <w:rPr>
          <w:rFonts w:ascii="Arial" w:hAnsi="Arial" w:cs="Arial"/>
        </w:rPr>
        <w:t>ve smyslu</w:t>
      </w:r>
      <w:r w:rsidR="003E6AF3" w:rsidRPr="00822172">
        <w:rPr>
          <w:rFonts w:ascii="Arial" w:hAnsi="Arial" w:cs="Arial"/>
        </w:rPr>
        <w:t xml:space="preserve"> </w:t>
      </w:r>
      <w:r w:rsidR="004D287A" w:rsidRPr="00822172">
        <w:rPr>
          <w:rFonts w:ascii="Arial" w:hAnsi="Arial" w:cs="Arial"/>
        </w:rPr>
        <w:t>zákona</w:t>
      </w:r>
      <w:r w:rsidR="00392964">
        <w:rPr>
          <w:rFonts w:ascii="Arial" w:hAnsi="Arial" w:cs="Arial"/>
        </w:rPr>
        <w:t xml:space="preserve"> č. 500/2004 Sb., správní řád</w:t>
      </w:r>
      <w:r w:rsidR="00D644A1">
        <w:rPr>
          <w:rFonts w:ascii="Arial" w:hAnsi="Arial" w:cs="Arial"/>
        </w:rPr>
        <w:t>,</w:t>
      </w:r>
      <w:r w:rsidR="004D287A" w:rsidRPr="008C42DF">
        <w:rPr>
          <w:rFonts w:ascii="Arial" w:hAnsi="Arial" w:cs="Arial"/>
        </w:rPr>
        <w:t xml:space="preserve"> (dále také „SŘ“) </w:t>
      </w:r>
      <w:r w:rsidR="00392964">
        <w:rPr>
          <w:rFonts w:ascii="Arial" w:hAnsi="Arial" w:cs="Arial"/>
        </w:rPr>
        <w:t>a </w:t>
      </w:r>
      <w:r w:rsidR="004D287A" w:rsidRPr="008C42DF">
        <w:rPr>
          <w:rFonts w:ascii="Arial" w:hAnsi="Arial" w:cs="Arial"/>
        </w:rPr>
        <w:t xml:space="preserve">v rámci dělené správy </w:t>
      </w:r>
      <w:r w:rsidR="003E6AF3" w:rsidRPr="008C42DF">
        <w:rPr>
          <w:rFonts w:ascii="Arial" w:hAnsi="Arial" w:cs="Arial"/>
        </w:rPr>
        <w:t>vykonává správu placení</w:t>
      </w:r>
      <w:r w:rsidR="003E6AF3" w:rsidRPr="003E6AF3">
        <w:rPr>
          <w:rFonts w:ascii="Arial" w:hAnsi="Arial" w:cs="Arial"/>
        </w:rPr>
        <w:t xml:space="preserve"> </w:t>
      </w:r>
      <w:r w:rsidR="004D287A">
        <w:rPr>
          <w:rFonts w:ascii="Arial" w:hAnsi="Arial" w:cs="Arial"/>
        </w:rPr>
        <w:t>PP</w:t>
      </w:r>
      <w:r w:rsidR="003E6AF3" w:rsidRPr="003E6AF3">
        <w:rPr>
          <w:rFonts w:ascii="Arial" w:hAnsi="Arial" w:cs="Arial"/>
        </w:rPr>
        <w:t>, která jsou příjmem státního rozpočtu, státních fondů nebo rozpočtů územních samosprávných celků</w:t>
      </w:r>
      <w:r w:rsidR="004D287A">
        <w:rPr>
          <w:rFonts w:ascii="Arial" w:hAnsi="Arial" w:cs="Arial"/>
        </w:rPr>
        <w:t xml:space="preserve">. CÚ dále provádí </w:t>
      </w:r>
      <w:r w:rsidR="009675FD">
        <w:rPr>
          <w:rFonts w:ascii="Arial" w:hAnsi="Arial" w:cs="Arial"/>
        </w:rPr>
        <w:t>exekuce na PP na základě žádostí obecních</w:t>
      </w:r>
      <w:r w:rsidR="004D287A">
        <w:rPr>
          <w:rFonts w:ascii="Arial" w:hAnsi="Arial" w:cs="Arial"/>
        </w:rPr>
        <w:t xml:space="preserve"> úřad</w:t>
      </w:r>
      <w:r w:rsidR="009675FD">
        <w:rPr>
          <w:rFonts w:ascii="Arial" w:hAnsi="Arial" w:cs="Arial"/>
        </w:rPr>
        <w:t>ů</w:t>
      </w:r>
      <w:r w:rsidR="00D644A1">
        <w:rPr>
          <w:rFonts w:ascii="Arial" w:hAnsi="Arial" w:cs="Arial"/>
        </w:rPr>
        <w:t>.</w:t>
      </w:r>
      <w:r w:rsidR="00512AF1">
        <w:rPr>
          <w:rStyle w:val="Znakapoznpodarou"/>
          <w:rFonts w:ascii="Arial" w:hAnsi="Arial" w:cs="Arial"/>
        </w:rPr>
        <w:footnoteReference w:id="1"/>
      </w:r>
    </w:p>
    <w:p w14:paraId="784B8489" w14:textId="77777777" w:rsidR="00705BE5" w:rsidRPr="003E6AF3" w:rsidRDefault="00705BE5" w:rsidP="007F581E">
      <w:pPr>
        <w:spacing w:after="0" w:line="240" w:lineRule="auto"/>
        <w:jc w:val="both"/>
        <w:rPr>
          <w:rFonts w:ascii="Arial" w:hAnsi="Arial" w:cs="Arial"/>
        </w:rPr>
      </w:pPr>
    </w:p>
    <w:p w14:paraId="1FFEB542" w14:textId="77B8E4F1" w:rsidR="00827E3E" w:rsidRDefault="00827E3E" w:rsidP="007F581E">
      <w:pPr>
        <w:spacing w:after="0" w:line="240" w:lineRule="auto"/>
        <w:jc w:val="both"/>
        <w:rPr>
          <w:rFonts w:ascii="Arial" w:hAnsi="Arial" w:cs="Arial"/>
        </w:rPr>
      </w:pPr>
      <w:r w:rsidRPr="00022C26">
        <w:rPr>
          <w:rFonts w:ascii="Arial" w:hAnsi="Arial" w:cs="Arial"/>
          <w:b/>
        </w:rPr>
        <w:t>Česká obchodní inspekce</w:t>
      </w:r>
      <w:r w:rsidRPr="00022C26">
        <w:rPr>
          <w:rFonts w:ascii="Arial" w:hAnsi="Arial" w:cs="Arial"/>
        </w:rPr>
        <w:t xml:space="preserve"> byla </w:t>
      </w:r>
      <w:r w:rsidR="00EA2905">
        <w:rPr>
          <w:rFonts w:ascii="Arial" w:hAnsi="Arial" w:cs="Arial"/>
        </w:rPr>
        <w:t xml:space="preserve">zřízena </w:t>
      </w:r>
      <w:r w:rsidR="00392964">
        <w:rPr>
          <w:rFonts w:ascii="Arial" w:hAnsi="Arial" w:cs="Arial"/>
        </w:rPr>
        <w:t>zákonem č. 64/1986 Sb., o České obchodní inspekci.</w:t>
      </w:r>
      <w:r w:rsidRPr="00022C26">
        <w:rPr>
          <w:rFonts w:ascii="Arial" w:hAnsi="Arial" w:cs="Arial"/>
        </w:rPr>
        <w:t xml:space="preserve"> ČOI je orgánem státní správy podřízeným Ministerstvu průmyslu a obchodu,</w:t>
      </w:r>
      <w:r w:rsidR="003E2E06">
        <w:rPr>
          <w:rFonts w:ascii="Arial" w:hAnsi="Arial" w:cs="Arial"/>
        </w:rPr>
        <w:t xml:space="preserve"> je organizační složkou státu a </w:t>
      </w:r>
      <w:r w:rsidRPr="00022C26">
        <w:rPr>
          <w:rFonts w:ascii="Arial" w:hAnsi="Arial" w:cs="Arial"/>
        </w:rPr>
        <w:t xml:space="preserve">účetní jednotkou. ČOI se člení na ústřední inspektorát a jemu podřízené (oblastní) </w:t>
      </w:r>
      <w:r w:rsidRPr="00B56B16">
        <w:rPr>
          <w:rFonts w:ascii="Arial" w:hAnsi="Arial" w:cs="Arial"/>
        </w:rPr>
        <w:t>inspektoráty</w:t>
      </w:r>
      <w:r w:rsidRPr="00022C26">
        <w:rPr>
          <w:rFonts w:ascii="Arial" w:hAnsi="Arial" w:cs="Arial"/>
        </w:rPr>
        <w:t>.</w:t>
      </w:r>
      <w:r w:rsidR="00B56B16">
        <w:rPr>
          <w:rFonts w:ascii="Arial" w:hAnsi="Arial" w:cs="Arial"/>
        </w:rPr>
        <w:t xml:space="preserve"> ČOI </w:t>
      </w:r>
      <w:r w:rsidR="00454C7B">
        <w:rPr>
          <w:rFonts w:ascii="Arial" w:hAnsi="Arial" w:cs="Arial"/>
        </w:rPr>
        <w:t>byla kontrol</w:t>
      </w:r>
      <w:r w:rsidR="003F5587">
        <w:rPr>
          <w:rFonts w:ascii="Arial" w:hAnsi="Arial" w:cs="Arial"/>
        </w:rPr>
        <w:t>ována jako tzv. ukladatel</w:t>
      </w:r>
      <w:r w:rsidR="00454C7B">
        <w:rPr>
          <w:rFonts w:ascii="Arial" w:hAnsi="Arial" w:cs="Arial"/>
        </w:rPr>
        <w:t xml:space="preserve"> PP.</w:t>
      </w:r>
    </w:p>
    <w:p w14:paraId="3D70531B" w14:textId="77777777" w:rsidR="00705BE5" w:rsidRDefault="00705BE5" w:rsidP="007F581E">
      <w:pPr>
        <w:spacing w:after="0" w:line="240" w:lineRule="auto"/>
        <w:jc w:val="both"/>
        <w:rPr>
          <w:rFonts w:ascii="Arial" w:hAnsi="Arial" w:cs="Arial"/>
        </w:rPr>
      </w:pPr>
    </w:p>
    <w:p w14:paraId="6515804E" w14:textId="094C39B4" w:rsidR="00454C7B" w:rsidRDefault="00454C7B" w:rsidP="007F581E">
      <w:pPr>
        <w:spacing w:after="0" w:line="240" w:lineRule="auto"/>
        <w:jc w:val="both"/>
        <w:rPr>
          <w:rFonts w:ascii="Arial" w:hAnsi="Arial" w:cs="Arial"/>
        </w:rPr>
      </w:pPr>
      <w:r w:rsidRPr="00022C26">
        <w:rPr>
          <w:rFonts w:ascii="Arial" w:hAnsi="Arial" w:cs="Arial"/>
          <w:b/>
        </w:rPr>
        <w:t xml:space="preserve">Státní veterinární správa </w:t>
      </w:r>
      <w:r w:rsidRPr="00022C26">
        <w:rPr>
          <w:rFonts w:ascii="Arial" w:hAnsi="Arial" w:cs="Arial"/>
          <w:bCs/>
        </w:rPr>
        <w:t>byla</w:t>
      </w:r>
      <w:r w:rsidR="00DC19F2">
        <w:rPr>
          <w:rFonts w:ascii="Arial" w:hAnsi="Arial" w:cs="Arial"/>
          <w:bCs/>
        </w:rPr>
        <w:t xml:space="preserve"> zřízena zákonem č. 166/1999 Sb.,</w:t>
      </w:r>
      <w:r w:rsidR="00DC19F2" w:rsidRPr="00DC19F2">
        <w:rPr>
          <w:rFonts w:ascii="Arial" w:hAnsi="Arial" w:cs="Arial"/>
          <w:bCs/>
        </w:rPr>
        <w:t xml:space="preserve"> </w:t>
      </w:r>
      <w:r w:rsidR="00DC19F2">
        <w:rPr>
          <w:rFonts w:ascii="Arial" w:hAnsi="Arial" w:cs="Arial"/>
          <w:bCs/>
        </w:rPr>
        <w:t>o veterinární péči a o </w:t>
      </w:r>
      <w:r w:rsidR="00DC19F2" w:rsidRPr="00DC19F2">
        <w:rPr>
          <w:rFonts w:ascii="Arial" w:hAnsi="Arial" w:cs="Arial"/>
          <w:bCs/>
        </w:rPr>
        <w:t>změně některých souvisejících zákonů.</w:t>
      </w:r>
      <w:r w:rsidRPr="00DC19F2">
        <w:rPr>
          <w:rFonts w:ascii="Arial" w:hAnsi="Arial" w:cs="Arial"/>
          <w:bCs/>
        </w:rPr>
        <w:t xml:space="preserve"> SVS je organizační složkou st</w:t>
      </w:r>
      <w:r w:rsidRPr="00022C26">
        <w:rPr>
          <w:rFonts w:ascii="Arial" w:hAnsi="Arial" w:cs="Arial"/>
        </w:rPr>
        <w:t xml:space="preserve">átu a účetní jednotkou. SVS je podřízena Ministerstvu zemědělství. SVS je tvořena Ústřední veterinární správou, </w:t>
      </w:r>
      <w:r w:rsidRPr="00022C26">
        <w:rPr>
          <w:rFonts w:ascii="Arial" w:hAnsi="Arial" w:cs="Arial"/>
          <w:b/>
        </w:rPr>
        <w:t>k</w:t>
      </w:r>
      <w:r w:rsidR="008F758D">
        <w:rPr>
          <w:rFonts w:ascii="Arial" w:hAnsi="Arial" w:cs="Arial"/>
          <w:b/>
        </w:rPr>
        <w:t>rajskými veterinárními správami</w:t>
      </w:r>
      <w:r w:rsidR="00493175">
        <w:rPr>
          <w:rFonts w:ascii="Arial" w:hAnsi="Arial" w:cs="Arial"/>
          <w:b/>
        </w:rPr>
        <w:t xml:space="preserve"> </w:t>
      </w:r>
      <w:r w:rsidR="00493175" w:rsidRPr="00493175">
        <w:rPr>
          <w:rFonts w:ascii="Arial" w:hAnsi="Arial" w:cs="Arial"/>
        </w:rPr>
        <w:t xml:space="preserve">a </w:t>
      </w:r>
      <w:r w:rsidR="00493175">
        <w:rPr>
          <w:rFonts w:ascii="Arial" w:hAnsi="Arial" w:cs="Arial"/>
        </w:rPr>
        <w:t>Městskou veterinární správou v Praze</w:t>
      </w:r>
      <w:r w:rsidRPr="008F758D">
        <w:rPr>
          <w:rFonts w:ascii="Arial" w:hAnsi="Arial" w:cs="Arial"/>
        </w:rPr>
        <w:t>.</w:t>
      </w:r>
      <w:r w:rsidRPr="00454C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SVS byla kontrolována jako ukladatel PP.</w:t>
      </w:r>
    </w:p>
    <w:p w14:paraId="193108AE" w14:textId="77777777" w:rsidR="00705BE5" w:rsidRPr="00022C26" w:rsidRDefault="00705BE5" w:rsidP="007F581E">
      <w:pPr>
        <w:spacing w:after="0" w:line="240" w:lineRule="auto"/>
        <w:jc w:val="both"/>
        <w:rPr>
          <w:rFonts w:ascii="Arial" w:hAnsi="Arial" w:cs="Arial"/>
        </w:rPr>
      </w:pPr>
    </w:p>
    <w:p w14:paraId="1E9F7CF8" w14:textId="44D45461" w:rsidR="00AF7948" w:rsidRDefault="00454C7B" w:rsidP="007F581E">
      <w:pPr>
        <w:spacing w:after="0" w:line="240" w:lineRule="auto"/>
        <w:jc w:val="both"/>
        <w:rPr>
          <w:rFonts w:ascii="Arial" w:hAnsi="Arial" w:cs="Arial"/>
        </w:rPr>
      </w:pPr>
      <w:r w:rsidRPr="00454C7B">
        <w:rPr>
          <w:rFonts w:ascii="Arial" w:hAnsi="Arial" w:cs="Arial"/>
          <w:b/>
        </w:rPr>
        <w:t>Obce</w:t>
      </w:r>
      <w:r w:rsidRPr="00454C7B">
        <w:rPr>
          <w:rFonts w:ascii="Arial" w:hAnsi="Arial" w:cs="Arial"/>
        </w:rPr>
        <w:t xml:space="preserve"> </w:t>
      </w:r>
      <w:r w:rsidRPr="00022C26">
        <w:rPr>
          <w:rFonts w:ascii="Arial" w:hAnsi="Arial" w:cs="Arial"/>
        </w:rPr>
        <w:t>vykonávají přenesenou působnost státu ve věcech, které stanoví zvláštní zákony</w:t>
      </w:r>
      <w:r>
        <w:rPr>
          <w:rFonts w:ascii="Arial" w:hAnsi="Arial" w:cs="Arial"/>
        </w:rPr>
        <w:t>. Kontrolované</w:t>
      </w:r>
      <w:r w:rsidRPr="00022C26">
        <w:rPr>
          <w:rFonts w:ascii="Arial" w:hAnsi="Arial" w:cs="Arial"/>
        </w:rPr>
        <w:t xml:space="preserve"> obce jsou obcemi s rozšířenou působností</w:t>
      </w:r>
      <w:r>
        <w:rPr>
          <w:rFonts w:ascii="Arial" w:hAnsi="Arial" w:cs="Arial"/>
        </w:rPr>
        <w:t>.</w:t>
      </w:r>
      <w:r w:rsidRPr="00454C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Vybrané obce byly kontrolovány jako ukladatelé PP.</w:t>
      </w:r>
    </w:p>
    <w:p w14:paraId="0926B4D6" w14:textId="77777777" w:rsidR="00705BE5" w:rsidRPr="00AF7948" w:rsidRDefault="00705BE5" w:rsidP="00B60A9B">
      <w:pPr>
        <w:spacing w:after="0"/>
        <w:jc w:val="both"/>
        <w:rPr>
          <w:rFonts w:ascii="Arial" w:hAnsi="Arial" w:cs="Arial"/>
          <w:highlight w:val="yellow"/>
        </w:rPr>
      </w:pPr>
    </w:p>
    <w:p w14:paraId="03AF22DA" w14:textId="4B42D6D4" w:rsidR="001D55B9" w:rsidRDefault="007A1779" w:rsidP="00B60A9B">
      <w:pPr>
        <w:spacing w:after="0" w:line="240" w:lineRule="auto"/>
        <w:jc w:val="both"/>
        <w:rPr>
          <w:rFonts w:ascii="Arial" w:hAnsi="Arial" w:cs="Arial"/>
        </w:rPr>
      </w:pPr>
      <w:r w:rsidRPr="007A1779">
        <w:rPr>
          <w:rFonts w:ascii="Arial" w:hAnsi="Arial" w:cs="Arial"/>
        </w:rPr>
        <w:t xml:space="preserve">Kontrole byla podrobena tzv. </w:t>
      </w:r>
      <w:r w:rsidRPr="007A1779">
        <w:rPr>
          <w:rFonts w:ascii="Arial" w:hAnsi="Arial" w:cs="Arial"/>
          <w:i/>
        </w:rPr>
        <w:t>věcná</w:t>
      </w:r>
      <w:r w:rsidRPr="007A1779">
        <w:rPr>
          <w:rFonts w:ascii="Arial" w:hAnsi="Arial" w:cs="Arial"/>
        </w:rPr>
        <w:t xml:space="preserve"> neboli </w:t>
      </w:r>
      <w:r w:rsidRPr="001D55B9">
        <w:rPr>
          <w:rFonts w:ascii="Arial" w:hAnsi="Arial" w:cs="Arial"/>
          <w:b/>
          <w:i/>
        </w:rPr>
        <w:t>kompetenční dělená správa</w:t>
      </w:r>
      <w:r w:rsidR="00AF7948" w:rsidRPr="007A1779">
        <w:rPr>
          <w:rFonts w:ascii="Arial" w:hAnsi="Arial" w:cs="Arial"/>
        </w:rPr>
        <w:t>,</w:t>
      </w:r>
      <w:r w:rsidRPr="007A1779">
        <w:rPr>
          <w:rFonts w:ascii="Arial" w:hAnsi="Arial" w:cs="Arial"/>
        </w:rPr>
        <w:t xml:space="preserve"> ke které dochází, pokud orgán veřejné moci, který uložil platební povinnost k peněžitému plnění</w:t>
      </w:r>
      <w:r w:rsidR="001D55B9">
        <w:rPr>
          <w:rFonts w:ascii="Arial" w:hAnsi="Arial" w:cs="Arial"/>
        </w:rPr>
        <w:t xml:space="preserve"> (ukladatel PP)</w:t>
      </w:r>
      <w:r w:rsidRPr="007A1779">
        <w:rPr>
          <w:rFonts w:ascii="Arial" w:hAnsi="Arial" w:cs="Arial"/>
        </w:rPr>
        <w:t xml:space="preserve">, není současně příslušný ke </w:t>
      </w:r>
      <w:r w:rsidRPr="007B60C3">
        <w:rPr>
          <w:rFonts w:ascii="Arial" w:hAnsi="Arial" w:cs="Arial"/>
          <w:b/>
        </w:rPr>
        <w:t>správě placení</w:t>
      </w:r>
      <w:r>
        <w:rPr>
          <w:rFonts w:ascii="Arial" w:hAnsi="Arial" w:cs="Arial"/>
        </w:rPr>
        <w:t xml:space="preserve">, resp. </w:t>
      </w:r>
      <w:r w:rsidRPr="007B60C3">
        <w:rPr>
          <w:rFonts w:ascii="Arial" w:hAnsi="Arial" w:cs="Arial"/>
          <w:b/>
        </w:rPr>
        <w:t>správě vymáhání</w:t>
      </w:r>
      <w:r w:rsidR="00B24997" w:rsidRPr="008B7A74">
        <w:rPr>
          <w:rStyle w:val="Znakapoznpodarou"/>
          <w:rFonts w:ascii="Arial" w:hAnsi="Arial" w:cs="Arial"/>
        </w:rPr>
        <w:footnoteReference w:id="2"/>
      </w:r>
      <w:r w:rsidRPr="007A17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uloženého</w:t>
      </w:r>
      <w:r w:rsidRPr="007A17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PP.</w:t>
      </w:r>
      <w:r w:rsidR="00AF7948" w:rsidRPr="007A1779">
        <w:rPr>
          <w:rFonts w:ascii="Arial" w:hAnsi="Arial" w:cs="Arial"/>
        </w:rPr>
        <w:t xml:space="preserve"> </w:t>
      </w:r>
      <w:r w:rsidR="001D55B9">
        <w:rPr>
          <w:rFonts w:ascii="Arial" w:hAnsi="Arial" w:cs="Arial"/>
        </w:rPr>
        <w:t xml:space="preserve">Postupy a údaje předávané mezi ukladatelem PP a orgánem příslušným ke správě placení </w:t>
      </w:r>
      <w:r w:rsidR="001D55B9">
        <w:rPr>
          <w:rFonts w:ascii="Arial" w:hAnsi="Arial" w:cs="Arial"/>
        </w:rPr>
        <w:lastRenderedPageBreak/>
        <w:t>a</w:t>
      </w:r>
      <w:r w:rsidR="003E2E06">
        <w:rPr>
          <w:rFonts w:ascii="Arial" w:hAnsi="Arial" w:cs="Arial"/>
        </w:rPr>
        <w:t> </w:t>
      </w:r>
      <w:r w:rsidR="001D55B9">
        <w:rPr>
          <w:rFonts w:ascii="Arial" w:hAnsi="Arial" w:cs="Arial"/>
        </w:rPr>
        <w:t>správě vymáhání P</w:t>
      </w:r>
      <w:r w:rsidR="00DC19F2">
        <w:rPr>
          <w:rFonts w:ascii="Arial" w:hAnsi="Arial" w:cs="Arial"/>
        </w:rPr>
        <w:t>P upravuje zákon č. 280/2009 Sb., daňový řád</w:t>
      </w:r>
      <w:r w:rsidR="00D644A1">
        <w:rPr>
          <w:rFonts w:ascii="Arial" w:hAnsi="Arial" w:cs="Arial"/>
        </w:rPr>
        <w:t>,</w:t>
      </w:r>
      <w:r w:rsidR="001D55B9">
        <w:rPr>
          <w:rFonts w:ascii="Arial" w:hAnsi="Arial" w:cs="Arial"/>
        </w:rPr>
        <w:t xml:space="preserve"> (dále také „DŘ“).</w:t>
      </w:r>
      <w:r w:rsidR="001D55B9" w:rsidRPr="001D55B9">
        <w:rPr>
          <w:rFonts w:ascii="Arial" w:hAnsi="Arial" w:cs="Arial"/>
        </w:rPr>
        <w:t xml:space="preserve"> </w:t>
      </w:r>
      <w:r w:rsidR="001D55B9" w:rsidRPr="00022C26">
        <w:rPr>
          <w:rFonts w:ascii="Arial" w:hAnsi="Arial" w:cs="Arial"/>
        </w:rPr>
        <w:t xml:space="preserve">Vlastní systém </w:t>
      </w:r>
      <w:r w:rsidR="001D55B9">
        <w:rPr>
          <w:rFonts w:ascii="Arial" w:hAnsi="Arial" w:cs="Arial"/>
        </w:rPr>
        <w:t>kompetenční</w:t>
      </w:r>
      <w:r w:rsidR="001D55B9" w:rsidRPr="00022C26">
        <w:rPr>
          <w:rFonts w:ascii="Arial" w:hAnsi="Arial" w:cs="Arial"/>
        </w:rPr>
        <w:t xml:space="preserve"> </w:t>
      </w:r>
      <w:r w:rsidR="001D55B9">
        <w:rPr>
          <w:rFonts w:ascii="Arial" w:hAnsi="Arial" w:cs="Arial"/>
        </w:rPr>
        <w:t>dělené správy</w:t>
      </w:r>
      <w:r w:rsidR="001D55B9" w:rsidRPr="00022C26">
        <w:rPr>
          <w:rFonts w:ascii="Arial" w:hAnsi="Arial" w:cs="Arial"/>
        </w:rPr>
        <w:t xml:space="preserve"> funguje tak, že ukladatel </w:t>
      </w:r>
      <w:r w:rsidR="0065670C">
        <w:rPr>
          <w:rFonts w:ascii="Arial" w:hAnsi="Arial" w:cs="Arial"/>
        </w:rPr>
        <w:t xml:space="preserve">PP </w:t>
      </w:r>
      <w:r w:rsidR="001D55B9" w:rsidRPr="00022C26">
        <w:rPr>
          <w:rFonts w:ascii="Arial" w:hAnsi="Arial" w:cs="Arial"/>
        </w:rPr>
        <w:t xml:space="preserve">rozhodne podle zvláštního zákona </w:t>
      </w:r>
      <w:r w:rsidR="0065670C">
        <w:rPr>
          <w:rFonts w:ascii="Arial" w:hAnsi="Arial" w:cs="Arial"/>
        </w:rPr>
        <w:t>ve správním řízení</w:t>
      </w:r>
      <w:r w:rsidR="001F4F1C">
        <w:rPr>
          <w:rStyle w:val="Znakapoznpodarou"/>
          <w:rFonts w:ascii="Arial" w:hAnsi="Arial" w:cs="Arial"/>
        </w:rPr>
        <w:footnoteReference w:id="3"/>
      </w:r>
      <w:r w:rsidR="0065670C">
        <w:rPr>
          <w:rFonts w:ascii="Arial" w:hAnsi="Arial" w:cs="Arial"/>
        </w:rPr>
        <w:t xml:space="preserve"> o uložení PP</w:t>
      </w:r>
      <w:r w:rsidR="001D55B9" w:rsidRPr="00022C26">
        <w:rPr>
          <w:rFonts w:ascii="Arial" w:hAnsi="Arial" w:cs="Arial"/>
        </w:rPr>
        <w:t xml:space="preserve"> a celnímu úřadu předá podklady pro vyb</w:t>
      </w:r>
      <w:r w:rsidR="008B7A74">
        <w:rPr>
          <w:rFonts w:ascii="Arial" w:hAnsi="Arial" w:cs="Arial"/>
        </w:rPr>
        <w:t>í</w:t>
      </w:r>
      <w:r w:rsidR="007F452A">
        <w:rPr>
          <w:rFonts w:ascii="Arial" w:hAnsi="Arial" w:cs="Arial"/>
        </w:rPr>
        <w:t>rání a </w:t>
      </w:r>
      <w:r w:rsidR="001D55B9" w:rsidRPr="00022C26">
        <w:rPr>
          <w:rFonts w:ascii="Arial" w:hAnsi="Arial" w:cs="Arial"/>
        </w:rPr>
        <w:t xml:space="preserve">vymáhání nebo jen vymáhání PP. CÚ </w:t>
      </w:r>
      <w:r w:rsidR="00B67767">
        <w:rPr>
          <w:rFonts w:ascii="Arial" w:hAnsi="Arial" w:cs="Arial"/>
        </w:rPr>
        <w:t>je</w:t>
      </w:r>
      <w:r w:rsidR="001D55B9" w:rsidRPr="00022C26">
        <w:rPr>
          <w:rFonts w:ascii="Arial" w:hAnsi="Arial" w:cs="Arial"/>
        </w:rPr>
        <w:t xml:space="preserve"> při vybírání a vymáhání </w:t>
      </w:r>
      <w:r w:rsidR="0065670C">
        <w:rPr>
          <w:rFonts w:ascii="Arial" w:hAnsi="Arial" w:cs="Arial"/>
        </w:rPr>
        <w:t>PP správce</w:t>
      </w:r>
      <w:r w:rsidR="009E7DE1">
        <w:rPr>
          <w:rFonts w:ascii="Arial" w:hAnsi="Arial" w:cs="Arial"/>
        </w:rPr>
        <w:t>m</w:t>
      </w:r>
      <w:r w:rsidR="0065670C">
        <w:rPr>
          <w:rFonts w:ascii="Arial" w:hAnsi="Arial" w:cs="Arial"/>
        </w:rPr>
        <w:t xml:space="preserve"> daně a </w:t>
      </w:r>
      <w:r w:rsidR="001D55B9" w:rsidRPr="00022C26">
        <w:rPr>
          <w:rFonts w:ascii="Arial" w:hAnsi="Arial" w:cs="Arial"/>
        </w:rPr>
        <w:t>postupuje podle DŘ.</w:t>
      </w:r>
    </w:p>
    <w:p w14:paraId="2CF41D02" w14:textId="77777777" w:rsidR="00705BE5" w:rsidRPr="00022C26" w:rsidRDefault="00705BE5" w:rsidP="00B60A9B">
      <w:pPr>
        <w:spacing w:after="0" w:line="240" w:lineRule="auto"/>
        <w:jc w:val="both"/>
        <w:rPr>
          <w:rFonts w:ascii="Arial" w:hAnsi="Arial" w:cs="Arial"/>
        </w:rPr>
      </w:pPr>
    </w:p>
    <w:p w14:paraId="19CA8801" w14:textId="0B33E59E" w:rsidR="00BF0989" w:rsidRDefault="00BF0989" w:rsidP="00B60A9B">
      <w:pPr>
        <w:spacing w:after="0" w:line="240" w:lineRule="auto"/>
        <w:jc w:val="both"/>
        <w:rPr>
          <w:rFonts w:ascii="Arial" w:hAnsi="Arial" w:cs="Arial"/>
        </w:rPr>
      </w:pPr>
      <w:r w:rsidRPr="003C5EC3">
        <w:rPr>
          <w:rFonts w:ascii="Arial" w:hAnsi="Arial" w:cs="Arial"/>
        </w:rPr>
        <w:t xml:space="preserve">Největší část PP evidovaných CS </w:t>
      </w:r>
      <w:r w:rsidR="005A5A48" w:rsidRPr="003C5EC3">
        <w:rPr>
          <w:rFonts w:ascii="Arial" w:hAnsi="Arial" w:cs="Arial"/>
        </w:rPr>
        <w:t xml:space="preserve">v rámci dělené správy </w:t>
      </w:r>
      <w:r w:rsidRPr="003C5EC3">
        <w:rPr>
          <w:rFonts w:ascii="Arial" w:hAnsi="Arial" w:cs="Arial"/>
        </w:rPr>
        <w:t xml:space="preserve">tvoří </w:t>
      </w:r>
      <w:r w:rsidR="003841C3">
        <w:rPr>
          <w:rFonts w:ascii="Arial" w:hAnsi="Arial" w:cs="Arial"/>
        </w:rPr>
        <w:t>nedoplatky na pokutách v hodnotách</w:t>
      </w:r>
      <w:r w:rsidRPr="003C5EC3">
        <w:rPr>
          <w:rFonts w:ascii="Arial" w:hAnsi="Arial" w:cs="Arial"/>
        </w:rPr>
        <w:t xml:space="preserve"> </w:t>
      </w:r>
      <w:r w:rsidR="003841C3">
        <w:rPr>
          <w:rFonts w:ascii="Arial" w:hAnsi="Arial" w:cs="Arial"/>
        </w:rPr>
        <w:t>mezi</w:t>
      </w:r>
      <w:r w:rsidRPr="003C5EC3">
        <w:rPr>
          <w:rFonts w:ascii="Arial" w:hAnsi="Arial" w:cs="Arial"/>
        </w:rPr>
        <w:t xml:space="preserve"> 500 </w:t>
      </w:r>
      <w:r w:rsidR="00D644A1">
        <w:rPr>
          <w:rFonts w:ascii="Arial" w:hAnsi="Arial" w:cs="Arial"/>
        </w:rPr>
        <w:t>až</w:t>
      </w:r>
      <w:r w:rsidRPr="003C5EC3">
        <w:rPr>
          <w:rFonts w:ascii="Arial" w:hAnsi="Arial" w:cs="Arial"/>
        </w:rPr>
        <w:t xml:space="preserve"> 2</w:t>
      </w:r>
      <w:r w:rsidR="00D644A1">
        <w:rPr>
          <w:rFonts w:ascii="Arial" w:hAnsi="Arial" w:cs="Arial"/>
        </w:rPr>
        <w:t> </w:t>
      </w:r>
      <w:r w:rsidRPr="003C5EC3">
        <w:rPr>
          <w:rFonts w:ascii="Arial" w:hAnsi="Arial" w:cs="Arial"/>
        </w:rPr>
        <w:t xml:space="preserve">000 Kč. Jedná se </w:t>
      </w:r>
      <w:r w:rsidR="003C5EC3" w:rsidRPr="003C5EC3">
        <w:rPr>
          <w:rFonts w:ascii="Arial" w:hAnsi="Arial" w:cs="Arial"/>
        </w:rPr>
        <w:t xml:space="preserve">především </w:t>
      </w:r>
      <w:r w:rsidRPr="003C5EC3">
        <w:rPr>
          <w:rFonts w:ascii="Arial" w:hAnsi="Arial" w:cs="Arial"/>
        </w:rPr>
        <w:t>o pokuty ukládané v blokovém řízení, které přestupce neuhradí na místě.</w:t>
      </w:r>
    </w:p>
    <w:p w14:paraId="2C099019" w14:textId="60FC9FCF" w:rsidR="00705BE5" w:rsidRPr="003C5EC3" w:rsidRDefault="00B60A9B" w:rsidP="00B60A9B">
      <w:pPr>
        <w:tabs>
          <w:tab w:val="left" w:pos="91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9D06031" w14:textId="1E819E63" w:rsidR="00BF0989" w:rsidRPr="00592F16" w:rsidRDefault="00BF0989" w:rsidP="00B60A9B">
      <w:pPr>
        <w:spacing w:after="0" w:line="240" w:lineRule="auto"/>
        <w:jc w:val="both"/>
        <w:rPr>
          <w:rFonts w:ascii="Arial" w:hAnsi="Arial" w:cs="Arial"/>
        </w:rPr>
      </w:pPr>
      <w:r w:rsidRPr="003C5EC3">
        <w:rPr>
          <w:rFonts w:ascii="Arial" w:hAnsi="Arial" w:cs="Arial"/>
        </w:rPr>
        <w:t>Další významnou kategorii PP tvoří poplatky a odvody na tzv. ekologických druzích příjmu, jedná se především o odvody za odnětí zemědělské půdy a poplatky za odnětí pozemků plnění funkcí lesa. Tato kategorie PP tvoří největší podíl příjmů v dělené správě (CS</w:t>
      </w:r>
      <w:r w:rsidR="00D644A1">
        <w:rPr>
          <w:rFonts w:ascii="Arial" w:hAnsi="Arial" w:cs="Arial"/>
        </w:rPr>
        <w:t> </w:t>
      </w:r>
      <w:r w:rsidRPr="003C5EC3">
        <w:rPr>
          <w:rFonts w:ascii="Arial" w:hAnsi="Arial" w:cs="Arial"/>
        </w:rPr>
        <w:t xml:space="preserve">vykázala v roce 2012 </w:t>
      </w:r>
      <w:r w:rsidR="008B7A74">
        <w:rPr>
          <w:rFonts w:ascii="Arial" w:hAnsi="Arial" w:cs="Arial"/>
        </w:rPr>
        <w:t xml:space="preserve">jejich </w:t>
      </w:r>
      <w:r w:rsidRPr="003C5EC3">
        <w:rPr>
          <w:rFonts w:ascii="Arial" w:hAnsi="Arial" w:cs="Arial"/>
        </w:rPr>
        <w:t>podíl na výnosech ve výši 76,49 %)</w:t>
      </w:r>
      <w:r w:rsidRPr="003C5EC3">
        <w:rPr>
          <w:rStyle w:val="Znakapoznpodarou"/>
          <w:rFonts w:ascii="Arial" w:hAnsi="Arial" w:cs="Arial"/>
        </w:rPr>
        <w:footnoteReference w:id="4"/>
      </w:r>
      <w:r w:rsidRPr="003C5EC3">
        <w:rPr>
          <w:rFonts w:ascii="Arial" w:hAnsi="Arial" w:cs="Arial"/>
        </w:rPr>
        <w:t>.</w:t>
      </w:r>
    </w:p>
    <w:p w14:paraId="123E0CBA" w14:textId="77777777" w:rsidR="00A41C38" w:rsidRDefault="00A41C38" w:rsidP="00766597">
      <w:pPr>
        <w:spacing w:after="0" w:line="240" w:lineRule="auto"/>
        <w:jc w:val="both"/>
        <w:rPr>
          <w:rFonts w:ascii="Arial" w:hAnsi="Arial" w:cs="Arial"/>
        </w:rPr>
      </w:pPr>
    </w:p>
    <w:p w14:paraId="2242BF13" w14:textId="77777777" w:rsidR="004E002B" w:rsidRPr="00680E05" w:rsidRDefault="004E002B" w:rsidP="00766597">
      <w:pPr>
        <w:spacing w:after="0" w:line="240" w:lineRule="auto"/>
        <w:jc w:val="both"/>
        <w:rPr>
          <w:rFonts w:ascii="Arial" w:hAnsi="Arial" w:cs="Arial"/>
        </w:rPr>
      </w:pPr>
    </w:p>
    <w:p w14:paraId="123E0CBB" w14:textId="77777777" w:rsidR="003D409D" w:rsidRPr="005273FE" w:rsidRDefault="003D409D" w:rsidP="00B60A9B">
      <w:pPr>
        <w:spacing w:after="0" w:line="240" w:lineRule="auto"/>
        <w:ind w:left="624" w:hanging="624"/>
        <w:jc w:val="both"/>
        <w:rPr>
          <w:rFonts w:ascii="Arial" w:hAnsi="Arial" w:cs="Arial"/>
          <w:sz w:val="18"/>
          <w:szCs w:val="18"/>
        </w:rPr>
      </w:pPr>
      <w:r w:rsidRPr="00B60A9B">
        <w:rPr>
          <w:rFonts w:ascii="Arial" w:hAnsi="Arial" w:cs="Arial"/>
          <w:b/>
          <w:sz w:val="18"/>
          <w:szCs w:val="18"/>
        </w:rPr>
        <w:t>Pozn.:</w:t>
      </w:r>
      <w:r w:rsidRPr="005273FE">
        <w:rPr>
          <w:rFonts w:ascii="Arial" w:hAnsi="Arial" w:cs="Arial"/>
          <w:sz w:val="18"/>
          <w:szCs w:val="18"/>
        </w:rPr>
        <w:t xml:space="preserve"> Všechny právní předpisy uváděné </w:t>
      </w:r>
      <w:r w:rsidR="008026DA" w:rsidRPr="005273FE">
        <w:rPr>
          <w:rFonts w:ascii="Arial" w:hAnsi="Arial" w:cs="Arial"/>
          <w:sz w:val="18"/>
          <w:szCs w:val="18"/>
        </w:rPr>
        <w:t>v </w:t>
      </w:r>
      <w:r w:rsidRPr="005273FE">
        <w:rPr>
          <w:rFonts w:ascii="Arial" w:hAnsi="Arial" w:cs="Arial"/>
          <w:sz w:val="18"/>
          <w:szCs w:val="18"/>
        </w:rPr>
        <w:t>tomto kontrolním závěru jsou aplikovány ve znění účinném pro kontrolované období.</w:t>
      </w:r>
    </w:p>
    <w:p w14:paraId="500AB743" w14:textId="77777777" w:rsidR="004E002B" w:rsidRDefault="004E002B" w:rsidP="00766597">
      <w:pPr>
        <w:spacing w:after="0" w:line="240" w:lineRule="auto"/>
        <w:rPr>
          <w:rFonts w:ascii="Arial" w:hAnsi="Arial" w:cs="Arial"/>
        </w:rPr>
      </w:pPr>
    </w:p>
    <w:p w14:paraId="46255BE2" w14:textId="77777777" w:rsidR="004E002B" w:rsidRDefault="004E002B" w:rsidP="00766597">
      <w:pPr>
        <w:spacing w:after="0" w:line="240" w:lineRule="auto"/>
        <w:rPr>
          <w:rFonts w:ascii="Arial" w:hAnsi="Arial" w:cs="Arial"/>
        </w:rPr>
      </w:pPr>
    </w:p>
    <w:p w14:paraId="370D0499" w14:textId="77777777" w:rsidR="008C22B3" w:rsidRDefault="008C22B3" w:rsidP="00766597">
      <w:pPr>
        <w:spacing w:after="0" w:line="240" w:lineRule="auto"/>
        <w:rPr>
          <w:rFonts w:ascii="Arial" w:hAnsi="Arial" w:cs="Arial"/>
        </w:rPr>
      </w:pPr>
    </w:p>
    <w:p w14:paraId="123E0CBE" w14:textId="77777777" w:rsidR="00D05825" w:rsidRDefault="00327009" w:rsidP="00B60A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2621">
        <w:rPr>
          <w:rFonts w:ascii="Arial" w:hAnsi="Arial" w:cs="Arial"/>
          <w:b/>
          <w:sz w:val="24"/>
          <w:szCs w:val="24"/>
        </w:rPr>
        <w:t xml:space="preserve">II. </w:t>
      </w:r>
      <w:r w:rsidR="00D05825" w:rsidRPr="009D2621">
        <w:rPr>
          <w:rFonts w:ascii="Arial" w:hAnsi="Arial" w:cs="Arial"/>
          <w:b/>
          <w:sz w:val="24"/>
          <w:szCs w:val="24"/>
        </w:rPr>
        <w:t>Skutečnosti zjištěné při kontrole</w:t>
      </w:r>
    </w:p>
    <w:p w14:paraId="123E0CBF" w14:textId="77777777" w:rsidR="009D2621" w:rsidRDefault="009D2621" w:rsidP="00766597">
      <w:pPr>
        <w:spacing w:after="0" w:line="240" w:lineRule="auto"/>
        <w:jc w:val="center"/>
        <w:rPr>
          <w:rFonts w:ascii="Arial" w:hAnsi="Arial" w:cs="Arial"/>
          <w:b/>
        </w:rPr>
      </w:pPr>
    </w:p>
    <w:p w14:paraId="1D0A358A" w14:textId="77777777" w:rsidR="00705BE5" w:rsidRPr="009D2621" w:rsidRDefault="00705BE5" w:rsidP="00766597">
      <w:pPr>
        <w:spacing w:after="0" w:line="240" w:lineRule="auto"/>
        <w:jc w:val="center"/>
        <w:rPr>
          <w:rFonts w:ascii="Arial" w:hAnsi="Arial" w:cs="Arial"/>
          <w:b/>
        </w:rPr>
      </w:pPr>
    </w:p>
    <w:p w14:paraId="123E0CC0" w14:textId="5D0E2857" w:rsidR="00E6100A" w:rsidRPr="00B60A9B" w:rsidRDefault="00EC4836" w:rsidP="00EC483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3841C3" w:rsidRPr="00B60A9B">
        <w:rPr>
          <w:rFonts w:ascii="Arial" w:hAnsi="Arial" w:cs="Arial"/>
          <w:b/>
        </w:rPr>
        <w:t>Peněžitá plnění</w:t>
      </w:r>
      <w:r w:rsidR="00825F53" w:rsidRPr="00B60A9B">
        <w:rPr>
          <w:rFonts w:ascii="Arial" w:hAnsi="Arial" w:cs="Arial"/>
          <w:b/>
        </w:rPr>
        <w:t xml:space="preserve"> v dělené správě</w:t>
      </w:r>
    </w:p>
    <w:p w14:paraId="2BB4BC89" w14:textId="77777777" w:rsidR="00705BE5" w:rsidRDefault="00705BE5" w:rsidP="00B60A9B">
      <w:pPr>
        <w:spacing w:after="0" w:line="240" w:lineRule="auto"/>
        <w:jc w:val="both"/>
        <w:rPr>
          <w:rFonts w:ascii="Arial" w:hAnsi="Arial" w:cs="Arial"/>
        </w:rPr>
      </w:pPr>
    </w:p>
    <w:p w14:paraId="7547F478" w14:textId="6DA5F80E" w:rsidR="00D409F2" w:rsidRDefault="000A3370" w:rsidP="00B60A9B">
      <w:pPr>
        <w:spacing w:after="0" w:line="240" w:lineRule="auto"/>
        <w:jc w:val="both"/>
        <w:rPr>
          <w:rFonts w:ascii="Arial" w:hAnsi="Arial" w:cs="Arial"/>
        </w:rPr>
      </w:pPr>
      <w:r w:rsidRPr="00D409F2">
        <w:rPr>
          <w:rFonts w:ascii="Arial" w:hAnsi="Arial" w:cs="Arial"/>
        </w:rPr>
        <w:t>CS zaevidovala</w:t>
      </w:r>
      <w:r w:rsidR="00416018" w:rsidRPr="00D409F2">
        <w:rPr>
          <w:rFonts w:ascii="Arial" w:hAnsi="Arial" w:cs="Arial"/>
        </w:rPr>
        <w:t xml:space="preserve"> v kontrolovaném období</w:t>
      </w:r>
      <w:r w:rsidRPr="00D409F2">
        <w:rPr>
          <w:rFonts w:ascii="Arial" w:hAnsi="Arial" w:cs="Arial"/>
        </w:rPr>
        <w:t xml:space="preserve"> </w:t>
      </w:r>
      <w:r w:rsidR="00D409F2" w:rsidRPr="00D409F2">
        <w:rPr>
          <w:rFonts w:ascii="Arial" w:hAnsi="Arial" w:cs="Arial"/>
        </w:rPr>
        <w:t xml:space="preserve">638 925 </w:t>
      </w:r>
      <w:r w:rsidRPr="00D409F2">
        <w:rPr>
          <w:rFonts w:ascii="Arial" w:hAnsi="Arial" w:cs="Arial"/>
        </w:rPr>
        <w:t>PP v celkové hodnotě 2 907</w:t>
      </w:r>
      <w:r w:rsidR="00D409F2" w:rsidRPr="00D409F2">
        <w:rPr>
          <w:rFonts w:ascii="Arial" w:hAnsi="Arial" w:cs="Arial"/>
        </w:rPr>
        <w:t> 118 </w:t>
      </w:r>
      <w:r w:rsidRPr="00D409F2">
        <w:rPr>
          <w:rFonts w:ascii="Arial" w:hAnsi="Arial" w:cs="Arial"/>
        </w:rPr>
        <w:t>tis.</w:t>
      </w:r>
      <w:r w:rsidR="00D409F2">
        <w:rPr>
          <w:rFonts w:ascii="Arial" w:hAnsi="Arial" w:cs="Arial"/>
        </w:rPr>
        <w:t> </w:t>
      </w:r>
      <w:r w:rsidRPr="00D409F2">
        <w:rPr>
          <w:rFonts w:ascii="Arial" w:hAnsi="Arial" w:cs="Arial"/>
        </w:rPr>
        <w:t xml:space="preserve">Kč v roce 2011 a </w:t>
      </w:r>
      <w:r w:rsidR="00D409F2">
        <w:rPr>
          <w:rFonts w:ascii="Arial" w:hAnsi="Arial" w:cs="Arial"/>
        </w:rPr>
        <w:t xml:space="preserve">549 347 PP v celkové hodnotě </w:t>
      </w:r>
      <w:r w:rsidRPr="00D409F2">
        <w:rPr>
          <w:rFonts w:ascii="Arial" w:hAnsi="Arial" w:cs="Arial"/>
        </w:rPr>
        <w:t>3 129 473 tis. Kč v roce 2012</w:t>
      </w:r>
      <w:r w:rsidR="00D409F2">
        <w:rPr>
          <w:rFonts w:ascii="Arial" w:hAnsi="Arial" w:cs="Arial"/>
        </w:rPr>
        <w:t>. CS z PP uložených v kontrolovaném období vybrala a vymohla 457 050</w:t>
      </w:r>
      <w:r w:rsidR="00D409F2" w:rsidRPr="00D409F2">
        <w:rPr>
          <w:rFonts w:ascii="Arial" w:hAnsi="Arial" w:cs="Arial"/>
        </w:rPr>
        <w:t xml:space="preserve"> PP v celkové hodnotě 2 </w:t>
      </w:r>
      <w:r w:rsidR="00D409F2">
        <w:rPr>
          <w:rFonts w:ascii="Arial" w:hAnsi="Arial" w:cs="Arial"/>
        </w:rPr>
        <w:t>62</w:t>
      </w:r>
      <w:r w:rsidR="00D409F2" w:rsidRPr="00D409F2">
        <w:rPr>
          <w:rFonts w:ascii="Arial" w:hAnsi="Arial" w:cs="Arial"/>
        </w:rPr>
        <w:t>7 </w:t>
      </w:r>
      <w:r w:rsidR="00D409F2">
        <w:rPr>
          <w:rFonts w:ascii="Arial" w:hAnsi="Arial" w:cs="Arial"/>
        </w:rPr>
        <w:t>451</w:t>
      </w:r>
      <w:r w:rsidR="00D409F2" w:rsidRPr="00D409F2">
        <w:rPr>
          <w:rFonts w:ascii="Arial" w:hAnsi="Arial" w:cs="Arial"/>
        </w:rPr>
        <w:t xml:space="preserve"> tis. Kč v roce 2011 a </w:t>
      </w:r>
      <w:r w:rsidR="00D409F2">
        <w:rPr>
          <w:rFonts w:ascii="Arial" w:hAnsi="Arial" w:cs="Arial"/>
        </w:rPr>
        <w:t xml:space="preserve">367 083 PP v celkové </w:t>
      </w:r>
      <w:r w:rsidR="00D409F2" w:rsidRPr="00765562">
        <w:rPr>
          <w:rFonts w:ascii="Arial" w:hAnsi="Arial" w:cs="Arial"/>
        </w:rPr>
        <w:t>hodnotě 2 807 857 tis. Kč</w:t>
      </w:r>
      <w:r w:rsidR="00D409F2" w:rsidRPr="00D409F2">
        <w:rPr>
          <w:rFonts w:ascii="Arial" w:hAnsi="Arial" w:cs="Arial"/>
        </w:rPr>
        <w:t xml:space="preserve"> v roce 2012</w:t>
      </w:r>
      <w:r w:rsidR="00CF527E">
        <w:rPr>
          <w:rStyle w:val="Znakapoznpodarou"/>
          <w:rFonts w:ascii="Arial" w:hAnsi="Arial" w:cs="Arial"/>
        </w:rPr>
        <w:footnoteReference w:id="5"/>
      </w:r>
      <w:r w:rsidR="00D409F2">
        <w:rPr>
          <w:rFonts w:ascii="Arial" w:hAnsi="Arial" w:cs="Arial"/>
        </w:rPr>
        <w:t>.</w:t>
      </w:r>
      <w:r w:rsidR="000F438D">
        <w:rPr>
          <w:rFonts w:ascii="Arial" w:hAnsi="Arial" w:cs="Arial"/>
        </w:rPr>
        <w:t xml:space="preserve"> </w:t>
      </w:r>
      <w:r w:rsidR="009D34B1">
        <w:rPr>
          <w:rFonts w:ascii="Arial" w:hAnsi="Arial" w:cs="Arial"/>
        </w:rPr>
        <w:t xml:space="preserve">Přehled </w:t>
      </w:r>
      <w:r w:rsidR="000F438D">
        <w:rPr>
          <w:rFonts w:ascii="Arial" w:hAnsi="Arial" w:cs="Arial"/>
        </w:rPr>
        <w:t xml:space="preserve">PP </w:t>
      </w:r>
      <w:r w:rsidR="003841C3">
        <w:rPr>
          <w:rFonts w:ascii="Arial" w:hAnsi="Arial" w:cs="Arial"/>
        </w:rPr>
        <w:t>je uveden v tabulce</w:t>
      </w:r>
      <w:r w:rsidR="000F438D">
        <w:rPr>
          <w:rFonts w:ascii="Arial" w:hAnsi="Arial" w:cs="Arial"/>
        </w:rPr>
        <w:t xml:space="preserve"> č. 1:</w:t>
      </w:r>
    </w:p>
    <w:p w14:paraId="70483749" w14:textId="77777777" w:rsidR="004E002B" w:rsidRDefault="004E002B" w:rsidP="00B60A9B">
      <w:pPr>
        <w:spacing w:after="0" w:line="240" w:lineRule="auto"/>
        <w:jc w:val="both"/>
        <w:rPr>
          <w:rFonts w:ascii="Arial" w:hAnsi="Arial" w:cs="Arial"/>
        </w:rPr>
      </w:pPr>
    </w:p>
    <w:p w14:paraId="6F27DF3F" w14:textId="3EE917FF" w:rsidR="000F438D" w:rsidRPr="00B60A9B" w:rsidRDefault="00B67767" w:rsidP="000F438D">
      <w:pPr>
        <w:spacing w:after="0" w:line="240" w:lineRule="auto"/>
        <w:jc w:val="both"/>
        <w:rPr>
          <w:rFonts w:ascii="Arial" w:hAnsi="Arial" w:cs="Arial"/>
          <w:b/>
        </w:rPr>
      </w:pPr>
      <w:r w:rsidRPr="00B60A9B">
        <w:rPr>
          <w:rFonts w:ascii="Arial" w:hAnsi="Arial" w:cs="Arial"/>
          <w:b/>
        </w:rPr>
        <w:t>Tabulka č.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843"/>
        <w:gridCol w:w="1843"/>
        <w:gridCol w:w="1984"/>
        <w:gridCol w:w="1134"/>
      </w:tblGrid>
      <w:tr w:rsidR="002E0EDC" w:rsidRPr="00A97734" w14:paraId="5E30850D" w14:textId="77777777" w:rsidTr="002E0EDC">
        <w:trPr>
          <w:trHeight w:val="506"/>
        </w:trPr>
        <w:tc>
          <w:tcPr>
            <w:tcW w:w="9072" w:type="dxa"/>
            <w:gridSpan w:val="6"/>
            <w:shd w:val="clear" w:color="auto" w:fill="D9D9D9" w:themeFill="background1" w:themeFillShade="D9"/>
            <w:vAlign w:val="center"/>
          </w:tcPr>
          <w:p w14:paraId="67AC75CF" w14:textId="33B5D8A7" w:rsidR="002E0EDC" w:rsidRPr="000F438D" w:rsidRDefault="002E0EDC" w:rsidP="002E0EDC">
            <w:pPr>
              <w:spacing w:after="0"/>
              <w:jc w:val="center"/>
              <w:rPr>
                <w:rFonts w:eastAsia="Calibri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Přehled </w:t>
            </w:r>
            <w:r w:rsidRPr="000F438D">
              <w:rPr>
                <w:rFonts w:ascii="Arial" w:hAnsi="Arial" w:cs="Arial"/>
                <w:b/>
              </w:rPr>
              <w:t xml:space="preserve">zaevidovaných </w:t>
            </w:r>
            <w:r>
              <w:rPr>
                <w:rFonts w:ascii="Arial" w:hAnsi="Arial" w:cs="Arial"/>
                <w:b/>
              </w:rPr>
              <w:t>a vymožených peněžitých plnění</w:t>
            </w:r>
            <w:r w:rsidRPr="000F438D">
              <w:rPr>
                <w:rFonts w:ascii="Arial" w:hAnsi="Arial" w:cs="Arial"/>
                <w:b/>
              </w:rPr>
              <w:t xml:space="preserve"> Celní správou</w:t>
            </w:r>
            <w:r w:rsidR="00D644A1">
              <w:rPr>
                <w:rFonts w:ascii="Arial" w:hAnsi="Arial" w:cs="Arial"/>
                <w:b/>
              </w:rPr>
              <w:t xml:space="preserve"> ČR</w:t>
            </w:r>
          </w:p>
        </w:tc>
      </w:tr>
      <w:tr w:rsidR="002E0EDC" w:rsidRPr="00A97734" w14:paraId="1CCD521F" w14:textId="77777777" w:rsidTr="002E0EDC">
        <w:trPr>
          <w:trHeight w:val="429"/>
        </w:trPr>
        <w:tc>
          <w:tcPr>
            <w:tcW w:w="709" w:type="dxa"/>
            <w:shd w:val="clear" w:color="auto" w:fill="auto"/>
            <w:vAlign w:val="center"/>
          </w:tcPr>
          <w:p w14:paraId="066D316C" w14:textId="7941F044" w:rsidR="002E0EDC" w:rsidRPr="002E0EDC" w:rsidRDefault="002E0EDC" w:rsidP="00CF4191">
            <w:pPr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E0EDC">
              <w:rPr>
                <w:rFonts w:ascii="Arial" w:eastAsia="Calibri" w:hAnsi="Arial" w:cs="Arial"/>
                <w:bCs/>
                <w:sz w:val="20"/>
                <w:szCs w:val="20"/>
              </w:rPr>
              <w:t>Rok</w:t>
            </w:r>
          </w:p>
        </w:tc>
        <w:tc>
          <w:tcPr>
            <w:tcW w:w="1559" w:type="dxa"/>
            <w:vAlign w:val="center"/>
          </w:tcPr>
          <w:p w14:paraId="260DACB7" w14:textId="4839C9B5" w:rsidR="002E0EDC" w:rsidRPr="002E0EDC" w:rsidRDefault="002E0EDC" w:rsidP="00CF4191">
            <w:pPr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E0EDC">
              <w:rPr>
                <w:rFonts w:ascii="Arial" w:eastAsia="Calibri" w:hAnsi="Arial" w:cs="Arial"/>
                <w:bCs/>
                <w:sz w:val="20"/>
                <w:szCs w:val="20"/>
              </w:rPr>
              <w:t>Počet zaevidovaných PP</w:t>
            </w:r>
            <w:r w:rsidR="00CD496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(ks)</w:t>
            </w:r>
          </w:p>
        </w:tc>
        <w:tc>
          <w:tcPr>
            <w:tcW w:w="1843" w:type="dxa"/>
            <w:vAlign w:val="center"/>
          </w:tcPr>
          <w:p w14:paraId="3BD035C3" w14:textId="0F4A6A48" w:rsidR="002E0EDC" w:rsidRPr="00FF4136" w:rsidRDefault="002E0EDC" w:rsidP="00D644A1">
            <w:pPr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</w:pPr>
            <w:r w:rsidRPr="002E0EDC">
              <w:rPr>
                <w:rFonts w:ascii="Arial" w:eastAsia="Calibri" w:hAnsi="Arial" w:cs="Arial"/>
                <w:bCs/>
                <w:sz w:val="20"/>
                <w:szCs w:val="20"/>
              </w:rPr>
              <w:t>Počet vybraných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D644A1">
              <w:rPr>
                <w:rFonts w:ascii="Arial" w:eastAsia="Calibri" w:hAnsi="Arial" w:cs="Arial"/>
                <w:bCs/>
                <w:sz w:val="20"/>
                <w:szCs w:val="20"/>
              </w:rPr>
              <w:t>a </w:t>
            </w:r>
            <w:r w:rsidRPr="002E0EDC">
              <w:rPr>
                <w:rFonts w:ascii="Arial" w:eastAsia="Calibri" w:hAnsi="Arial" w:cs="Arial"/>
                <w:bCs/>
                <w:sz w:val="20"/>
                <w:szCs w:val="20"/>
              </w:rPr>
              <w:t>vymožených PP</w:t>
            </w:r>
            <w:r w:rsidR="00CD496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(ks)</w:t>
            </w:r>
            <w:r w:rsidR="00FF4136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A7AFF6" w14:textId="7710EFF9" w:rsidR="002E0EDC" w:rsidRPr="002E0EDC" w:rsidRDefault="002E0EDC" w:rsidP="000F438D">
            <w:pPr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E0EDC">
              <w:rPr>
                <w:rFonts w:ascii="Arial" w:eastAsia="Calibri" w:hAnsi="Arial" w:cs="Arial"/>
                <w:bCs/>
                <w:sz w:val="20"/>
                <w:szCs w:val="20"/>
              </w:rPr>
              <w:t>Celková hodnota zaevidovaných PP</w:t>
            </w:r>
            <w:r w:rsidR="00CD496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(tis. Kč)</w:t>
            </w:r>
          </w:p>
        </w:tc>
        <w:tc>
          <w:tcPr>
            <w:tcW w:w="1984" w:type="dxa"/>
            <w:vAlign w:val="center"/>
          </w:tcPr>
          <w:p w14:paraId="06DC916C" w14:textId="34DBFB10" w:rsidR="002E0EDC" w:rsidRPr="00CD4967" w:rsidRDefault="002E0EDC" w:rsidP="00D644A1">
            <w:pPr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</w:pPr>
            <w:r w:rsidRPr="002E0EDC">
              <w:rPr>
                <w:rFonts w:ascii="Arial" w:eastAsia="Calibri" w:hAnsi="Arial" w:cs="Arial"/>
                <w:bCs/>
                <w:sz w:val="20"/>
                <w:szCs w:val="20"/>
              </w:rPr>
              <w:t>Celková hodnota vybraných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D644A1">
              <w:rPr>
                <w:rFonts w:ascii="Arial" w:eastAsia="Calibri" w:hAnsi="Arial" w:cs="Arial"/>
                <w:bCs/>
                <w:sz w:val="20"/>
                <w:szCs w:val="20"/>
              </w:rPr>
              <w:t>a </w:t>
            </w:r>
            <w:r w:rsidRPr="002E0EDC">
              <w:rPr>
                <w:rFonts w:ascii="Arial" w:eastAsia="Calibri" w:hAnsi="Arial" w:cs="Arial"/>
                <w:bCs/>
                <w:sz w:val="20"/>
                <w:szCs w:val="20"/>
              </w:rPr>
              <w:t>vymožených PP</w:t>
            </w:r>
            <w:r w:rsidR="00CD496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(tis. Kč)</w:t>
            </w:r>
            <w:r w:rsidR="00CD4967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65525" w14:textId="31BA2C75" w:rsidR="002E0EDC" w:rsidRPr="002E0EDC" w:rsidRDefault="002E0EDC" w:rsidP="00CF4191">
            <w:pPr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E0EDC">
              <w:rPr>
                <w:rFonts w:ascii="Arial" w:eastAsia="Calibri" w:hAnsi="Arial" w:cs="Arial"/>
                <w:bCs/>
                <w:sz w:val="20"/>
                <w:szCs w:val="20"/>
              </w:rPr>
              <w:t>Průměrná hodnota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zaevidov.</w:t>
            </w:r>
            <w:r w:rsidRPr="002E0ED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PP</w:t>
            </w:r>
            <w:r w:rsidR="00CD496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(</w:t>
            </w:r>
            <w:r w:rsidR="00744021">
              <w:rPr>
                <w:rFonts w:ascii="Arial" w:eastAsia="Calibri" w:hAnsi="Arial" w:cs="Arial"/>
                <w:bCs/>
                <w:sz w:val="20"/>
                <w:szCs w:val="20"/>
              </w:rPr>
              <w:t>Kč)</w:t>
            </w:r>
          </w:p>
        </w:tc>
      </w:tr>
      <w:tr w:rsidR="002E0EDC" w:rsidRPr="00A97734" w14:paraId="031030E2" w14:textId="77777777" w:rsidTr="002E0EDC">
        <w:trPr>
          <w:trHeight w:val="430"/>
        </w:trPr>
        <w:tc>
          <w:tcPr>
            <w:tcW w:w="709" w:type="dxa"/>
            <w:shd w:val="clear" w:color="auto" w:fill="auto"/>
            <w:vAlign w:val="center"/>
          </w:tcPr>
          <w:p w14:paraId="0BD43566" w14:textId="533EFDA8" w:rsidR="003841C3" w:rsidRPr="002E0EDC" w:rsidRDefault="003841C3" w:rsidP="00CF4191">
            <w:pPr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E0EDC">
              <w:rPr>
                <w:rFonts w:ascii="Arial" w:eastAsia="Calibri" w:hAnsi="Arial" w:cs="Arial"/>
                <w:bCs/>
                <w:sz w:val="20"/>
                <w:szCs w:val="20"/>
              </w:rPr>
              <w:t>2011</w:t>
            </w:r>
          </w:p>
        </w:tc>
        <w:tc>
          <w:tcPr>
            <w:tcW w:w="1559" w:type="dxa"/>
            <w:vAlign w:val="center"/>
          </w:tcPr>
          <w:p w14:paraId="67113E21" w14:textId="22342D99" w:rsidR="003841C3" w:rsidRPr="002E0EDC" w:rsidRDefault="003841C3" w:rsidP="00B60A9B">
            <w:pPr>
              <w:spacing w:after="0"/>
              <w:ind w:right="57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E0EDC">
              <w:rPr>
                <w:rFonts w:ascii="Arial" w:eastAsia="Calibri" w:hAnsi="Arial" w:cs="Arial"/>
                <w:bCs/>
                <w:sz w:val="20"/>
                <w:szCs w:val="20"/>
              </w:rPr>
              <w:t>638 925</w:t>
            </w:r>
          </w:p>
        </w:tc>
        <w:tc>
          <w:tcPr>
            <w:tcW w:w="1843" w:type="dxa"/>
            <w:vAlign w:val="center"/>
          </w:tcPr>
          <w:p w14:paraId="6EE740B4" w14:textId="44E51D86" w:rsidR="003841C3" w:rsidRPr="002E0EDC" w:rsidRDefault="002E0EDC" w:rsidP="00B60A9B">
            <w:pPr>
              <w:spacing w:after="0"/>
              <w:ind w:right="57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457 050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895B0C" w14:textId="094F2673" w:rsidR="003841C3" w:rsidRPr="002E0EDC" w:rsidRDefault="002E0EDC" w:rsidP="00B60A9B">
            <w:pPr>
              <w:spacing w:after="0"/>
              <w:ind w:right="57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2 907 118</w:t>
            </w:r>
          </w:p>
        </w:tc>
        <w:tc>
          <w:tcPr>
            <w:tcW w:w="1984" w:type="dxa"/>
            <w:vAlign w:val="center"/>
          </w:tcPr>
          <w:p w14:paraId="28CE9AE2" w14:textId="6C5925CF" w:rsidR="003841C3" w:rsidRPr="00CD4967" w:rsidRDefault="002E0EDC" w:rsidP="00B60A9B">
            <w:pPr>
              <w:spacing w:after="0"/>
              <w:ind w:right="57"/>
              <w:jc w:val="right"/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2 627 451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693C7" w14:textId="63F988F1" w:rsidR="003841C3" w:rsidRPr="003B0001" w:rsidRDefault="002E0EDC" w:rsidP="00B60A9B">
            <w:pPr>
              <w:spacing w:after="0"/>
              <w:ind w:right="57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B0001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 w:rsidR="00744021" w:rsidRPr="003B000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3B0001">
              <w:rPr>
                <w:rFonts w:ascii="Arial" w:eastAsia="Calibri" w:hAnsi="Arial" w:cs="Arial"/>
                <w:bCs/>
                <w:sz w:val="20"/>
                <w:szCs w:val="20"/>
              </w:rPr>
              <w:t>55</w:t>
            </w:r>
            <w:r w:rsidR="00744021" w:rsidRPr="003B0001"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</w:tr>
      <w:tr w:rsidR="002E0EDC" w:rsidRPr="00A97734" w14:paraId="0B2D2DD9" w14:textId="77777777" w:rsidTr="002E0EDC">
        <w:trPr>
          <w:trHeight w:val="430"/>
        </w:trPr>
        <w:tc>
          <w:tcPr>
            <w:tcW w:w="709" w:type="dxa"/>
            <w:shd w:val="clear" w:color="auto" w:fill="auto"/>
            <w:vAlign w:val="center"/>
          </w:tcPr>
          <w:p w14:paraId="05CEDA04" w14:textId="3295EEAC" w:rsidR="003841C3" w:rsidRPr="002E0EDC" w:rsidRDefault="003841C3" w:rsidP="00CF4191">
            <w:pPr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E0EDC">
              <w:rPr>
                <w:rFonts w:ascii="Arial" w:eastAsia="Calibri" w:hAnsi="Arial" w:cs="Arial"/>
                <w:bCs/>
                <w:sz w:val="20"/>
                <w:szCs w:val="20"/>
              </w:rPr>
              <w:t>2012</w:t>
            </w:r>
          </w:p>
        </w:tc>
        <w:tc>
          <w:tcPr>
            <w:tcW w:w="1559" w:type="dxa"/>
            <w:vAlign w:val="center"/>
          </w:tcPr>
          <w:p w14:paraId="6B8E87B1" w14:textId="46C61DE0" w:rsidR="003841C3" w:rsidRPr="002E0EDC" w:rsidRDefault="003841C3" w:rsidP="00B60A9B">
            <w:pPr>
              <w:spacing w:after="0"/>
              <w:ind w:right="57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E0EDC">
              <w:rPr>
                <w:rFonts w:ascii="Arial" w:eastAsia="Calibri" w:hAnsi="Arial" w:cs="Arial"/>
                <w:bCs/>
                <w:sz w:val="20"/>
                <w:szCs w:val="20"/>
              </w:rPr>
              <w:t>549 347</w:t>
            </w:r>
          </w:p>
        </w:tc>
        <w:tc>
          <w:tcPr>
            <w:tcW w:w="1843" w:type="dxa"/>
            <w:vAlign w:val="center"/>
          </w:tcPr>
          <w:p w14:paraId="71515D5A" w14:textId="24AA7E7D" w:rsidR="003841C3" w:rsidRPr="002E0EDC" w:rsidRDefault="002E0EDC" w:rsidP="00B60A9B">
            <w:pPr>
              <w:spacing w:after="0"/>
              <w:ind w:right="57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367 083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F89300" w14:textId="17CFD32A" w:rsidR="003841C3" w:rsidRPr="002E0EDC" w:rsidRDefault="002E0EDC" w:rsidP="00B60A9B">
            <w:pPr>
              <w:spacing w:after="0"/>
              <w:ind w:right="57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3 129 473</w:t>
            </w:r>
          </w:p>
        </w:tc>
        <w:tc>
          <w:tcPr>
            <w:tcW w:w="1984" w:type="dxa"/>
            <w:vAlign w:val="center"/>
          </w:tcPr>
          <w:p w14:paraId="60F1C318" w14:textId="216EE72C" w:rsidR="003841C3" w:rsidRPr="002E0EDC" w:rsidRDefault="002E0EDC" w:rsidP="00B60A9B">
            <w:pPr>
              <w:spacing w:after="0"/>
              <w:ind w:right="57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2 807 857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C5106" w14:textId="35544D41" w:rsidR="003841C3" w:rsidRPr="003B0001" w:rsidRDefault="002E0EDC" w:rsidP="00B60A9B">
            <w:pPr>
              <w:spacing w:after="0"/>
              <w:ind w:right="57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B0001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  <w:r w:rsidR="00744021" w:rsidRPr="003B000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3B0001">
              <w:rPr>
                <w:rFonts w:ascii="Arial" w:eastAsia="Calibri" w:hAnsi="Arial" w:cs="Arial"/>
                <w:bCs/>
                <w:sz w:val="20"/>
                <w:szCs w:val="20"/>
              </w:rPr>
              <w:t>69</w:t>
            </w:r>
            <w:r w:rsidR="00744021" w:rsidRPr="003B0001">
              <w:rPr>
                <w:rFonts w:ascii="Arial" w:eastAsia="Calibri" w:hAnsi="Arial" w:cs="Arial"/>
                <w:bCs/>
                <w:sz w:val="20"/>
                <w:szCs w:val="20"/>
              </w:rPr>
              <w:t>6</w:t>
            </w:r>
          </w:p>
        </w:tc>
      </w:tr>
    </w:tbl>
    <w:p w14:paraId="0F23E32B" w14:textId="3F86AD65" w:rsidR="000F438D" w:rsidRDefault="000F438D" w:rsidP="00B60A9B">
      <w:pPr>
        <w:spacing w:before="40" w:after="0" w:line="240" w:lineRule="auto"/>
        <w:jc w:val="both"/>
        <w:rPr>
          <w:rFonts w:ascii="Arial" w:hAnsi="Arial" w:cs="Arial"/>
          <w:sz w:val="18"/>
          <w:szCs w:val="18"/>
        </w:rPr>
      </w:pPr>
      <w:r w:rsidRPr="00C90A85">
        <w:rPr>
          <w:rFonts w:ascii="Arial" w:hAnsi="Arial" w:cs="Arial"/>
          <w:b/>
          <w:sz w:val="18"/>
          <w:szCs w:val="18"/>
        </w:rPr>
        <w:t>Zdroj:</w:t>
      </w:r>
      <w:r w:rsidRPr="000674A7">
        <w:rPr>
          <w:rFonts w:ascii="Arial" w:hAnsi="Arial" w:cs="Arial"/>
          <w:sz w:val="18"/>
          <w:szCs w:val="18"/>
        </w:rPr>
        <w:t xml:space="preserve"> </w:t>
      </w:r>
      <w:r w:rsidR="00D644A1">
        <w:rPr>
          <w:rFonts w:ascii="Arial" w:hAnsi="Arial" w:cs="Arial"/>
          <w:sz w:val="18"/>
          <w:szCs w:val="18"/>
        </w:rPr>
        <w:t>s</w:t>
      </w:r>
      <w:r w:rsidR="00DD011F">
        <w:rPr>
          <w:rFonts w:ascii="Arial" w:hAnsi="Arial" w:cs="Arial"/>
          <w:sz w:val="18"/>
          <w:szCs w:val="18"/>
        </w:rPr>
        <w:t xml:space="preserve">dělení GŘC </w:t>
      </w:r>
      <w:r w:rsidR="00D644A1">
        <w:rPr>
          <w:rFonts w:ascii="Arial" w:hAnsi="Arial" w:cs="Arial"/>
          <w:sz w:val="18"/>
          <w:szCs w:val="18"/>
        </w:rPr>
        <w:t>–</w:t>
      </w:r>
      <w:r w:rsidR="00DD011F" w:rsidRPr="00DD011F">
        <w:t xml:space="preserve"> </w:t>
      </w:r>
      <w:r w:rsidR="00D644A1">
        <w:rPr>
          <w:rFonts w:ascii="Arial" w:hAnsi="Arial" w:cs="Arial"/>
          <w:sz w:val="18"/>
          <w:szCs w:val="18"/>
        </w:rPr>
        <w:t>s</w:t>
      </w:r>
      <w:r w:rsidR="00DD011F" w:rsidRPr="00DD011F">
        <w:rPr>
          <w:rFonts w:ascii="Arial" w:hAnsi="Arial" w:cs="Arial"/>
          <w:sz w:val="18"/>
          <w:szCs w:val="18"/>
        </w:rPr>
        <w:t>estavy předané v odpovědi GŘC na žádost o informace č. 5 ze dne 4. 12. 2013</w:t>
      </w:r>
      <w:r w:rsidR="00DD011F">
        <w:rPr>
          <w:rFonts w:ascii="Arial" w:hAnsi="Arial" w:cs="Arial"/>
          <w:sz w:val="18"/>
          <w:szCs w:val="18"/>
        </w:rPr>
        <w:t>.</w:t>
      </w:r>
    </w:p>
    <w:p w14:paraId="3334D097" w14:textId="77777777" w:rsidR="004E002B" w:rsidRDefault="004E002B" w:rsidP="00B60A9B">
      <w:pPr>
        <w:spacing w:after="0" w:line="240" w:lineRule="auto"/>
        <w:jc w:val="both"/>
        <w:rPr>
          <w:rFonts w:ascii="Arial" w:hAnsi="Arial" w:cs="Arial"/>
        </w:rPr>
      </w:pPr>
    </w:p>
    <w:p w14:paraId="57FB959C" w14:textId="77777777" w:rsidR="00B47E50" w:rsidRDefault="00B47E5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1E290D" w14:textId="174F4AF7" w:rsidR="002E0EDC" w:rsidRDefault="002E0EDC" w:rsidP="002E0EDC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Stav pohledávek, které CS evidovala v letech 2010–2012, uvádí tabulka č. 2.</w:t>
      </w:r>
    </w:p>
    <w:p w14:paraId="5DF656F5" w14:textId="31C69627" w:rsidR="002E0EDC" w:rsidRPr="00107B79" w:rsidRDefault="002E0EDC" w:rsidP="00705BE5">
      <w:pPr>
        <w:tabs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B1103A">
        <w:rPr>
          <w:rFonts w:ascii="Arial" w:hAnsi="Arial" w:cs="Arial"/>
          <w:b/>
        </w:rPr>
        <w:t>Tabulka č. 2</w:t>
      </w:r>
      <w:r w:rsidR="00B67767">
        <w:rPr>
          <w:rFonts w:ascii="Arial" w:hAnsi="Arial" w:cs="Arial"/>
        </w:rPr>
        <w:tab/>
      </w:r>
      <w:r w:rsidRPr="00B1103A">
        <w:rPr>
          <w:rFonts w:ascii="Arial" w:hAnsi="Arial" w:cs="Arial"/>
          <w:b/>
        </w:rPr>
        <w:t>(v tis. Kč)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2409"/>
      </w:tblGrid>
      <w:tr w:rsidR="00744021" w:rsidRPr="00A97734" w14:paraId="262DFDDE" w14:textId="4DCA416C" w:rsidTr="00744021">
        <w:trPr>
          <w:trHeight w:val="505"/>
        </w:trPr>
        <w:tc>
          <w:tcPr>
            <w:tcW w:w="9072" w:type="dxa"/>
            <w:gridSpan w:val="4"/>
            <w:shd w:val="clear" w:color="auto" w:fill="D9D9D9" w:themeFill="background1" w:themeFillShade="D9"/>
            <w:vAlign w:val="center"/>
          </w:tcPr>
          <w:p w14:paraId="633CA1CD" w14:textId="66F9D04C" w:rsidR="00744021" w:rsidRDefault="00744021" w:rsidP="00CF4191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Stav pohledávek</w:t>
            </w:r>
            <w:r w:rsidRPr="00E54EC1">
              <w:rPr>
                <w:rFonts w:ascii="Arial" w:hAnsi="Arial" w:cs="Arial"/>
                <w:b/>
              </w:rPr>
              <w:t xml:space="preserve"> v dělené správě </w:t>
            </w:r>
            <w:r>
              <w:rPr>
                <w:rFonts w:ascii="Arial" w:hAnsi="Arial" w:cs="Arial"/>
                <w:b/>
              </w:rPr>
              <w:t>evidovaný</w:t>
            </w:r>
            <w:r w:rsidRPr="00E54EC1">
              <w:rPr>
                <w:rFonts w:ascii="Arial" w:hAnsi="Arial" w:cs="Arial"/>
                <w:b/>
              </w:rPr>
              <w:t xml:space="preserve"> Celní správou</w:t>
            </w:r>
            <w:r w:rsidR="001035FF">
              <w:rPr>
                <w:rFonts w:ascii="Arial" w:hAnsi="Arial" w:cs="Arial"/>
                <w:b/>
              </w:rPr>
              <w:t xml:space="preserve"> ČR</w:t>
            </w:r>
          </w:p>
        </w:tc>
      </w:tr>
      <w:tr w:rsidR="00744021" w:rsidRPr="00A97734" w14:paraId="7883A518" w14:textId="28181FF3" w:rsidTr="00744021">
        <w:trPr>
          <w:trHeight w:val="429"/>
        </w:trPr>
        <w:tc>
          <w:tcPr>
            <w:tcW w:w="2127" w:type="dxa"/>
            <w:shd w:val="clear" w:color="auto" w:fill="auto"/>
            <w:vAlign w:val="center"/>
          </w:tcPr>
          <w:p w14:paraId="4D70E578" w14:textId="77777777" w:rsidR="00744021" w:rsidRPr="002E0EDC" w:rsidRDefault="00744021" w:rsidP="00B1103A">
            <w:p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E0EDC">
              <w:rPr>
                <w:rFonts w:ascii="Arial" w:eastAsia="Calibri" w:hAnsi="Arial" w:cs="Arial"/>
                <w:bCs/>
                <w:sz w:val="20"/>
                <w:szCs w:val="20"/>
              </w:rPr>
              <w:t>K datu</w:t>
            </w:r>
          </w:p>
        </w:tc>
        <w:tc>
          <w:tcPr>
            <w:tcW w:w="2268" w:type="dxa"/>
            <w:vAlign w:val="center"/>
          </w:tcPr>
          <w:p w14:paraId="7F2012CB" w14:textId="77777777" w:rsidR="00744021" w:rsidRPr="002E0EDC" w:rsidRDefault="00744021" w:rsidP="00CF4191">
            <w:pPr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E0EDC">
              <w:rPr>
                <w:rFonts w:ascii="Arial" w:eastAsia="Calibri" w:hAnsi="Arial" w:cs="Arial"/>
                <w:bCs/>
                <w:sz w:val="20"/>
                <w:szCs w:val="20"/>
              </w:rPr>
              <w:t>31. 12. 2010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7DECA9" w14:textId="77777777" w:rsidR="00744021" w:rsidRPr="002E0EDC" w:rsidRDefault="00744021" w:rsidP="00CF4191">
            <w:pPr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E0EDC">
              <w:rPr>
                <w:rFonts w:ascii="Arial" w:eastAsia="Calibri" w:hAnsi="Arial" w:cs="Arial"/>
                <w:bCs/>
                <w:sz w:val="20"/>
                <w:szCs w:val="20"/>
              </w:rPr>
              <w:t>31. 12. 2011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5ECCD0F" w14:textId="77777777" w:rsidR="00744021" w:rsidRPr="002E0EDC" w:rsidRDefault="00744021" w:rsidP="00CF4191">
            <w:pPr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E0EDC">
              <w:rPr>
                <w:rFonts w:ascii="Arial" w:eastAsia="Calibri" w:hAnsi="Arial" w:cs="Arial"/>
                <w:bCs/>
                <w:sz w:val="20"/>
                <w:szCs w:val="20"/>
              </w:rPr>
              <w:t>31. 12. 2012</w:t>
            </w:r>
          </w:p>
        </w:tc>
      </w:tr>
      <w:tr w:rsidR="00744021" w:rsidRPr="00A97734" w14:paraId="34BB0F20" w14:textId="31C6766A" w:rsidTr="00744021">
        <w:trPr>
          <w:trHeight w:val="430"/>
        </w:trPr>
        <w:tc>
          <w:tcPr>
            <w:tcW w:w="2127" w:type="dxa"/>
            <w:shd w:val="clear" w:color="auto" w:fill="auto"/>
            <w:vAlign w:val="center"/>
          </w:tcPr>
          <w:p w14:paraId="6D617217" w14:textId="33D53714" w:rsidR="00744021" w:rsidRPr="002E0EDC" w:rsidRDefault="00744021" w:rsidP="00B1103A">
            <w:p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Výše pohledávek</w:t>
            </w:r>
          </w:p>
        </w:tc>
        <w:tc>
          <w:tcPr>
            <w:tcW w:w="2268" w:type="dxa"/>
            <w:vAlign w:val="center"/>
          </w:tcPr>
          <w:p w14:paraId="4E62DD9B" w14:textId="0581C729" w:rsidR="00744021" w:rsidRPr="002E0EDC" w:rsidRDefault="00744021" w:rsidP="00B1103A">
            <w:pPr>
              <w:spacing w:after="0"/>
              <w:ind w:right="57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2 063 817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DC69E3" w14:textId="45D8D9D1" w:rsidR="00744021" w:rsidRPr="002E0EDC" w:rsidRDefault="00744021" w:rsidP="00B1103A">
            <w:pPr>
              <w:spacing w:after="0"/>
              <w:ind w:right="57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1 204 347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D6F67E" w14:textId="54B249F3" w:rsidR="00744021" w:rsidRPr="002E0EDC" w:rsidRDefault="00744021" w:rsidP="00B1103A">
            <w:pPr>
              <w:spacing w:after="0"/>
              <w:ind w:right="57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1 467 773</w:t>
            </w:r>
          </w:p>
        </w:tc>
      </w:tr>
    </w:tbl>
    <w:p w14:paraId="073FFFD1" w14:textId="05C9FFB5" w:rsidR="002E0EDC" w:rsidRDefault="002E0EDC" w:rsidP="00B1103A">
      <w:pPr>
        <w:spacing w:before="40" w:after="0" w:line="240" w:lineRule="auto"/>
        <w:jc w:val="both"/>
        <w:rPr>
          <w:rFonts w:ascii="Arial" w:hAnsi="Arial" w:cs="Arial"/>
          <w:sz w:val="18"/>
          <w:szCs w:val="18"/>
        </w:rPr>
      </w:pPr>
      <w:r w:rsidRPr="00C90A85">
        <w:rPr>
          <w:rFonts w:ascii="Arial" w:hAnsi="Arial" w:cs="Arial"/>
          <w:b/>
          <w:sz w:val="18"/>
          <w:szCs w:val="18"/>
        </w:rPr>
        <w:t>Zdroj:</w:t>
      </w:r>
      <w:r w:rsidRPr="000674A7">
        <w:rPr>
          <w:rFonts w:ascii="Arial" w:hAnsi="Arial" w:cs="Arial"/>
          <w:sz w:val="18"/>
          <w:szCs w:val="18"/>
        </w:rPr>
        <w:t xml:space="preserve"> </w:t>
      </w:r>
      <w:r w:rsidR="001035FF">
        <w:rPr>
          <w:rFonts w:ascii="Arial" w:hAnsi="Arial" w:cs="Arial"/>
          <w:sz w:val="18"/>
          <w:szCs w:val="18"/>
        </w:rPr>
        <w:t>s</w:t>
      </w:r>
      <w:r w:rsidR="00DD011F">
        <w:rPr>
          <w:rFonts w:ascii="Arial" w:hAnsi="Arial" w:cs="Arial"/>
          <w:sz w:val="18"/>
          <w:szCs w:val="18"/>
        </w:rPr>
        <w:t xml:space="preserve">dělení </w:t>
      </w:r>
      <w:r w:rsidRPr="000674A7">
        <w:rPr>
          <w:rFonts w:ascii="Arial" w:hAnsi="Arial" w:cs="Arial"/>
          <w:sz w:val="18"/>
          <w:szCs w:val="18"/>
        </w:rPr>
        <w:t>GŘC</w:t>
      </w:r>
      <w:r w:rsidR="00DD011F">
        <w:rPr>
          <w:rFonts w:ascii="Arial" w:hAnsi="Arial" w:cs="Arial"/>
          <w:sz w:val="18"/>
          <w:szCs w:val="18"/>
        </w:rPr>
        <w:t xml:space="preserve"> </w:t>
      </w:r>
      <w:r w:rsidR="001035FF">
        <w:rPr>
          <w:rFonts w:ascii="Arial" w:hAnsi="Arial" w:cs="Arial"/>
          <w:sz w:val="18"/>
          <w:szCs w:val="18"/>
        </w:rPr>
        <w:t>–</w:t>
      </w:r>
      <w:r w:rsidR="00DD011F" w:rsidRPr="00DD011F">
        <w:t xml:space="preserve"> </w:t>
      </w:r>
      <w:r w:rsidR="001035FF">
        <w:rPr>
          <w:rFonts w:ascii="Arial" w:hAnsi="Arial" w:cs="Arial"/>
          <w:sz w:val="18"/>
          <w:szCs w:val="18"/>
        </w:rPr>
        <w:t>o</w:t>
      </w:r>
      <w:r w:rsidR="00DD011F" w:rsidRPr="00DD011F">
        <w:rPr>
          <w:rFonts w:ascii="Arial" w:hAnsi="Arial" w:cs="Arial"/>
          <w:sz w:val="18"/>
          <w:szCs w:val="18"/>
        </w:rPr>
        <w:t>dpověď GŘC na žádost o informace č. 6 ze dne 16. 12. 2013</w:t>
      </w:r>
      <w:r w:rsidR="00C90A85">
        <w:rPr>
          <w:rFonts w:ascii="Arial" w:hAnsi="Arial" w:cs="Arial"/>
          <w:sz w:val="18"/>
          <w:szCs w:val="18"/>
        </w:rPr>
        <w:t>.</w:t>
      </w:r>
    </w:p>
    <w:p w14:paraId="3D45A973" w14:textId="77777777" w:rsidR="002E0EDC" w:rsidRDefault="002E0EDC" w:rsidP="00B1103A">
      <w:pPr>
        <w:spacing w:after="0" w:line="240" w:lineRule="auto"/>
        <w:ind w:left="595" w:hanging="595"/>
        <w:rPr>
          <w:rFonts w:ascii="Arial" w:hAnsi="Arial" w:cs="Arial"/>
          <w:sz w:val="18"/>
          <w:szCs w:val="18"/>
        </w:rPr>
      </w:pPr>
      <w:r w:rsidRPr="00C90A85">
        <w:rPr>
          <w:rFonts w:ascii="Arial" w:hAnsi="Arial" w:cs="Arial"/>
          <w:b/>
          <w:sz w:val="18"/>
          <w:szCs w:val="18"/>
        </w:rPr>
        <w:t>Pozn.:</w:t>
      </w:r>
      <w:r w:rsidRPr="000674A7">
        <w:rPr>
          <w:rFonts w:ascii="Arial" w:hAnsi="Arial" w:cs="Arial"/>
          <w:sz w:val="18"/>
          <w:szCs w:val="18"/>
        </w:rPr>
        <w:t xml:space="preserve"> Stav pohledávek zahrnuje zaevidovaná PP před uplynutím lhůty splatnosti a PP po uplynutí lhůty splatnosti (nedoplatky).</w:t>
      </w:r>
    </w:p>
    <w:p w14:paraId="146502D8" w14:textId="77777777" w:rsidR="00DD011F" w:rsidRPr="00B1103A" w:rsidRDefault="00DD011F" w:rsidP="002E0EDC">
      <w:pPr>
        <w:spacing w:after="0" w:line="240" w:lineRule="auto"/>
        <w:jc w:val="both"/>
        <w:rPr>
          <w:rFonts w:ascii="Arial" w:hAnsi="Arial" w:cs="Arial"/>
        </w:rPr>
      </w:pPr>
    </w:p>
    <w:p w14:paraId="03AF555A" w14:textId="3163855E" w:rsidR="008C22B3" w:rsidRDefault="008C22B3" w:rsidP="00B110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Přehled </w:t>
      </w:r>
      <w:r w:rsidR="001035FF">
        <w:rPr>
          <w:rFonts w:ascii="Arial" w:hAnsi="Arial" w:cs="Arial"/>
        </w:rPr>
        <w:t xml:space="preserve">nedoplatků </w:t>
      </w:r>
      <w:r>
        <w:rPr>
          <w:rFonts w:ascii="Arial" w:hAnsi="Arial" w:cs="Arial"/>
        </w:rPr>
        <w:t>odepsaných pr</w:t>
      </w:r>
      <w:r w:rsidR="002E0EDC">
        <w:rPr>
          <w:rFonts w:ascii="Arial" w:hAnsi="Arial" w:cs="Arial"/>
        </w:rPr>
        <w:t>o nedobytnost uvádí tabulka č. 3</w:t>
      </w:r>
      <w:r>
        <w:rPr>
          <w:rFonts w:ascii="Arial" w:hAnsi="Arial" w:cs="Arial"/>
        </w:rPr>
        <w:t>:</w:t>
      </w:r>
    </w:p>
    <w:p w14:paraId="55FE2932" w14:textId="77777777" w:rsidR="00705BE5" w:rsidRDefault="00705BE5" w:rsidP="00B1103A">
      <w:pPr>
        <w:spacing w:after="0" w:line="240" w:lineRule="auto"/>
        <w:jc w:val="both"/>
        <w:rPr>
          <w:rFonts w:ascii="Arial" w:hAnsi="Arial" w:cs="Arial"/>
        </w:rPr>
      </w:pPr>
    </w:p>
    <w:p w14:paraId="657DA06F" w14:textId="6BCA7E1C" w:rsidR="008C22B3" w:rsidRPr="00B1103A" w:rsidRDefault="002E0EDC" w:rsidP="008C22B3">
      <w:pPr>
        <w:spacing w:after="0" w:line="240" w:lineRule="auto"/>
        <w:jc w:val="both"/>
        <w:rPr>
          <w:rFonts w:ascii="Arial" w:hAnsi="Arial" w:cs="Arial"/>
          <w:b/>
        </w:rPr>
      </w:pPr>
      <w:r w:rsidRPr="00B1103A">
        <w:rPr>
          <w:rFonts w:ascii="Arial" w:hAnsi="Arial" w:cs="Arial"/>
          <w:b/>
        </w:rPr>
        <w:t>Tabulka č.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2292"/>
        <w:gridCol w:w="3234"/>
        <w:gridCol w:w="2657"/>
      </w:tblGrid>
      <w:tr w:rsidR="00744021" w:rsidRPr="003B0001" w14:paraId="246F635F" w14:textId="5FE26F79" w:rsidTr="00CF4191">
        <w:trPr>
          <w:trHeight w:val="548"/>
        </w:trPr>
        <w:tc>
          <w:tcPr>
            <w:tcW w:w="9180" w:type="dxa"/>
            <w:gridSpan w:val="4"/>
            <w:shd w:val="clear" w:color="auto" w:fill="D9D9D9" w:themeFill="background1" w:themeFillShade="D9"/>
            <w:vAlign w:val="center"/>
          </w:tcPr>
          <w:p w14:paraId="0CDB6E58" w14:textId="5254EBB6" w:rsidR="00744021" w:rsidRPr="003B0001" w:rsidRDefault="00744021" w:rsidP="001035FF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B0001">
              <w:rPr>
                <w:rFonts w:ascii="Arial" w:hAnsi="Arial" w:cs="Arial"/>
                <w:b/>
              </w:rPr>
              <w:t xml:space="preserve">Přehled </w:t>
            </w:r>
            <w:r w:rsidR="001035FF" w:rsidRPr="003B0001">
              <w:rPr>
                <w:rFonts w:ascii="Arial" w:hAnsi="Arial" w:cs="Arial"/>
                <w:b/>
              </w:rPr>
              <w:t xml:space="preserve">nedoplatků </w:t>
            </w:r>
            <w:r w:rsidRPr="003B0001">
              <w:rPr>
                <w:rFonts w:ascii="Arial" w:hAnsi="Arial" w:cs="Arial"/>
                <w:b/>
              </w:rPr>
              <w:t>odepsaných pro nedobytnost</w:t>
            </w:r>
          </w:p>
        </w:tc>
      </w:tr>
      <w:tr w:rsidR="00744021" w:rsidRPr="003B0001" w14:paraId="0492AEFE" w14:textId="5924E355" w:rsidTr="00744021">
        <w:trPr>
          <w:trHeight w:val="429"/>
        </w:trPr>
        <w:tc>
          <w:tcPr>
            <w:tcW w:w="997" w:type="dxa"/>
            <w:shd w:val="clear" w:color="auto" w:fill="auto"/>
            <w:vAlign w:val="center"/>
          </w:tcPr>
          <w:p w14:paraId="6043F526" w14:textId="77777777" w:rsidR="00744021" w:rsidRPr="003B0001" w:rsidRDefault="00744021" w:rsidP="00CF4191">
            <w:pPr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B0001">
              <w:rPr>
                <w:rFonts w:ascii="Arial" w:eastAsia="Calibri" w:hAnsi="Arial" w:cs="Arial"/>
                <w:bCs/>
                <w:sz w:val="20"/>
                <w:szCs w:val="20"/>
              </w:rPr>
              <w:t>Rok</w:t>
            </w:r>
          </w:p>
        </w:tc>
        <w:tc>
          <w:tcPr>
            <w:tcW w:w="2292" w:type="dxa"/>
            <w:vAlign w:val="center"/>
          </w:tcPr>
          <w:p w14:paraId="7361177A" w14:textId="77777777" w:rsidR="004E002B" w:rsidRDefault="00744021" w:rsidP="008C22B3">
            <w:pPr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B0001">
              <w:rPr>
                <w:rFonts w:ascii="Arial" w:eastAsia="Calibri" w:hAnsi="Arial" w:cs="Arial"/>
                <w:bCs/>
                <w:sz w:val="20"/>
                <w:szCs w:val="20"/>
              </w:rPr>
              <w:t>Počet odepsaných nedoplatků</w:t>
            </w:r>
            <w:r w:rsidR="004E002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2A209124" w14:textId="6ECE9270" w:rsidR="00744021" w:rsidRPr="003B0001" w:rsidRDefault="004E002B" w:rsidP="008C22B3">
            <w:pPr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(ks)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238F108C" w14:textId="77777777" w:rsidR="004E002B" w:rsidRDefault="00744021" w:rsidP="008C22B3">
            <w:pPr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B0001">
              <w:rPr>
                <w:rFonts w:ascii="Arial" w:eastAsia="Calibri" w:hAnsi="Arial" w:cs="Arial"/>
                <w:bCs/>
                <w:sz w:val="20"/>
                <w:szCs w:val="20"/>
              </w:rPr>
              <w:t>Celková hodnota odepsaných nedoplatků</w:t>
            </w:r>
            <w:r w:rsidR="004E002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3E6CDFDB" w14:textId="427A92DE" w:rsidR="00744021" w:rsidRPr="003B0001" w:rsidRDefault="004E002B" w:rsidP="008C22B3">
            <w:pPr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(Kč)</w:t>
            </w:r>
          </w:p>
        </w:tc>
        <w:tc>
          <w:tcPr>
            <w:tcW w:w="2657" w:type="dxa"/>
          </w:tcPr>
          <w:p w14:paraId="77322B03" w14:textId="19CB33CD" w:rsidR="00744021" w:rsidRPr="003B0001" w:rsidRDefault="00744021" w:rsidP="008C22B3">
            <w:pPr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B0001">
              <w:rPr>
                <w:rFonts w:ascii="Arial" w:eastAsia="Calibri" w:hAnsi="Arial" w:cs="Arial"/>
                <w:bCs/>
                <w:sz w:val="20"/>
                <w:szCs w:val="20"/>
              </w:rPr>
              <w:t>Průměrná hodnota odepsaného nedoplatku</w:t>
            </w:r>
            <w:r w:rsidR="004E002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(Kč)</w:t>
            </w:r>
          </w:p>
        </w:tc>
      </w:tr>
      <w:tr w:rsidR="00744021" w:rsidRPr="003B0001" w14:paraId="79514C0F" w14:textId="5AA90AF3" w:rsidTr="00744021">
        <w:trPr>
          <w:trHeight w:val="430"/>
        </w:trPr>
        <w:tc>
          <w:tcPr>
            <w:tcW w:w="997" w:type="dxa"/>
            <w:shd w:val="clear" w:color="auto" w:fill="auto"/>
            <w:vAlign w:val="center"/>
          </w:tcPr>
          <w:p w14:paraId="0A4FFE8C" w14:textId="77777777" w:rsidR="00744021" w:rsidRPr="003B0001" w:rsidRDefault="00744021" w:rsidP="00CF4191">
            <w:pPr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B0001">
              <w:rPr>
                <w:rFonts w:ascii="Arial" w:eastAsia="Calibri" w:hAnsi="Arial" w:cs="Arial"/>
                <w:bCs/>
                <w:sz w:val="20"/>
                <w:szCs w:val="20"/>
              </w:rPr>
              <w:t>2011</w:t>
            </w:r>
          </w:p>
        </w:tc>
        <w:tc>
          <w:tcPr>
            <w:tcW w:w="2292" w:type="dxa"/>
            <w:vAlign w:val="center"/>
          </w:tcPr>
          <w:p w14:paraId="39E50425" w14:textId="080ACE9D" w:rsidR="00744021" w:rsidRPr="003B0001" w:rsidRDefault="00744021" w:rsidP="00B1103A">
            <w:pPr>
              <w:spacing w:after="0"/>
              <w:ind w:right="57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B0001">
              <w:rPr>
                <w:rFonts w:ascii="Arial" w:eastAsia="Calibri" w:hAnsi="Arial" w:cs="Arial"/>
                <w:bCs/>
                <w:sz w:val="20"/>
                <w:szCs w:val="20"/>
              </w:rPr>
              <w:t>16 768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21DCDDA1" w14:textId="53BD2D86" w:rsidR="00744021" w:rsidRPr="003B0001" w:rsidRDefault="00744021" w:rsidP="00B1103A">
            <w:pPr>
              <w:spacing w:after="0"/>
              <w:ind w:right="57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B0001">
              <w:rPr>
                <w:rFonts w:ascii="Arial" w:eastAsia="Calibri" w:hAnsi="Arial" w:cs="Arial"/>
                <w:bCs/>
                <w:sz w:val="20"/>
                <w:szCs w:val="20"/>
              </w:rPr>
              <w:t>30 269 945</w:t>
            </w:r>
          </w:p>
        </w:tc>
        <w:tc>
          <w:tcPr>
            <w:tcW w:w="2657" w:type="dxa"/>
            <w:vAlign w:val="center"/>
          </w:tcPr>
          <w:p w14:paraId="2215E5AB" w14:textId="05626B2B" w:rsidR="00744021" w:rsidRPr="003B0001" w:rsidRDefault="00744021" w:rsidP="00B1103A">
            <w:pPr>
              <w:spacing w:after="0"/>
              <w:ind w:right="57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B0001">
              <w:rPr>
                <w:rFonts w:ascii="Arial" w:eastAsia="Calibri" w:hAnsi="Arial" w:cs="Arial"/>
                <w:bCs/>
                <w:sz w:val="20"/>
                <w:szCs w:val="20"/>
              </w:rPr>
              <w:t>1 805</w:t>
            </w:r>
          </w:p>
        </w:tc>
      </w:tr>
      <w:tr w:rsidR="00744021" w:rsidRPr="003B0001" w14:paraId="75A865D9" w14:textId="3D189F59" w:rsidTr="00744021">
        <w:trPr>
          <w:trHeight w:val="430"/>
        </w:trPr>
        <w:tc>
          <w:tcPr>
            <w:tcW w:w="997" w:type="dxa"/>
            <w:shd w:val="clear" w:color="auto" w:fill="auto"/>
            <w:vAlign w:val="center"/>
          </w:tcPr>
          <w:p w14:paraId="3EDFE5C4" w14:textId="77777777" w:rsidR="00744021" w:rsidRPr="003B0001" w:rsidRDefault="00744021" w:rsidP="00CF4191">
            <w:pPr>
              <w:spacing w:after="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B0001">
              <w:rPr>
                <w:rFonts w:ascii="Arial" w:eastAsia="Calibri" w:hAnsi="Arial" w:cs="Arial"/>
                <w:bCs/>
                <w:sz w:val="20"/>
                <w:szCs w:val="20"/>
              </w:rPr>
              <w:t>2012</w:t>
            </w:r>
          </w:p>
        </w:tc>
        <w:tc>
          <w:tcPr>
            <w:tcW w:w="2292" w:type="dxa"/>
            <w:vAlign w:val="center"/>
          </w:tcPr>
          <w:p w14:paraId="2E7E75E2" w14:textId="69730E36" w:rsidR="00744021" w:rsidRPr="003B0001" w:rsidRDefault="00744021" w:rsidP="00B1103A">
            <w:pPr>
              <w:spacing w:after="0"/>
              <w:ind w:right="57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B0001">
              <w:rPr>
                <w:rFonts w:ascii="Arial" w:eastAsia="Calibri" w:hAnsi="Arial" w:cs="Arial"/>
                <w:bCs/>
                <w:sz w:val="20"/>
                <w:szCs w:val="20"/>
              </w:rPr>
              <w:t>17 252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447D253C" w14:textId="0B9B9CC6" w:rsidR="00744021" w:rsidRPr="003B0001" w:rsidRDefault="00744021" w:rsidP="00B1103A">
            <w:pPr>
              <w:spacing w:after="0"/>
              <w:ind w:right="57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B0001">
              <w:rPr>
                <w:rFonts w:ascii="Arial" w:eastAsia="Calibri" w:hAnsi="Arial" w:cs="Arial"/>
                <w:bCs/>
                <w:sz w:val="20"/>
                <w:szCs w:val="20"/>
              </w:rPr>
              <w:t>43 623 991</w:t>
            </w:r>
          </w:p>
        </w:tc>
        <w:tc>
          <w:tcPr>
            <w:tcW w:w="2657" w:type="dxa"/>
            <w:vAlign w:val="center"/>
          </w:tcPr>
          <w:p w14:paraId="74A5E515" w14:textId="2BB5F351" w:rsidR="00744021" w:rsidRPr="003B0001" w:rsidRDefault="00744021" w:rsidP="00B1103A">
            <w:pPr>
              <w:spacing w:after="0"/>
              <w:ind w:right="57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B0001">
              <w:rPr>
                <w:rFonts w:ascii="Arial" w:eastAsia="Calibri" w:hAnsi="Arial" w:cs="Arial"/>
                <w:bCs/>
                <w:sz w:val="20"/>
                <w:szCs w:val="20"/>
              </w:rPr>
              <w:t>2 528</w:t>
            </w:r>
          </w:p>
        </w:tc>
      </w:tr>
    </w:tbl>
    <w:p w14:paraId="5995E2FF" w14:textId="1EE38268" w:rsidR="00552D67" w:rsidRDefault="008C22B3" w:rsidP="00B1103A">
      <w:pPr>
        <w:spacing w:before="40" w:after="0" w:line="240" w:lineRule="auto"/>
        <w:jc w:val="both"/>
        <w:rPr>
          <w:rFonts w:ascii="Arial" w:hAnsi="Arial" w:cs="Arial"/>
          <w:sz w:val="18"/>
          <w:szCs w:val="18"/>
        </w:rPr>
      </w:pPr>
      <w:r w:rsidRPr="00C90A85">
        <w:rPr>
          <w:rFonts w:ascii="Arial" w:hAnsi="Arial" w:cs="Arial"/>
          <w:b/>
          <w:sz w:val="18"/>
          <w:szCs w:val="18"/>
        </w:rPr>
        <w:t>Zdroj:</w:t>
      </w:r>
      <w:r w:rsidRPr="003B0001">
        <w:rPr>
          <w:rFonts w:ascii="Arial" w:hAnsi="Arial" w:cs="Arial"/>
          <w:sz w:val="18"/>
          <w:szCs w:val="18"/>
        </w:rPr>
        <w:t xml:space="preserve"> </w:t>
      </w:r>
      <w:r w:rsidR="001035FF">
        <w:rPr>
          <w:rFonts w:ascii="Arial" w:hAnsi="Arial" w:cs="Arial"/>
          <w:sz w:val="18"/>
          <w:szCs w:val="18"/>
        </w:rPr>
        <w:t>i</w:t>
      </w:r>
      <w:r w:rsidR="00DD011F" w:rsidRPr="00DD011F">
        <w:rPr>
          <w:rFonts w:ascii="Arial" w:hAnsi="Arial" w:cs="Arial"/>
          <w:sz w:val="18"/>
          <w:szCs w:val="18"/>
        </w:rPr>
        <w:t xml:space="preserve">nformační systém </w:t>
      </w:r>
      <w:r w:rsidR="00DD011F">
        <w:rPr>
          <w:rFonts w:ascii="Arial" w:hAnsi="Arial" w:cs="Arial"/>
          <w:sz w:val="18"/>
          <w:szCs w:val="18"/>
        </w:rPr>
        <w:t>GŘC</w:t>
      </w:r>
      <w:r w:rsidR="00C90A85">
        <w:rPr>
          <w:rFonts w:ascii="Arial" w:hAnsi="Arial" w:cs="Arial"/>
          <w:sz w:val="18"/>
          <w:szCs w:val="18"/>
        </w:rPr>
        <w:t>.</w:t>
      </w:r>
    </w:p>
    <w:p w14:paraId="018D3891" w14:textId="77777777" w:rsidR="00705BE5" w:rsidRDefault="00705BE5" w:rsidP="00B1103A">
      <w:pPr>
        <w:spacing w:after="0" w:line="240" w:lineRule="auto"/>
        <w:jc w:val="both"/>
        <w:rPr>
          <w:rFonts w:ascii="Arial" w:hAnsi="Arial" w:cs="Arial"/>
        </w:rPr>
      </w:pPr>
    </w:p>
    <w:p w14:paraId="630D5C6F" w14:textId="091A6F85" w:rsidR="00825F53" w:rsidRDefault="00825F53" w:rsidP="00B1103A">
      <w:pPr>
        <w:spacing w:after="0" w:line="240" w:lineRule="auto"/>
        <w:jc w:val="both"/>
        <w:rPr>
          <w:rFonts w:ascii="Arial" w:hAnsi="Arial" w:cs="Arial"/>
        </w:rPr>
      </w:pPr>
      <w:r w:rsidRPr="00825F53">
        <w:rPr>
          <w:rFonts w:ascii="Arial" w:hAnsi="Arial" w:cs="Arial"/>
        </w:rPr>
        <w:t>CS zaevidovala</w:t>
      </w:r>
      <w:r>
        <w:rPr>
          <w:rFonts w:ascii="Arial" w:hAnsi="Arial" w:cs="Arial"/>
        </w:rPr>
        <w:t xml:space="preserve"> v období od 1. 1. 2013</w:t>
      </w:r>
      <w:r w:rsidR="001035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</w:t>
      </w:r>
      <w:r w:rsidR="001035FF">
        <w:rPr>
          <w:rFonts w:ascii="Arial" w:hAnsi="Arial" w:cs="Arial"/>
        </w:rPr>
        <w:t xml:space="preserve"> </w:t>
      </w:r>
      <w:r w:rsidRPr="00825F53">
        <w:rPr>
          <w:rFonts w:ascii="Arial" w:hAnsi="Arial" w:cs="Arial"/>
        </w:rPr>
        <w:t xml:space="preserve">30. 9. 2013 </w:t>
      </w:r>
      <w:r>
        <w:rPr>
          <w:rFonts w:ascii="Arial" w:hAnsi="Arial" w:cs="Arial"/>
        </w:rPr>
        <w:t>zánik nedoplatků (</w:t>
      </w:r>
      <w:r w:rsidRPr="00825F53">
        <w:rPr>
          <w:rFonts w:ascii="Arial" w:hAnsi="Arial" w:cs="Arial"/>
        </w:rPr>
        <w:t>prekluzi</w:t>
      </w:r>
      <w:r>
        <w:rPr>
          <w:rFonts w:ascii="Arial" w:hAnsi="Arial" w:cs="Arial"/>
        </w:rPr>
        <w:t>)</w:t>
      </w:r>
      <w:r w:rsidRPr="00825F53">
        <w:rPr>
          <w:rFonts w:ascii="Arial" w:hAnsi="Arial" w:cs="Arial"/>
        </w:rPr>
        <w:t xml:space="preserve"> u</w:t>
      </w:r>
      <w:r w:rsidR="008C54C9">
        <w:rPr>
          <w:rFonts w:ascii="Arial" w:hAnsi="Arial" w:cs="Arial"/>
        </w:rPr>
        <w:t> </w:t>
      </w:r>
      <w:r w:rsidRPr="00825F53">
        <w:rPr>
          <w:rFonts w:ascii="Arial" w:hAnsi="Arial" w:cs="Arial"/>
        </w:rPr>
        <w:t>46 019</w:t>
      </w:r>
      <w:r w:rsidR="008C54C9">
        <w:rPr>
          <w:rFonts w:ascii="Arial" w:hAnsi="Arial" w:cs="Arial"/>
        </w:rPr>
        <w:t> </w:t>
      </w:r>
      <w:r w:rsidRPr="00825F53">
        <w:rPr>
          <w:rFonts w:ascii="Arial" w:hAnsi="Arial" w:cs="Arial"/>
        </w:rPr>
        <w:t>nedoplatků v celkové hodnotě 58 421 010,20 Kč.</w:t>
      </w:r>
      <w:r w:rsidR="00552D67">
        <w:rPr>
          <w:rFonts w:ascii="Arial" w:hAnsi="Arial" w:cs="Arial"/>
        </w:rPr>
        <w:t xml:space="preserve"> Pozn.: </w:t>
      </w:r>
      <w:r w:rsidR="001035FF">
        <w:rPr>
          <w:rFonts w:ascii="Arial" w:hAnsi="Arial" w:cs="Arial"/>
        </w:rPr>
        <w:t>K</w:t>
      </w:r>
      <w:r w:rsidR="00552D67">
        <w:rPr>
          <w:rFonts w:ascii="Arial" w:hAnsi="Arial" w:cs="Arial"/>
        </w:rPr>
        <w:t> prekluzi nedoplatků zaevidovaných CS docházelo až v roce 2013.</w:t>
      </w:r>
    </w:p>
    <w:p w14:paraId="21BFCA0D" w14:textId="77777777" w:rsidR="00705BE5" w:rsidRDefault="00705BE5" w:rsidP="00B1103A">
      <w:pPr>
        <w:spacing w:after="0" w:line="240" w:lineRule="auto"/>
        <w:jc w:val="both"/>
        <w:rPr>
          <w:rFonts w:ascii="Arial" w:hAnsi="Arial" w:cs="Arial"/>
        </w:rPr>
      </w:pPr>
    </w:p>
    <w:p w14:paraId="36350976" w14:textId="68C40CA4" w:rsidR="000C1EA7" w:rsidRPr="00B1103A" w:rsidRDefault="00EC4836" w:rsidP="00EC483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0C1EA7" w:rsidRPr="00B1103A">
        <w:rPr>
          <w:rFonts w:ascii="Arial" w:hAnsi="Arial" w:cs="Arial"/>
          <w:b/>
        </w:rPr>
        <w:t>Příslušnost ke správě placení a správě vymáhání peněžitých plnění</w:t>
      </w:r>
    </w:p>
    <w:p w14:paraId="55B7111D" w14:textId="77777777" w:rsidR="00705BE5" w:rsidRDefault="00705BE5" w:rsidP="00B1103A">
      <w:pPr>
        <w:spacing w:after="0" w:line="240" w:lineRule="auto"/>
        <w:jc w:val="both"/>
        <w:rPr>
          <w:rFonts w:ascii="Arial" w:hAnsi="Arial" w:cs="Arial"/>
        </w:rPr>
      </w:pPr>
    </w:p>
    <w:p w14:paraId="2BB8D1E7" w14:textId="7D1A9F34" w:rsidR="000C1EA7" w:rsidRDefault="000C1EA7" w:rsidP="00B110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hlediska příslušnosti orgánu veřejné moci k vybírání a vymáhání PP v dělené správě </w:t>
      </w:r>
      <w:r w:rsidRPr="00A335BD">
        <w:rPr>
          <w:rFonts w:ascii="Arial" w:hAnsi="Arial" w:cs="Arial"/>
        </w:rPr>
        <w:t>ob</w:t>
      </w:r>
      <w:r>
        <w:rPr>
          <w:rFonts w:ascii="Arial" w:hAnsi="Arial" w:cs="Arial"/>
        </w:rPr>
        <w:t>ecně platí, že není-li v zákoně</w:t>
      </w:r>
      <w:r w:rsidRPr="00A335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A335BD">
        <w:rPr>
          <w:rFonts w:ascii="Arial" w:hAnsi="Arial" w:cs="Arial"/>
        </w:rPr>
        <w:t>podle kterého se PP ukládá</w:t>
      </w:r>
      <w:r>
        <w:rPr>
          <w:rFonts w:ascii="Arial" w:hAnsi="Arial" w:cs="Arial"/>
        </w:rPr>
        <w:t>)</w:t>
      </w:r>
      <w:r w:rsidR="003E2E06">
        <w:rPr>
          <w:rFonts w:ascii="Arial" w:hAnsi="Arial" w:cs="Arial"/>
        </w:rPr>
        <w:t xml:space="preserve"> uvedeno, kdo vybírá a </w:t>
      </w:r>
      <w:r w:rsidRPr="00A335BD">
        <w:rPr>
          <w:rFonts w:ascii="Arial" w:hAnsi="Arial" w:cs="Arial"/>
        </w:rPr>
        <w:t>vymáhá nebo kdo vymáhá, je touto činností pověřen CÚ</w:t>
      </w:r>
      <w:r>
        <w:rPr>
          <w:rFonts w:ascii="Arial" w:hAnsi="Arial" w:cs="Arial"/>
        </w:rPr>
        <w:t xml:space="preserve"> jakožto obecný správce daně</w:t>
      </w:r>
      <w:r>
        <w:rPr>
          <w:rStyle w:val="Znakapoznpodarou"/>
          <w:rFonts w:ascii="Arial" w:hAnsi="Arial" w:cs="Arial"/>
        </w:rPr>
        <w:footnoteReference w:id="6"/>
      </w:r>
      <w:r w:rsidRPr="00A335B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B187A4F" w14:textId="77777777" w:rsidR="00705BE5" w:rsidRDefault="00705BE5" w:rsidP="00B1103A">
      <w:pPr>
        <w:spacing w:after="0" w:line="240" w:lineRule="auto"/>
        <w:jc w:val="both"/>
        <w:rPr>
          <w:rFonts w:ascii="Arial" w:hAnsi="Arial" w:cs="Arial"/>
        </w:rPr>
      </w:pPr>
    </w:p>
    <w:p w14:paraId="6C59632E" w14:textId="5105F85B" w:rsidR="000C1EA7" w:rsidRDefault="000C1EA7" w:rsidP="00B110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platí, že p</w:t>
      </w:r>
      <w:r w:rsidRPr="00A335BD">
        <w:rPr>
          <w:rFonts w:ascii="Arial" w:hAnsi="Arial" w:cs="Arial"/>
        </w:rPr>
        <w:t xml:space="preserve">okud je ukladatelem PP obec, je obec </w:t>
      </w:r>
      <w:r>
        <w:rPr>
          <w:rFonts w:ascii="Arial" w:hAnsi="Arial" w:cs="Arial"/>
        </w:rPr>
        <w:t>(obecní úřad) ve smyslu ustanovení § </w:t>
      </w:r>
      <w:r w:rsidRPr="00A335BD">
        <w:rPr>
          <w:rFonts w:ascii="Arial" w:hAnsi="Arial" w:cs="Arial"/>
        </w:rPr>
        <w:t xml:space="preserve">106 odst. 2 SŘ </w:t>
      </w:r>
      <w:r>
        <w:rPr>
          <w:rFonts w:ascii="Arial" w:hAnsi="Arial" w:cs="Arial"/>
        </w:rPr>
        <w:t>zároveň</w:t>
      </w:r>
      <w:r w:rsidRPr="00A335BD">
        <w:rPr>
          <w:rFonts w:ascii="Arial" w:hAnsi="Arial" w:cs="Arial"/>
        </w:rPr>
        <w:t xml:space="preserve"> exekučním správním </w:t>
      </w:r>
      <w:r w:rsidRPr="00822172">
        <w:rPr>
          <w:rFonts w:ascii="Arial" w:hAnsi="Arial" w:cs="Arial"/>
        </w:rPr>
        <w:t xml:space="preserve">orgánem. </w:t>
      </w:r>
      <w:r w:rsidR="00CE62B3" w:rsidRPr="00822172">
        <w:rPr>
          <w:rFonts w:ascii="Arial" w:hAnsi="Arial" w:cs="Arial"/>
        </w:rPr>
        <w:t xml:space="preserve">GŘC uvedlo, </w:t>
      </w:r>
      <w:r w:rsidRPr="00822172">
        <w:rPr>
          <w:rFonts w:ascii="Arial" w:hAnsi="Arial" w:cs="Arial"/>
        </w:rPr>
        <w:t>že pokud</w:t>
      </w:r>
      <w:r w:rsidRPr="00A335BD">
        <w:rPr>
          <w:rFonts w:ascii="Arial" w:hAnsi="Arial" w:cs="Arial"/>
        </w:rPr>
        <w:t xml:space="preserve"> není ve zvláštním právním předpis</w:t>
      </w:r>
      <w:r>
        <w:rPr>
          <w:rFonts w:ascii="Arial" w:hAnsi="Arial" w:cs="Arial"/>
        </w:rPr>
        <w:t>u</w:t>
      </w:r>
      <w:r w:rsidRPr="00A335BD">
        <w:rPr>
          <w:rFonts w:ascii="Arial" w:hAnsi="Arial" w:cs="Arial"/>
        </w:rPr>
        <w:t xml:space="preserve"> stanoveno jinak, obec zajišťuje </w:t>
      </w:r>
      <w:r w:rsidR="000229F6">
        <w:rPr>
          <w:rFonts w:ascii="Arial" w:hAnsi="Arial" w:cs="Arial"/>
        </w:rPr>
        <w:t>vybírání a vymáhání PP, která</w:t>
      </w:r>
      <w:bookmarkStart w:id="0" w:name="_GoBack"/>
      <w:bookmarkEnd w:id="0"/>
      <w:r>
        <w:rPr>
          <w:rFonts w:ascii="Arial" w:hAnsi="Arial" w:cs="Arial"/>
        </w:rPr>
        <w:t xml:space="preserve"> sama uloží. Taková PP nejsou předmětem dělené správy</w:t>
      </w:r>
      <w:r w:rsidR="00261A6C">
        <w:rPr>
          <w:rFonts w:ascii="Arial" w:hAnsi="Arial" w:cs="Arial"/>
        </w:rPr>
        <w:t xml:space="preserve"> ve smyslu DŘ</w:t>
      </w:r>
      <w:r>
        <w:rPr>
          <w:rFonts w:ascii="Arial" w:hAnsi="Arial" w:cs="Arial"/>
        </w:rPr>
        <w:t xml:space="preserve">. Obce však mohou </w:t>
      </w:r>
      <w:r w:rsidR="00765562">
        <w:rPr>
          <w:rFonts w:ascii="Arial" w:hAnsi="Arial" w:cs="Arial"/>
        </w:rPr>
        <w:t>u</w:t>
      </w:r>
      <w:r w:rsidR="001035FF">
        <w:rPr>
          <w:rFonts w:ascii="Arial" w:hAnsi="Arial" w:cs="Arial"/>
        </w:rPr>
        <w:t> </w:t>
      </w:r>
      <w:r w:rsidR="00261A6C">
        <w:rPr>
          <w:rFonts w:ascii="Arial" w:hAnsi="Arial" w:cs="Arial"/>
        </w:rPr>
        <w:t>těchto PP</w:t>
      </w:r>
      <w:r w:rsidR="00765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využít institutu žádosti o provedení exekuce podle § </w:t>
      </w:r>
      <w:r w:rsidRPr="00A335BD">
        <w:rPr>
          <w:rFonts w:ascii="Arial" w:hAnsi="Arial" w:cs="Arial"/>
        </w:rPr>
        <w:t>106 odst. 2 SŘ</w:t>
      </w:r>
      <w:r w:rsidR="00261A6C">
        <w:rPr>
          <w:rFonts w:ascii="Arial" w:hAnsi="Arial" w:cs="Arial"/>
        </w:rPr>
        <w:t xml:space="preserve"> (musí se jednat o PP uložená podle SŘ)</w:t>
      </w:r>
      <w:r>
        <w:rPr>
          <w:rFonts w:ascii="Arial" w:hAnsi="Arial" w:cs="Arial"/>
        </w:rPr>
        <w:t>. Na žádost obecního úřadu provádí exekuce místně příslušný obecný správce daně, tedy CÚ.</w:t>
      </w:r>
    </w:p>
    <w:p w14:paraId="25191918" w14:textId="77777777" w:rsidR="00705BE5" w:rsidRDefault="00705BE5" w:rsidP="00B1103A">
      <w:pPr>
        <w:spacing w:after="0" w:line="240" w:lineRule="auto"/>
        <w:jc w:val="both"/>
        <w:rPr>
          <w:rFonts w:ascii="Arial" w:hAnsi="Arial" w:cs="Arial"/>
        </w:rPr>
      </w:pPr>
    </w:p>
    <w:p w14:paraId="3C3EDADD" w14:textId="3503285B" w:rsidR="000C1EA7" w:rsidRDefault="000C1EA7" w:rsidP="00B1103A">
      <w:pPr>
        <w:spacing w:after="0" w:line="240" w:lineRule="auto"/>
        <w:jc w:val="both"/>
        <w:rPr>
          <w:rFonts w:ascii="Arial" w:hAnsi="Arial" w:cs="Arial"/>
        </w:rPr>
      </w:pPr>
      <w:r w:rsidRPr="00170022">
        <w:rPr>
          <w:rFonts w:ascii="Arial" w:hAnsi="Arial" w:cs="Arial"/>
          <w:b/>
        </w:rPr>
        <w:t>Kontrolou bylo zjištěno, že v </w:t>
      </w:r>
      <w:r w:rsidR="001E0D96">
        <w:rPr>
          <w:rFonts w:ascii="Arial" w:hAnsi="Arial" w:cs="Arial"/>
          <w:b/>
        </w:rPr>
        <w:t>některých případech ukladatelé</w:t>
      </w:r>
      <w:r w:rsidR="008C54C9">
        <w:rPr>
          <w:rFonts w:ascii="Arial" w:hAnsi="Arial" w:cs="Arial"/>
          <w:b/>
        </w:rPr>
        <w:t xml:space="preserve"> </w:t>
      </w:r>
      <w:r w:rsidR="009E7DE1">
        <w:rPr>
          <w:rFonts w:ascii="Arial" w:hAnsi="Arial" w:cs="Arial"/>
          <w:b/>
        </w:rPr>
        <w:t>(</w:t>
      </w:r>
      <w:r w:rsidR="001E0D96">
        <w:rPr>
          <w:rFonts w:ascii="Arial" w:hAnsi="Arial" w:cs="Arial"/>
          <w:b/>
        </w:rPr>
        <w:t>obce</w:t>
      </w:r>
      <w:r w:rsidR="009E7DE1">
        <w:rPr>
          <w:rFonts w:ascii="Arial" w:hAnsi="Arial" w:cs="Arial"/>
          <w:b/>
        </w:rPr>
        <w:t>)</w:t>
      </w:r>
      <w:r w:rsidRPr="00170022">
        <w:rPr>
          <w:rFonts w:ascii="Arial" w:hAnsi="Arial" w:cs="Arial"/>
          <w:b/>
        </w:rPr>
        <w:t xml:space="preserve"> a CÚ nepostupoval</w:t>
      </w:r>
      <w:r w:rsidR="001035FF">
        <w:rPr>
          <w:rFonts w:ascii="Arial" w:hAnsi="Arial" w:cs="Arial"/>
          <w:b/>
        </w:rPr>
        <w:t>i</w:t>
      </w:r>
      <w:r w:rsidRPr="00170022">
        <w:rPr>
          <w:rFonts w:ascii="Arial" w:hAnsi="Arial" w:cs="Arial"/>
          <w:b/>
        </w:rPr>
        <w:t xml:space="preserve"> jednotně při posuzování, zda je konkrétní PP předmětem dělené správy</w:t>
      </w:r>
      <w:r w:rsidR="001035FF">
        <w:rPr>
          <w:rFonts w:ascii="Arial" w:hAnsi="Arial" w:cs="Arial"/>
          <w:b/>
        </w:rPr>
        <w:t>,</w:t>
      </w:r>
      <w:r w:rsidRPr="00170022">
        <w:rPr>
          <w:rFonts w:ascii="Arial" w:hAnsi="Arial" w:cs="Arial"/>
          <w:b/>
        </w:rPr>
        <w:t xml:space="preserve"> či nikoliv.</w:t>
      </w:r>
      <w:r w:rsidRPr="00157721">
        <w:rPr>
          <w:rFonts w:ascii="Arial" w:hAnsi="Arial" w:cs="Arial"/>
        </w:rPr>
        <w:t xml:space="preserve"> </w:t>
      </w:r>
    </w:p>
    <w:p w14:paraId="4EE472E1" w14:textId="77777777" w:rsidR="00705BE5" w:rsidRDefault="00705BE5" w:rsidP="00B1103A">
      <w:pPr>
        <w:spacing w:after="0" w:line="240" w:lineRule="auto"/>
        <w:jc w:val="both"/>
        <w:rPr>
          <w:rFonts w:ascii="Arial" w:hAnsi="Arial" w:cs="Arial"/>
        </w:rPr>
      </w:pPr>
    </w:p>
    <w:p w14:paraId="7A053E54" w14:textId="6F693163" w:rsidR="000C1EA7" w:rsidRDefault="000C1EA7" w:rsidP="00B110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Odlišení skutečnosti, zda se jedná o dělenou správu PP</w:t>
      </w:r>
      <w:r w:rsidR="001035F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či nikoliv</w:t>
      </w:r>
      <w:r w:rsidR="009675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 </w:t>
      </w:r>
      <w:r w:rsidR="009C1862">
        <w:rPr>
          <w:rFonts w:ascii="Arial" w:hAnsi="Arial" w:cs="Arial"/>
        </w:rPr>
        <w:t xml:space="preserve">přitom </w:t>
      </w:r>
      <w:r>
        <w:rPr>
          <w:rFonts w:ascii="Arial" w:hAnsi="Arial" w:cs="Arial"/>
        </w:rPr>
        <w:t>zásadní, neboť zákonodárce stanovil pro výkon děle</w:t>
      </w:r>
      <w:r w:rsidR="008F758D">
        <w:rPr>
          <w:rFonts w:ascii="Arial" w:hAnsi="Arial" w:cs="Arial"/>
        </w:rPr>
        <w:t>né správy určitá pravidla, která</w:t>
      </w:r>
      <w:r>
        <w:rPr>
          <w:rFonts w:ascii="Arial" w:hAnsi="Arial" w:cs="Arial"/>
        </w:rPr>
        <w:t xml:space="preserve"> je nutné dodržovat za účelem realizace efektivního výkonu správy placení PP. Podmínky žádostí obcí o provedení </w:t>
      </w:r>
      <w:r>
        <w:rPr>
          <w:rFonts w:ascii="Arial" w:hAnsi="Arial" w:cs="Arial"/>
        </w:rPr>
        <w:lastRenderedPageBreak/>
        <w:t>exekuce obecným správcem daně naopak upraveny nejsou</w:t>
      </w:r>
      <w:r w:rsidR="005A5A48">
        <w:rPr>
          <w:rFonts w:ascii="Arial" w:hAnsi="Arial" w:cs="Arial"/>
        </w:rPr>
        <w:t xml:space="preserve"> a </w:t>
      </w:r>
      <w:r w:rsidR="008B7A74">
        <w:rPr>
          <w:rFonts w:ascii="Arial" w:hAnsi="Arial" w:cs="Arial"/>
        </w:rPr>
        <w:t>jejich</w:t>
      </w:r>
      <w:r w:rsidR="005A5A48">
        <w:rPr>
          <w:rFonts w:ascii="Arial" w:hAnsi="Arial" w:cs="Arial"/>
        </w:rPr>
        <w:t xml:space="preserve"> využívání závisí na uvážení obce</w:t>
      </w:r>
      <w:r>
        <w:rPr>
          <w:rFonts w:ascii="Arial" w:hAnsi="Arial" w:cs="Arial"/>
        </w:rPr>
        <w:t>.</w:t>
      </w:r>
    </w:p>
    <w:p w14:paraId="2D17EE51" w14:textId="77777777" w:rsidR="00705BE5" w:rsidRDefault="00705BE5" w:rsidP="00B1103A">
      <w:pPr>
        <w:spacing w:after="0" w:line="240" w:lineRule="auto"/>
        <w:jc w:val="both"/>
        <w:rPr>
          <w:rFonts w:ascii="Arial" w:hAnsi="Arial" w:cs="Arial"/>
        </w:rPr>
      </w:pPr>
    </w:p>
    <w:p w14:paraId="650D0B0E" w14:textId="2983FAC8" w:rsidR="00EA5F01" w:rsidRDefault="00EA5F01" w:rsidP="00B1103A">
      <w:pPr>
        <w:spacing w:after="0" w:line="240" w:lineRule="auto"/>
        <w:jc w:val="both"/>
        <w:rPr>
          <w:rFonts w:ascii="Arial" w:hAnsi="Arial" w:cs="Arial"/>
        </w:rPr>
      </w:pPr>
      <w:r w:rsidRPr="00AE1393">
        <w:rPr>
          <w:rFonts w:ascii="Arial" w:hAnsi="Arial" w:cs="Arial"/>
        </w:rPr>
        <w:t>NKÚ kontrolou zjistil, že některé krajské veterinární správy SVS</w:t>
      </w:r>
      <w:r w:rsidRPr="00AE1393">
        <w:rPr>
          <w:rStyle w:val="Znakapoznpodarou"/>
          <w:rFonts w:ascii="Arial" w:hAnsi="Arial" w:cs="Arial"/>
        </w:rPr>
        <w:footnoteReference w:id="7"/>
      </w:r>
      <w:r w:rsidRPr="00AE1393">
        <w:rPr>
          <w:rFonts w:ascii="Arial" w:hAnsi="Arial" w:cs="Arial"/>
        </w:rPr>
        <w:t xml:space="preserve"> vybíraly v kontrolovaném období pokuty </w:t>
      </w:r>
      <w:r>
        <w:rPr>
          <w:rFonts w:ascii="Arial" w:hAnsi="Arial" w:cs="Arial"/>
        </w:rPr>
        <w:t xml:space="preserve">uložené </w:t>
      </w:r>
      <w:r w:rsidR="00DC19F2">
        <w:rPr>
          <w:rFonts w:ascii="Arial" w:hAnsi="Arial" w:cs="Arial"/>
        </w:rPr>
        <w:t>podle zákona č. 110/1997 Sb.,</w:t>
      </w:r>
      <w:r w:rsidR="00DC19F2" w:rsidRPr="00DC19F2">
        <w:rPr>
          <w:rFonts w:ascii="Arial" w:hAnsi="Arial" w:cs="Arial"/>
        </w:rPr>
        <w:t xml:space="preserve"> o potravinách a tabákových výrobcích a o změně a doplnění některých souvisejících zákonů</w:t>
      </w:r>
      <w:r w:rsidR="00DC19F2">
        <w:rPr>
          <w:rFonts w:ascii="Arial" w:hAnsi="Arial" w:cs="Arial"/>
        </w:rPr>
        <w:t>,</w:t>
      </w:r>
      <w:r w:rsidRPr="00AE1393">
        <w:rPr>
          <w:rFonts w:ascii="Arial" w:hAnsi="Arial" w:cs="Arial"/>
        </w:rPr>
        <w:t xml:space="preserve"> a zákona č. 154/2000 Sb.,</w:t>
      </w:r>
      <w:r w:rsidR="00DC19F2" w:rsidRPr="00DC19F2">
        <w:rPr>
          <w:rFonts w:ascii="Arial" w:hAnsi="Arial" w:cs="Arial"/>
        </w:rPr>
        <w:t xml:space="preserve"> </w:t>
      </w:r>
      <w:r w:rsidR="00DC19F2">
        <w:rPr>
          <w:rFonts w:ascii="Arial" w:hAnsi="Arial" w:cs="Arial"/>
        </w:rPr>
        <w:t>o </w:t>
      </w:r>
      <w:r w:rsidR="00DC19F2" w:rsidRPr="00DC19F2">
        <w:rPr>
          <w:rFonts w:ascii="Arial" w:hAnsi="Arial" w:cs="Arial"/>
        </w:rPr>
        <w:t>šlechtění, plemenitbě a evidenci hospodářských zvířat a o změně některých souvisejících zákonů (plemenářský zákon)</w:t>
      </w:r>
      <w:r w:rsidR="00DC19F2">
        <w:rPr>
          <w:rFonts w:ascii="Arial" w:hAnsi="Arial" w:cs="Arial"/>
        </w:rPr>
        <w:t>,</w:t>
      </w:r>
      <w:r w:rsidRPr="00AE1393">
        <w:rPr>
          <w:rFonts w:ascii="Arial" w:hAnsi="Arial" w:cs="Arial"/>
        </w:rPr>
        <w:t xml:space="preserve"> přestože kompetenci (příslušnost) k vybírání těchto PP neměly. SVS měla pokuty ukládané podle uvedených předpisů předávat ke správě placení obecnému správci daně.</w:t>
      </w:r>
    </w:p>
    <w:p w14:paraId="0A1E6555" w14:textId="77777777" w:rsidR="00705BE5" w:rsidRPr="00AE1393" w:rsidRDefault="00705BE5" w:rsidP="00B1103A">
      <w:pPr>
        <w:spacing w:after="0" w:line="240" w:lineRule="auto"/>
        <w:jc w:val="both"/>
        <w:rPr>
          <w:rFonts w:ascii="Arial" w:hAnsi="Arial" w:cs="Arial"/>
        </w:rPr>
      </w:pPr>
    </w:p>
    <w:p w14:paraId="3B9DB1DB" w14:textId="1272A373" w:rsidR="00CA43F0" w:rsidRDefault="00EA5F01" w:rsidP="00B1103A">
      <w:pPr>
        <w:spacing w:after="0" w:line="240" w:lineRule="auto"/>
        <w:jc w:val="both"/>
        <w:rPr>
          <w:rFonts w:ascii="Arial" w:hAnsi="Arial" w:cs="Arial"/>
        </w:rPr>
      </w:pPr>
      <w:r w:rsidRPr="00BD6669">
        <w:rPr>
          <w:rFonts w:ascii="Arial" w:hAnsi="Arial" w:cs="Arial"/>
        </w:rPr>
        <w:t xml:space="preserve">Kontrola NKÚ </w:t>
      </w:r>
      <w:r w:rsidR="00BD6669" w:rsidRPr="00BD6669">
        <w:rPr>
          <w:rFonts w:ascii="Arial" w:hAnsi="Arial" w:cs="Arial"/>
        </w:rPr>
        <w:t xml:space="preserve">dále </w:t>
      </w:r>
      <w:r w:rsidRPr="00BD6669">
        <w:rPr>
          <w:rFonts w:ascii="Arial" w:hAnsi="Arial" w:cs="Arial"/>
        </w:rPr>
        <w:t>zjistila</w:t>
      </w:r>
      <w:r w:rsidR="003C5EC3" w:rsidRPr="00BD6669">
        <w:rPr>
          <w:rFonts w:ascii="Arial" w:hAnsi="Arial" w:cs="Arial"/>
        </w:rPr>
        <w:t>, že v některých případech dochází k tomu, že vybírání nákladů řízení uložených ukladatelem spolu s vlastním PP (pokutou, odvodem apod.) probíhá v jiném režimu než vybírání vlastního PP</w:t>
      </w:r>
      <w:r w:rsidRPr="00BD6669">
        <w:rPr>
          <w:rFonts w:ascii="Arial" w:hAnsi="Arial" w:cs="Arial"/>
        </w:rPr>
        <w:t>.</w:t>
      </w:r>
      <w:r w:rsidR="003C5EC3" w:rsidRPr="00BD6669">
        <w:rPr>
          <w:rFonts w:ascii="Arial" w:hAnsi="Arial" w:cs="Arial"/>
        </w:rPr>
        <w:t xml:space="preserve"> </w:t>
      </w:r>
      <w:r w:rsidRPr="00BD6669">
        <w:rPr>
          <w:rFonts w:ascii="Arial" w:hAnsi="Arial" w:cs="Arial"/>
        </w:rPr>
        <w:t>Dochází tak k situac</w:t>
      </w:r>
      <w:r w:rsidR="001035FF">
        <w:rPr>
          <w:rFonts w:ascii="Arial" w:hAnsi="Arial" w:cs="Arial"/>
        </w:rPr>
        <w:t>ím</w:t>
      </w:r>
      <w:r w:rsidRPr="00BD6669">
        <w:rPr>
          <w:rFonts w:ascii="Arial" w:hAnsi="Arial" w:cs="Arial"/>
        </w:rPr>
        <w:t>, kdy například uloženou</w:t>
      </w:r>
      <w:r w:rsidR="003C5EC3" w:rsidRPr="00BD6669">
        <w:rPr>
          <w:rFonts w:ascii="Arial" w:hAnsi="Arial" w:cs="Arial"/>
        </w:rPr>
        <w:t xml:space="preserve"> pokutu vybírá </w:t>
      </w:r>
      <w:r w:rsidRPr="00BD6669">
        <w:rPr>
          <w:rFonts w:ascii="Arial" w:hAnsi="Arial" w:cs="Arial"/>
        </w:rPr>
        <w:t>obecný správce daně (</w:t>
      </w:r>
      <w:r w:rsidR="003C5EC3" w:rsidRPr="00BD6669">
        <w:rPr>
          <w:rFonts w:ascii="Arial" w:hAnsi="Arial" w:cs="Arial"/>
        </w:rPr>
        <w:t>CÚ</w:t>
      </w:r>
      <w:r w:rsidRPr="00BD6669">
        <w:rPr>
          <w:rFonts w:ascii="Arial" w:hAnsi="Arial" w:cs="Arial"/>
        </w:rPr>
        <w:t>),</w:t>
      </w:r>
      <w:r w:rsidR="003C5EC3" w:rsidRPr="00BD6669">
        <w:rPr>
          <w:rFonts w:ascii="Arial" w:hAnsi="Arial" w:cs="Arial"/>
        </w:rPr>
        <w:t xml:space="preserve"> a</w:t>
      </w:r>
      <w:r w:rsidRPr="00BD6669">
        <w:rPr>
          <w:rFonts w:ascii="Arial" w:hAnsi="Arial" w:cs="Arial"/>
        </w:rPr>
        <w:t>le</w:t>
      </w:r>
      <w:r w:rsidR="003C5EC3" w:rsidRPr="00BD6669">
        <w:rPr>
          <w:rFonts w:ascii="Arial" w:hAnsi="Arial" w:cs="Arial"/>
        </w:rPr>
        <w:t xml:space="preserve"> náklady řízení vybírá ukladatel. </w:t>
      </w:r>
      <w:r w:rsidR="003E2E06">
        <w:rPr>
          <w:rFonts w:ascii="Arial" w:hAnsi="Arial" w:cs="Arial"/>
        </w:rPr>
        <w:t>V rozhodnutí o </w:t>
      </w:r>
      <w:r w:rsidR="00BD6669" w:rsidRPr="00BD6669">
        <w:rPr>
          <w:rFonts w:ascii="Arial" w:hAnsi="Arial" w:cs="Arial"/>
        </w:rPr>
        <w:t xml:space="preserve">uložení PP ukladatel uvádí pro úhradu pokuty číslo </w:t>
      </w:r>
      <w:r w:rsidR="00A96F6B">
        <w:rPr>
          <w:rFonts w:ascii="Arial" w:hAnsi="Arial" w:cs="Arial"/>
        </w:rPr>
        <w:t xml:space="preserve">bankovního </w:t>
      </w:r>
      <w:r w:rsidR="00BD6669" w:rsidRPr="00BD6669">
        <w:rPr>
          <w:rFonts w:ascii="Arial" w:hAnsi="Arial" w:cs="Arial"/>
        </w:rPr>
        <w:t xml:space="preserve">účtu CÚ a pro úhradu nákladů řízení vlastní </w:t>
      </w:r>
      <w:r w:rsidR="00A96F6B">
        <w:rPr>
          <w:rFonts w:ascii="Arial" w:hAnsi="Arial" w:cs="Arial"/>
        </w:rPr>
        <w:t xml:space="preserve">bankovní </w:t>
      </w:r>
      <w:r w:rsidR="00BD6669" w:rsidRPr="00BD6669">
        <w:rPr>
          <w:rFonts w:ascii="Arial" w:hAnsi="Arial" w:cs="Arial"/>
        </w:rPr>
        <w:t xml:space="preserve">účet. </w:t>
      </w:r>
      <w:r w:rsidR="003C5EC3" w:rsidRPr="00BD6669">
        <w:rPr>
          <w:rFonts w:ascii="Arial" w:hAnsi="Arial" w:cs="Arial"/>
        </w:rPr>
        <w:t>Pokud náklady řízení ukladatel</w:t>
      </w:r>
      <w:r w:rsidR="00BD6669" w:rsidRPr="00BD6669">
        <w:rPr>
          <w:rFonts w:ascii="Arial" w:hAnsi="Arial" w:cs="Arial"/>
        </w:rPr>
        <w:t xml:space="preserve"> nevybere</w:t>
      </w:r>
      <w:r w:rsidR="003C5EC3" w:rsidRPr="00BD6669">
        <w:rPr>
          <w:rFonts w:ascii="Arial" w:hAnsi="Arial" w:cs="Arial"/>
        </w:rPr>
        <w:t xml:space="preserve">, postupuje </w:t>
      </w:r>
      <w:r w:rsidR="00BD6669" w:rsidRPr="00BD6669">
        <w:rPr>
          <w:rFonts w:ascii="Arial" w:hAnsi="Arial" w:cs="Arial"/>
        </w:rPr>
        <w:t xml:space="preserve">posléze tyto </w:t>
      </w:r>
      <w:r w:rsidR="003C5EC3" w:rsidRPr="00BD6669">
        <w:rPr>
          <w:rFonts w:ascii="Arial" w:hAnsi="Arial" w:cs="Arial"/>
        </w:rPr>
        <w:t>náklad</w:t>
      </w:r>
      <w:r w:rsidR="00BD6669" w:rsidRPr="00BD6669">
        <w:rPr>
          <w:rFonts w:ascii="Arial" w:hAnsi="Arial" w:cs="Arial"/>
        </w:rPr>
        <w:t>y</w:t>
      </w:r>
      <w:r w:rsidR="003C5EC3" w:rsidRPr="00BD6669">
        <w:rPr>
          <w:rFonts w:ascii="Arial" w:hAnsi="Arial" w:cs="Arial"/>
        </w:rPr>
        <w:t xml:space="preserve"> k vymáhání </w:t>
      </w:r>
      <w:r w:rsidR="00BD6669" w:rsidRPr="00BD6669">
        <w:rPr>
          <w:rFonts w:ascii="Arial" w:hAnsi="Arial" w:cs="Arial"/>
        </w:rPr>
        <w:t xml:space="preserve">rovněž </w:t>
      </w:r>
      <w:r w:rsidR="003C5EC3" w:rsidRPr="00BD6669">
        <w:rPr>
          <w:rFonts w:ascii="Arial" w:hAnsi="Arial" w:cs="Arial"/>
        </w:rPr>
        <w:t>CÚ.</w:t>
      </w:r>
      <w:r w:rsidR="00A96F6B">
        <w:rPr>
          <w:rFonts w:ascii="Arial" w:hAnsi="Arial" w:cs="Arial"/>
        </w:rPr>
        <w:t xml:space="preserve"> </w:t>
      </w:r>
      <w:r w:rsidR="00A96F6B" w:rsidRPr="00A96F6B">
        <w:rPr>
          <w:rFonts w:ascii="Arial" w:hAnsi="Arial" w:cs="Arial"/>
        </w:rPr>
        <w:t>Tento postup představuje</w:t>
      </w:r>
      <w:r w:rsidR="001035FF">
        <w:rPr>
          <w:rFonts w:ascii="Arial" w:hAnsi="Arial" w:cs="Arial"/>
        </w:rPr>
        <w:t xml:space="preserve"> </w:t>
      </w:r>
      <w:r w:rsidR="00A96F6B" w:rsidRPr="00A96F6B">
        <w:rPr>
          <w:rFonts w:ascii="Arial" w:hAnsi="Arial" w:cs="Arial"/>
        </w:rPr>
        <w:t>zvýšenou administrativní náročnost</w:t>
      </w:r>
      <w:r w:rsidR="00A96F6B">
        <w:rPr>
          <w:rFonts w:ascii="Arial" w:hAnsi="Arial" w:cs="Arial"/>
        </w:rPr>
        <w:t>.</w:t>
      </w:r>
    </w:p>
    <w:p w14:paraId="4B22216E" w14:textId="77777777" w:rsidR="00705BE5" w:rsidRPr="00A96F6B" w:rsidRDefault="00705BE5" w:rsidP="00B1103A">
      <w:pPr>
        <w:spacing w:after="0" w:line="240" w:lineRule="auto"/>
        <w:jc w:val="both"/>
        <w:rPr>
          <w:rFonts w:ascii="Arial" w:hAnsi="Arial" w:cs="Arial"/>
        </w:rPr>
      </w:pPr>
    </w:p>
    <w:p w14:paraId="2D3F237E" w14:textId="58A529EC" w:rsidR="003F7EFB" w:rsidRPr="003F7EFB" w:rsidRDefault="00681E6C" w:rsidP="00EC4836">
      <w:pPr>
        <w:pStyle w:val="Odstavecseseznamem"/>
        <w:spacing w:after="0"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101E54">
        <w:rPr>
          <w:rFonts w:ascii="Arial" w:hAnsi="Arial" w:cs="Arial"/>
          <w:b/>
        </w:rPr>
        <w:t>Postup ukladatelů</w:t>
      </w:r>
      <w:r w:rsidR="00FB49C2" w:rsidRPr="003F7EFB">
        <w:rPr>
          <w:rFonts w:ascii="Arial" w:hAnsi="Arial" w:cs="Arial"/>
          <w:b/>
        </w:rPr>
        <w:t xml:space="preserve"> </w:t>
      </w:r>
      <w:r w:rsidR="003F7EFB" w:rsidRPr="003F7EFB">
        <w:rPr>
          <w:rFonts w:ascii="Arial" w:hAnsi="Arial" w:cs="Arial"/>
          <w:b/>
        </w:rPr>
        <w:t>peněžitých</w:t>
      </w:r>
      <w:r w:rsidR="003F7EFB">
        <w:rPr>
          <w:rFonts w:ascii="Arial" w:hAnsi="Arial" w:cs="Arial"/>
          <w:b/>
        </w:rPr>
        <w:t xml:space="preserve"> plnění</w:t>
      </w:r>
    </w:p>
    <w:p w14:paraId="3D344A95" w14:textId="77777777" w:rsidR="00681E6C" w:rsidRDefault="00681E6C" w:rsidP="00B1103A">
      <w:pPr>
        <w:spacing w:after="0" w:line="240" w:lineRule="auto"/>
        <w:jc w:val="both"/>
        <w:rPr>
          <w:rFonts w:ascii="Arial" w:hAnsi="Arial" w:cs="Arial"/>
          <w:bCs/>
        </w:rPr>
      </w:pPr>
    </w:p>
    <w:p w14:paraId="475AA4C4" w14:textId="52F53889" w:rsidR="00041668" w:rsidRDefault="0029180E" w:rsidP="00B1103A">
      <w:pPr>
        <w:spacing w:after="0" w:line="240" w:lineRule="auto"/>
        <w:jc w:val="both"/>
        <w:rPr>
          <w:rFonts w:ascii="Arial" w:hAnsi="Arial" w:cs="Arial"/>
          <w:bCs/>
        </w:rPr>
      </w:pPr>
      <w:r w:rsidRPr="0029180E">
        <w:rPr>
          <w:rFonts w:ascii="Arial" w:hAnsi="Arial" w:cs="Arial"/>
          <w:bCs/>
        </w:rPr>
        <w:t>Kontrola ověřovala postupy vybraných orgánů, které ukládají PP a předávají správu placení nebo správu vymáhání uložených PP obecnému správci daně (CÚ). Kontrole byly podrobeny postupy SVS, ČOI a vybraných obcí</w:t>
      </w:r>
      <w:r w:rsidR="00765562">
        <w:rPr>
          <w:rFonts w:ascii="Arial" w:hAnsi="Arial" w:cs="Arial"/>
          <w:bCs/>
        </w:rPr>
        <w:t xml:space="preserve"> u PP</w:t>
      </w:r>
      <w:r w:rsidR="005A5A48">
        <w:rPr>
          <w:rFonts w:ascii="Arial" w:hAnsi="Arial" w:cs="Arial"/>
          <w:bCs/>
        </w:rPr>
        <w:t xml:space="preserve"> ukládaných</w:t>
      </w:r>
      <w:r w:rsidRPr="0029180E">
        <w:rPr>
          <w:rFonts w:ascii="Arial" w:hAnsi="Arial" w:cs="Arial"/>
          <w:bCs/>
        </w:rPr>
        <w:t xml:space="preserve"> v přenesené působnosti státu.</w:t>
      </w:r>
      <w:r>
        <w:rPr>
          <w:rFonts w:ascii="Arial" w:hAnsi="Arial" w:cs="Arial"/>
          <w:bCs/>
        </w:rPr>
        <w:t xml:space="preserve"> Kontrola byla zaměřena zejména na evidenci</w:t>
      </w:r>
      <w:r w:rsidR="0076556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účtování o PP </w:t>
      </w:r>
      <w:r w:rsidR="00765562">
        <w:rPr>
          <w:rFonts w:ascii="Arial" w:hAnsi="Arial" w:cs="Arial"/>
          <w:bCs/>
        </w:rPr>
        <w:t xml:space="preserve">(vyjma obcí) </w:t>
      </w:r>
      <w:r w:rsidR="00261A6C">
        <w:rPr>
          <w:rFonts w:ascii="Arial" w:hAnsi="Arial" w:cs="Arial"/>
          <w:bCs/>
        </w:rPr>
        <w:t>a </w:t>
      </w:r>
      <w:r>
        <w:rPr>
          <w:rFonts w:ascii="Arial" w:hAnsi="Arial" w:cs="Arial"/>
          <w:bCs/>
        </w:rPr>
        <w:t xml:space="preserve">předávání správy placení a správy vymáhání PP v souladu s podmínkami upravenými </w:t>
      </w:r>
      <w:r w:rsidR="00261A6C">
        <w:rPr>
          <w:rFonts w:ascii="Arial" w:hAnsi="Arial" w:cs="Arial"/>
          <w:bCs/>
        </w:rPr>
        <w:t>v </w:t>
      </w:r>
      <w:r>
        <w:rPr>
          <w:rFonts w:ascii="Arial" w:hAnsi="Arial" w:cs="Arial"/>
          <w:bCs/>
        </w:rPr>
        <w:t>DŘ.</w:t>
      </w:r>
    </w:p>
    <w:p w14:paraId="013B356E" w14:textId="77777777" w:rsidR="002A06F8" w:rsidRPr="00681E6C" w:rsidRDefault="002A06F8" w:rsidP="00B1103A">
      <w:pPr>
        <w:spacing w:after="0" w:line="240" w:lineRule="auto"/>
        <w:rPr>
          <w:rFonts w:ascii="Arial" w:hAnsi="Arial" w:cs="Arial"/>
          <w:b/>
          <w:vanish/>
        </w:rPr>
      </w:pPr>
    </w:p>
    <w:p w14:paraId="07828722" w14:textId="0D037D51" w:rsidR="008F758D" w:rsidRPr="00681E6C" w:rsidRDefault="00681E6C" w:rsidP="00B1103A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3.1 </w:t>
      </w:r>
      <w:r w:rsidR="00C04187" w:rsidRPr="00681E6C">
        <w:rPr>
          <w:rFonts w:ascii="Arial" w:hAnsi="Arial" w:cs="Arial"/>
          <w:b/>
        </w:rPr>
        <w:t>Evidence a účtování o peněžitých plněních</w:t>
      </w:r>
    </w:p>
    <w:p w14:paraId="2B64C00E" w14:textId="645EBEB9" w:rsidR="001E0D96" w:rsidRPr="00592F16" w:rsidRDefault="001E0D96" w:rsidP="00B1103A">
      <w:pPr>
        <w:spacing w:after="0" w:line="240" w:lineRule="auto"/>
        <w:jc w:val="both"/>
        <w:rPr>
          <w:rFonts w:ascii="Arial" w:hAnsi="Arial" w:cs="Arial"/>
          <w:bCs/>
        </w:rPr>
      </w:pPr>
      <w:r w:rsidRPr="00592F16">
        <w:rPr>
          <w:rFonts w:ascii="Arial" w:hAnsi="Arial" w:cs="Arial"/>
          <w:bCs/>
        </w:rPr>
        <w:t xml:space="preserve">Evidence PP u ukladatelů nepodléhá </w:t>
      </w:r>
      <w:r w:rsidR="00D93A9C" w:rsidRPr="00592F16">
        <w:rPr>
          <w:rFonts w:ascii="Arial" w:hAnsi="Arial" w:cs="Arial"/>
          <w:bCs/>
        </w:rPr>
        <w:t xml:space="preserve">pravidlům a </w:t>
      </w:r>
      <w:r w:rsidRPr="00592F16">
        <w:rPr>
          <w:rFonts w:ascii="Arial" w:hAnsi="Arial" w:cs="Arial"/>
          <w:bCs/>
        </w:rPr>
        <w:t xml:space="preserve">podmínkám </w:t>
      </w:r>
      <w:r w:rsidR="00D93A9C" w:rsidRPr="00592F16">
        <w:rPr>
          <w:rFonts w:ascii="Arial" w:hAnsi="Arial" w:cs="Arial"/>
          <w:bCs/>
        </w:rPr>
        <w:t xml:space="preserve">stanoveným </w:t>
      </w:r>
      <w:r w:rsidRPr="00592F16">
        <w:rPr>
          <w:rFonts w:ascii="Arial" w:hAnsi="Arial" w:cs="Arial"/>
          <w:bCs/>
        </w:rPr>
        <w:t xml:space="preserve">DŘ. Evidenci PP upravuje DŘ pro správu placení a správu vymáhání PP pro správce daně, kterým je v případě </w:t>
      </w:r>
      <w:r w:rsidR="00D93A9C" w:rsidRPr="00592F16">
        <w:rPr>
          <w:rFonts w:ascii="Arial" w:hAnsi="Arial" w:cs="Arial"/>
          <w:bCs/>
        </w:rPr>
        <w:t xml:space="preserve">fungování </w:t>
      </w:r>
      <w:r w:rsidRPr="00592F16">
        <w:rPr>
          <w:rFonts w:ascii="Arial" w:hAnsi="Arial" w:cs="Arial"/>
          <w:bCs/>
        </w:rPr>
        <w:t>kompetenční dělené správy CÚ.</w:t>
      </w:r>
      <w:r w:rsidR="00D93A9C" w:rsidRPr="00592F16">
        <w:rPr>
          <w:rFonts w:ascii="Arial" w:hAnsi="Arial" w:cs="Arial"/>
          <w:bCs/>
        </w:rPr>
        <w:t xml:space="preserve"> Rozhodnutí o způsobu vedení evidence PP je tak plně v kompetenci jednotlivých ukladatelů PP. </w:t>
      </w:r>
      <w:r w:rsidR="00725BE3" w:rsidRPr="00592F16">
        <w:rPr>
          <w:rFonts w:ascii="Arial" w:hAnsi="Arial" w:cs="Arial"/>
          <w:bCs/>
        </w:rPr>
        <w:t>NKÚ z</w:t>
      </w:r>
      <w:r w:rsidR="003E2E06">
        <w:rPr>
          <w:rFonts w:ascii="Arial" w:hAnsi="Arial" w:cs="Arial"/>
          <w:bCs/>
        </w:rPr>
        <w:t>jistil, že evidence PP u </w:t>
      </w:r>
      <w:r w:rsidR="00725BE3" w:rsidRPr="00592F16">
        <w:rPr>
          <w:rFonts w:ascii="Arial" w:hAnsi="Arial" w:cs="Arial"/>
          <w:bCs/>
        </w:rPr>
        <w:t>ukladatelů je značně rozdílná. NKÚ při kontrole např</w:t>
      </w:r>
      <w:r w:rsidR="00863F9F" w:rsidRPr="00592F16">
        <w:rPr>
          <w:rFonts w:ascii="Arial" w:hAnsi="Arial" w:cs="Arial"/>
          <w:bCs/>
        </w:rPr>
        <w:t>íklad</w:t>
      </w:r>
      <w:r w:rsidR="00725BE3" w:rsidRPr="00592F16">
        <w:rPr>
          <w:rFonts w:ascii="Arial" w:hAnsi="Arial" w:cs="Arial"/>
          <w:bCs/>
        </w:rPr>
        <w:t xml:space="preserve"> zjistil:</w:t>
      </w:r>
    </w:p>
    <w:p w14:paraId="64EE3CF8" w14:textId="09E5808C" w:rsidR="00725BE3" w:rsidRPr="00592F16" w:rsidRDefault="00725BE3" w:rsidP="00B1103A">
      <w:pPr>
        <w:pStyle w:val="Odstavecseseznamem"/>
        <w:numPr>
          <w:ilvl w:val="0"/>
          <w:numId w:val="25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592F16">
        <w:rPr>
          <w:rFonts w:ascii="Arial" w:hAnsi="Arial" w:cs="Arial"/>
          <w:bCs/>
        </w:rPr>
        <w:t>ČOI evidovala PP ve výši 20 000 Kč jako předané k vymáhání CÚ, ve skutečnosti však uvedené PP k vymáhání nepředala</w:t>
      </w:r>
      <w:r w:rsidR="00E04C39">
        <w:rPr>
          <w:rFonts w:ascii="Arial" w:hAnsi="Arial" w:cs="Arial"/>
          <w:bCs/>
        </w:rPr>
        <w:t>.</w:t>
      </w:r>
    </w:p>
    <w:p w14:paraId="58D645EB" w14:textId="448128B7" w:rsidR="00725BE3" w:rsidRDefault="00114AF5" w:rsidP="00B1103A">
      <w:pPr>
        <w:pStyle w:val="Odstavecseseznamem"/>
        <w:numPr>
          <w:ilvl w:val="0"/>
          <w:numId w:val="25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 w:rsidRPr="00592F16">
        <w:rPr>
          <w:rFonts w:ascii="Arial" w:hAnsi="Arial" w:cs="Arial"/>
          <w:bCs/>
        </w:rPr>
        <w:t>ČOI evidovala PP ve výši 5 000 Kč v předaných PP k vymáhání CÚ duplicitně</w:t>
      </w:r>
      <w:r w:rsidR="00E04C39">
        <w:rPr>
          <w:rFonts w:ascii="Arial" w:hAnsi="Arial" w:cs="Arial"/>
          <w:bCs/>
        </w:rPr>
        <w:t>.</w:t>
      </w:r>
    </w:p>
    <w:p w14:paraId="6636F17C" w14:textId="0F520A48" w:rsidR="0038645B" w:rsidRDefault="0038645B" w:rsidP="00B1103A">
      <w:pPr>
        <w:pStyle w:val="Odstavecseseznamem"/>
        <w:numPr>
          <w:ilvl w:val="0"/>
          <w:numId w:val="25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SVS předala PP ve výši 3 000 Kč k vymáhání CÚ, přestože </w:t>
      </w:r>
      <w:r w:rsidR="003841C3">
        <w:rPr>
          <w:rFonts w:ascii="Arial" w:hAnsi="Arial" w:cs="Arial"/>
        </w:rPr>
        <w:t xml:space="preserve">dlužník </w:t>
      </w:r>
      <w:r>
        <w:rPr>
          <w:rFonts w:ascii="Arial" w:hAnsi="Arial" w:cs="Arial"/>
        </w:rPr>
        <w:t xml:space="preserve">toto </w:t>
      </w:r>
      <w:r w:rsidR="003841C3">
        <w:rPr>
          <w:rFonts w:ascii="Arial" w:hAnsi="Arial" w:cs="Arial"/>
        </w:rPr>
        <w:t>peněžité plnění SVS</w:t>
      </w:r>
      <w:r>
        <w:rPr>
          <w:rFonts w:ascii="Arial" w:hAnsi="Arial" w:cs="Arial"/>
        </w:rPr>
        <w:t xml:space="preserve"> </w:t>
      </w:r>
      <w:r w:rsidR="003841C3">
        <w:rPr>
          <w:rFonts w:ascii="Arial" w:hAnsi="Arial" w:cs="Arial"/>
        </w:rPr>
        <w:t>již uhradil</w:t>
      </w:r>
      <w:r w:rsidR="00E04C39">
        <w:rPr>
          <w:rFonts w:ascii="Arial" w:hAnsi="Arial" w:cs="Arial"/>
        </w:rPr>
        <w:t>.</w:t>
      </w:r>
    </w:p>
    <w:p w14:paraId="53461E72" w14:textId="77777777" w:rsidR="00681E6C" w:rsidRDefault="00681E6C" w:rsidP="00B1103A">
      <w:pPr>
        <w:spacing w:after="0" w:line="240" w:lineRule="auto"/>
        <w:jc w:val="both"/>
        <w:rPr>
          <w:rFonts w:ascii="Arial" w:hAnsi="Arial" w:cs="Arial"/>
          <w:bCs/>
        </w:rPr>
      </w:pPr>
    </w:p>
    <w:p w14:paraId="09BDE5C4" w14:textId="6029803B" w:rsidR="00C750BE" w:rsidRPr="00041668" w:rsidRDefault="00C04187" w:rsidP="00B1103A">
      <w:pPr>
        <w:spacing w:after="0" w:line="240" w:lineRule="auto"/>
        <w:jc w:val="both"/>
        <w:rPr>
          <w:rFonts w:ascii="Arial" w:hAnsi="Arial" w:cs="Arial"/>
          <w:bCs/>
        </w:rPr>
      </w:pPr>
      <w:r w:rsidRPr="00041668">
        <w:rPr>
          <w:rFonts w:ascii="Arial" w:hAnsi="Arial" w:cs="Arial"/>
          <w:bCs/>
        </w:rPr>
        <w:t>Kontrola NKÚ zjistila</w:t>
      </w:r>
      <w:r>
        <w:rPr>
          <w:rFonts w:ascii="Arial" w:hAnsi="Arial" w:cs="Arial"/>
          <w:bCs/>
        </w:rPr>
        <w:t>, že</w:t>
      </w:r>
      <w:r w:rsidRPr="00041668">
        <w:rPr>
          <w:rFonts w:ascii="Arial" w:hAnsi="Arial" w:cs="Arial"/>
          <w:bCs/>
        </w:rPr>
        <w:t xml:space="preserve"> </w:t>
      </w:r>
      <w:r w:rsidR="00FF4CAE">
        <w:rPr>
          <w:rFonts w:ascii="Arial" w:hAnsi="Arial" w:cs="Arial"/>
          <w:bCs/>
        </w:rPr>
        <w:t xml:space="preserve">ze strany </w:t>
      </w:r>
      <w:r w:rsidR="003F7EFB" w:rsidRPr="00041668">
        <w:rPr>
          <w:rFonts w:ascii="Arial" w:hAnsi="Arial" w:cs="Arial"/>
          <w:bCs/>
        </w:rPr>
        <w:t xml:space="preserve">SVS </w:t>
      </w:r>
      <w:r w:rsidR="00FF4CAE">
        <w:rPr>
          <w:rFonts w:ascii="Arial" w:hAnsi="Arial" w:cs="Arial"/>
          <w:bCs/>
        </w:rPr>
        <w:t xml:space="preserve">nebyl dostatečně </w:t>
      </w:r>
      <w:r w:rsidR="00C750BE" w:rsidRPr="00041668">
        <w:rPr>
          <w:rFonts w:ascii="Arial" w:hAnsi="Arial" w:cs="Arial"/>
          <w:bCs/>
        </w:rPr>
        <w:t xml:space="preserve">metodicky </w:t>
      </w:r>
      <w:r w:rsidR="00FF4CAE">
        <w:rPr>
          <w:rFonts w:ascii="Arial" w:hAnsi="Arial" w:cs="Arial"/>
          <w:bCs/>
        </w:rPr>
        <w:t xml:space="preserve">upraven </w:t>
      </w:r>
      <w:r w:rsidR="00C750BE" w:rsidRPr="00041668">
        <w:rPr>
          <w:rFonts w:ascii="Arial" w:hAnsi="Arial" w:cs="Arial"/>
          <w:bCs/>
        </w:rPr>
        <w:t xml:space="preserve">výkon dělené správy </w:t>
      </w:r>
      <w:r w:rsidR="00FF4CAE">
        <w:rPr>
          <w:rFonts w:ascii="Arial" w:hAnsi="Arial" w:cs="Arial"/>
          <w:bCs/>
        </w:rPr>
        <w:t xml:space="preserve">zajišťovaný </w:t>
      </w:r>
      <w:r w:rsidR="00C750BE" w:rsidRPr="00041668">
        <w:rPr>
          <w:rFonts w:ascii="Arial" w:hAnsi="Arial" w:cs="Arial"/>
          <w:bCs/>
        </w:rPr>
        <w:t>krajskými veterinárním</w:t>
      </w:r>
      <w:r>
        <w:rPr>
          <w:rFonts w:ascii="Arial" w:hAnsi="Arial" w:cs="Arial"/>
          <w:bCs/>
        </w:rPr>
        <w:t>i správami</w:t>
      </w:r>
      <w:r w:rsidR="003841C3">
        <w:rPr>
          <w:rFonts w:ascii="Arial" w:hAnsi="Arial" w:cs="Arial"/>
          <w:bCs/>
        </w:rPr>
        <w:t>.</w:t>
      </w:r>
      <w:r w:rsidR="00C750BE" w:rsidRPr="00041668">
        <w:rPr>
          <w:rFonts w:ascii="Arial" w:hAnsi="Arial" w:cs="Arial"/>
          <w:bCs/>
        </w:rPr>
        <w:t xml:space="preserve"> </w:t>
      </w:r>
      <w:r w:rsidR="003841C3">
        <w:rPr>
          <w:rFonts w:ascii="Arial" w:hAnsi="Arial" w:cs="Arial"/>
          <w:bCs/>
        </w:rPr>
        <w:t>J</w:t>
      </w:r>
      <w:r>
        <w:rPr>
          <w:rFonts w:ascii="Arial" w:hAnsi="Arial" w:cs="Arial"/>
          <w:bCs/>
        </w:rPr>
        <w:t>ednotlivé krajské veterinární</w:t>
      </w:r>
      <w:r w:rsidR="00C750BE" w:rsidRPr="00041668">
        <w:rPr>
          <w:rFonts w:ascii="Arial" w:hAnsi="Arial" w:cs="Arial"/>
          <w:bCs/>
        </w:rPr>
        <w:t xml:space="preserve"> správ</w:t>
      </w:r>
      <w:r>
        <w:rPr>
          <w:rFonts w:ascii="Arial" w:hAnsi="Arial" w:cs="Arial"/>
          <w:bCs/>
        </w:rPr>
        <w:t xml:space="preserve">y </w:t>
      </w:r>
      <w:r w:rsidR="003841C3">
        <w:rPr>
          <w:rFonts w:ascii="Arial" w:hAnsi="Arial" w:cs="Arial"/>
          <w:bCs/>
        </w:rPr>
        <w:t xml:space="preserve">tak </w:t>
      </w:r>
      <w:r>
        <w:rPr>
          <w:rFonts w:ascii="Arial" w:hAnsi="Arial" w:cs="Arial"/>
          <w:bCs/>
        </w:rPr>
        <w:t>nepostupovaly</w:t>
      </w:r>
      <w:r w:rsidR="00C750BE" w:rsidRPr="00041668">
        <w:rPr>
          <w:rFonts w:ascii="Arial" w:hAnsi="Arial" w:cs="Arial"/>
          <w:bCs/>
        </w:rPr>
        <w:t xml:space="preserve"> jednotným způsobem. SVS nezjistila odlišné postupy </w:t>
      </w:r>
      <w:r w:rsidR="00041668">
        <w:rPr>
          <w:rFonts w:ascii="Arial" w:hAnsi="Arial" w:cs="Arial"/>
          <w:bCs/>
        </w:rPr>
        <w:t xml:space="preserve">jednotlivých </w:t>
      </w:r>
      <w:r w:rsidR="00C750BE" w:rsidRPr="00041668">
        <w:rPr>
          <w:rFonts w:ascii="Arial" w:hAnsi="Arial" w:cs="Arial"/>
          <w:bCs/>
        </w:rPr>
        <w:t>krajských veterinárních správ</w:t>
      </w:r>
      <w:r w:rsidR="001035FF">
        <w:rPr>
          <w:rFonts w:ascii="Arial" w:hAnsi="Arial" w:cs="Arial"/>
          <w:bCs/>
        </w:rPr>
        <w:t>,</w:t>
      </w:r>
      <w:r w:rsidR="00C750BE" w:rsidRPr="00041668">
        <w:rPr>
          <w:rFonts w:ascii="Arial" w:hAnsi="Arial" w:cs="Arial"/>
          <w:bCs/>
        </w:rPr>
        <w:t xml:space="preserve"> a </w:t>
      </w:r>
      <w:r w:rsidR="00041668" w:rsidRPr="00041668">
        <w:rPr>
          <w:rFonts w:ascii="Arial" w:hAnsi="Arial" w:cs="Arial"/>
          <w:bCs/>
        </w:rPr>
        <w:t>nemohla tak přijmout nápravná opatření.</w:t>
      </w:r>
    </w:p>
    <w:p w14:paraId="440AE1D7" w14:textId="77777777" w:rsidR="00681E6C" w:rsidRDefault="00681E6C" w:rsidP="00B1103A">
      <w:pPr>
        <w:spacing w:after="0" w:line="240" w:lineRule="auto"/>
        <w:jc w:val="both"/>
        <w:rPr>
          <w:rFonts w:ascii="Arial" w:hAnsi="Arial" w:cs="Arial"/>
          <w:bCs/>
        </w:rPr>
      </w:pPr>
    </w:p>
    <w:p w14:paraId="1193CCE1" w14:textId="7CDC6D12" w:rsidR="003F7EFB" w:rsidRDefault="003F7EFB" w:rsidP="00B1103A">
      <w:pPr>
        <w:spacing w:after="0" w:line="240" w:lineRule="auto"/>
        <w:jc w:val="both"/>
        <w:rPr>
          <w:rFonts w:ascii="Arial" w:hAnsi="Arial" w:cs="Arial"/>
          <w:bCs/>
        </w:rPr>
      </w:pPr>
      <w:r w:rsidRPr="00BC10F9">
        <w:rPr>
          <w:rFonts w:ascii="Arial" w:hAnsi="Arial" w:cs="Arial"/>
          <w:bCs/>
        </w:rPr>
        <w:t xml:space="preserve">Kontrolou NKÚ bylo zjištěno, že o </w:t>
      </w:r>
      <w:r w:rsidR="00DB70FD">
        <w:rPr>
          <w:rFonts w:ascii="Arial" w:hAnsi="Arial" w:cs="Arial"/>
          <w:bCs/>
        </w:rPr>
        <w:t xml:space="preserve">vzniku, úhradě a </w:t>
      </w:r>
      <w:r w:rsidRPr="00BC10F9">
        <w:rPr>
          <w:rFonts w:ascii="Arial" w:hAnsi="Arial" w:cs="Arial"/>
          <w:bCs/>
        </w:rPr>
        <w:t xml:space="preserve">postoupení PP k vybírání či vymáhání příslušnému CÚ </w:t>
      </w:r>
      <w:r w:rsidR="00BC10F9">
        <w:rPr>
          <w:rFonts w:ascii="Arial" w:hAnsi="Arial" w:cs="Arial"/>
          <w:bCs/>
        </w:rPr>
        <w:t>neúčtovala</w:t>
      </w:r>
      <w:r w:rsidRPr="00BC10F9">
        <w:rPr>
          <w:rFonts w:ascii="Arial" w:hAnsi="Arial" w:cs="Arial"/>
          <w:bCs/>
        </w:rPr>
        <w:t xml:space="preserve"> </w:t>
      </w:r>
      <w:r w:rsidR="00BC10F9">
        <w:rPr>
          <w:rFonts w:ascii="Arial" w:hAnsi="Arial" w:cs="Arial"/>
          <w:bCs/>
        </w:rPr>
        <w:t>SVS</w:t>
      </w:r>
      <w:r w:rsidRPr="00BC10F9">
        <w:rPr>
          <w:rFonts w:ascii="Arial" w:hAnsi="Arial" w:cs="Arial"/>
          <w:bCs/>
        </w:rPr>
        <w:t xml:space="preserve"> jednotně. SVS </w:t>
      </w:r>
      <w:r w:rsidR="00BC10F9">
        <w:rPr>
          <w:rFonts w:ascii="Arial" w:hAnsi="Arial" w:cs="Arial"/>
          <w:bCs/>
        </w:rPr>
        <w:t xml:space="preserve">zároveň </w:t>
      </w:r>
      <w:r w:rsidRPr="00BC10F9">
        <w:rPr>
          <w:rFonts w:ascii="Arial" w:hAnsi="Arial" w:cs="Arial"/>
          <w:bCs/>
        </w:rPr>
        <w:t xml:space="preserve">nedoložila, že účetní postupy </w:t>
      </w:r>
      <w:r w:rsidR="00BC10F9">
        <w:rPr>
          <w:rFonts w:ascii="Arial" w:hAnsi="Arial" w:cs="Arial"/>
          <w:bCs/>
        </w:rPr>
        <w:t>upravila</w:t>
      </w:r>
      <w:r w:rsidRPr="00BC10F9">
        <w:rPr>
          <w:rFonts w:ascii="Arial" w:hAnsi="Arial" w:cs="Arial"/>
          <w:bCs/>
        </w:rPr>
        <w:t xml:space="preserve"> </w:t>
      </w:r>
      <w:r w:rsidR="00BC10F9">
        <w:rPr>
          <w:rFonts w:ascii="Arial" w:hAnsi="Arial" w:cs="Arial"/>
          <w:bCs/>
        </w:rPr>
        <w:t>vnitřním předpisem tak, aby sjednotila postupy účtování jednotlivých krajských veterinárních správ</w:t>
      </w:r>
      <w:r w:rsidRPr="00BC10F9">
        <w:rPr>
          <w:rFonts w:ascii="Arial" w:hAnsi="Arial" w:cs="Arial"/>
          <w:bCs/>
        </w:rPr>
        <w:t>.</w:t>
      </w:r>
    </w:p>
    <w:p w14:paraId="7086DA8E" w14:textId="77777777" w:rsidR="00681E6C" w:rsidRPr="00BC10F9" w:rsidRDefault="00681E6C" w:rsidP="00B1103A">
      <w:pPr>
        <w:spacing w:after="0" w:line="240" w:lineRule="auto"/>
        <w:jc w:val="both"/>
        <w:rPr>
          <w:rFonts w:ascii="Arial" w:hAnsi="Arial" w:cs="Arial"/>
          <w:bCs/>
        </w:rPr>
      </w:pPr>
    </w:p>
    <w:p w14:paraId="7BD1ADCA" w14:textId="17745147" w:rsidR="003F7EFB" w:rsidRDefault="008A20C7" w:rsidP="00B1103A">
      <w:pPr>
        <w:spacing w:after="0" w:line="240" w:lineRule="auto"/>
        <w:jc w:val="both"/>
        <w:rPr>
          <w:rFonts w:ascii="Arial" w:hAnsi="Arial" w:cs="Arial"/>
          <w:bCs/>
        </w:rPr>
      </w:pPr>
      <w:r w:rsidRPr="008A20C7">
        <w:rPr>
          <w:rFonts w:ascii="Arial" w:hAnsi="Arial" w:cs="Arial"/>
          <w:bCs/>
        </w:rPr>
        <w:t>SVS neúčtovala o všech PP, která uložila. N</w:t>
      </w:r>
      <w:r w:rsidR="003F7EFB" w:rsidRPr="008A20C7">
        <w:rPr>
          <w:rFonts w:ascii="Arial" w:hAnsi="Arial" w:cs="Arial"/>
          <w:bCs/>
        </w:rPr>
        <w:t xml:space="preserve">ěkteré </w:t>
      </w:r>
      <w:r w:rsidRPr="008A20C7">
        <w:rPr>
          <w:rFonts w:ascii="Arial" w:hAnsi="Arial" w:cs="Arial"/>
          <w:bCs/>
        </w:rPr>
        <w:t>krajské veterinární správy</w:t>
      </w:r>
      <w:r w:rsidR="003F7EFB" w:rsidRPr="008A20C7">
        <w:rPr>
          <w:rFonts w:ascii="Arial" w:hAnsi="Arial" w:cs="Arial"/>
          <w:bCs/>
        </w:rPr>
        <w:t xml:space="preserve"> účtovaly pouze o PP, </w:t>
      </w:r>
      <w:r w:rsidRPr="008A20C7">
        <w:rPr>
          <w:rFonts w:ascii="Arial" w:hAnsi="Arial" w:cs="Arial"/>
          <w:bCs/>
        </w:rPr>
        <w:t>u kterých</w:t>
      </w:r>
      <w:r w:rsidR="003F7EFB" w:rsidRPr="008A20C7">
        <w:rPr>
          <w:rFonts w:ascii="Arial" w:hAnsi="Arial" w:cs="Arial"/>
          <w:bCs/>
        </w:rPr>
        <w:t xml:space="preserve"> </w:t>
      </w:r>
      <w:r w:rsidRPr="008A20C7">
        <w:rPr>
          <w:rFonts w:ascii="Arial" w:hAnsi="Arial" w:cs="Arial"/>
          <w:bCs/>
        </w:rPr>
        <w:t>byla</w:t>
      </w:r>
      <w:r w:rsidR="003F7EFB" w:rsidRPr="008A20C7">
        <w:rPr>
          <w:rFonts w:ascii="Arial" w:hAnsi="Arial" w:cs="Arial"/>
          <w:bCs/>
        </w:rPr>
        <w:t xml:space="preserve"> SVS </w:t>
      </w:r>
      <w:r w:rsidRPr="008A20C7">
        <w:rPr>
          <w:rFonts w:ascii="Arial" w:hAnsi="Arial" w:cs="Arial"/>
          <w:bCs/>
        </w:rPr>
        <w:t xml:space="preserve">příslušná PP </w:t>
      </w:r>
      <w:r w:rsidR="003F7EFB" w:rsidRPr="008A20C7">
        <w:rPr>
          <w:rFonts w:ascii="Arial" w:hAnsi="Arial" w:cs="Arial"/>
          <w:bCs/>
        </w:rPr>
        <w:t>vybírat</w:t>
      </w:r>
      <w:r w:rsidRPr="008A20C7">
        <w:rPr>
          <w:rFonts w:ascii="Arial" w:hAnsi="Arial" w:cs="Arial"/>
          <w:bCs/>
        </w:rPr>
        <w:t>, některé krajské veterinární správy</w:t>
      </w:r>
      <w:r w:rsidR="003F7EFB" w:rsidRPr="008A20C7">
        <w:rPr>
          <w:rFonts w:ascii="Arial" w:hAnsi="Arial" w:cs="Arial"/>
          <w:bCs/>
        </w:rPr>
        <w:t xml:space="preserve"> účtovaly pouze o PP, která</w:t>
      </w:r>
      <w:r w:rsidRPr="008A20C7">
        <w:rPr>
          <w:rFonts w:ascii="Arial" w:hAnsi="Arial" w:cs="Arial"/>
          <w:bCs/>
        </w:rPr>
        <w:t xml:space="preserve"> byla uhrazena. </w:t>
      </w:r>
      <w:r w:rsidR="003F7EFB" w:rsidRPr="008A20C7">
        <w:rPr>
          <w:rFonts w:ascii="Arial" w:hAnsi="Arial" w:cs="Arial"/>
          <w:bCs/>
        </w:rPr>
        <w:t xml:space="preserve">Z kontrolovaného vzorku v celkové výši 2 137 123,59 Kč </w:t>
      </w:r>
      <w:r w:rsidRPr="008A20C7">
        <w:rPr>
          <w:rFonts w:ascii="Arial" w:hAnsi="Arial" w:cs="Arial"/>
          <w:bCs/>
        </w:rPr>
        <w:t xml:space="preserve">SVS </w:t>
      </w:r>
      <w:r w:rsidR="003F7EFB" w:rsidRPr="008A20C7">
        <w:rPr>
          <w:rFonts w:ascii="Arial" w:hAnsi="Arial" w:cs="Arial"/>
          <w:bCs/>
        </w:rPr>
        <w:t xml:space="preserve">neúčtovala o PP </w:t>
      </w:r>
      <w:r w:rsidR="003F7EFB" w:rsidRPr="00A90090">
        <w:rPr>
          <w:rFonts w:ascii="Arial" w:hAnsi="Arial" w:cs="Arial"/>
          <w:bCs/>
        </w:rPr>
        <w:t>ve v</w:t>
      </w:r>
      <w:r w:rsidRPr="00A90090">
        <w:rPr>
          <w:rFonts w:ascii="Arial" w:hAnsi="Arial" w:cs="Arial"/>
          <w:bCs/>
        </w:rPr>
        <w:t>ýši 1 392 582,75 </w:t>
      </w:r>
      <w:r w:rsidR="003F7EFB" w:rsidRPr="00A90090">
        <w:rPr>
          <w:rFonts w:ascii="Arial" w:hAnsi="Arial" w:cs="Arial"/>
          <w:bCs/>
        </w:rPr>
        <w:t xml:space="preserve">Kč, což </w:t>
      </w:r>
      <w:r w:rsidRPr="00A90090">
        <w:rPr>
          <w:rFonts w:ascii="Arial" w:hAnsi="Arial" w:cs="Arial"/>
          <w:bCs/>
        </w:rPr>
        <w:t>představovalo 65</w:t>
      </w:r>
      <w:r w:rsidR="00114FF6">
        <w:rPr>
          <w:rFonts w:ascii="Arial" w:hAnsi="Arial" w:cs="Arial"/>
          <w:bCs/>
        </w:rPr>
        <w:t>,16</w:t>
      </w:r>
      <w:r w:rsidRPr="00A90090">
        <w:rPr>
          <w:rFonts w:ascii="Arial" w:hAnsi="Arial" w:cs="Arial"/>
          <w:bCs/>
        </w:rPr>
        <w:t> </w:t>
      </w:r>
      <w:r w:rsidR="003F7EFB" w:rsidRPr="00A90090">
        <w:rPr>
          <w:rFonts w:ascii="Arial" w:hAnsi="Arial" w:cs="Arial"/>
          <w:bCs/>
        </w:rPr>
        <w:t xml:space="preserve">% </w:t>
      </w:r>
      <w:r w:rsidRPr="00A90090">
        <w:rPr>
          <w:rFonts w:ascii="Arial" w:hAnsi="Arial" w:cs="Arial"/>
          <w:bCs/>
        </w:rPr>
        <w:t xml:space="preserve">hodnoty </w:t>
      </w:r>
      <w:r w:rsidR="003F7EFB" w:rsidRPr="00A90090">
        <w:rPr>
          <w:rFonts w:ascii="Arial" w:hAnsi="Arial" w:cs="Arial"/>
          <w:bCs/>
        </w:rPr>
        <w:lastRenderedPageBreak/>
        <w:t>kontrolovaného vzorku.</w:t>
      </w:r>
      <w:r w:rsidRPr="00A90090">
        <w:rPr>
          <w:rFonts w:ascii="Arial" w:hAnsi="Arial" w:cs="Arial"/>
          <w:bCs/>
        </w:rPr>
        <w:t xml:space="preserve"> </w:t>
      </w:r>
      <w:r w:rsidR="00F10BBA">
        <w:rPr>
          <w:rFonts w:ascii="Arial" w:hAnsi="Arial" w:cs="Arial"/>
          <w:bCs/>
        </w:rPr>
        <w:t>SVS nepostupovala v souladu s ustanovením § 8 zákona č. 563/1991 Sb., o účetnictví, a její ú</w:t>
      </w:r>
      <w:r w:rsidRPr="00A90090">
        <w:rPr>
          <w:rFonts w:ascii="Arial" w:hAnsi="Arial" w:cs="Arial"/>
          <w:bCs/>
        </w:rPr>
        <w:t xml:space="preserve">četnictví tak nebylo úplné </w:t>
      </w:r>
      <w:r w:rsidR="00A90090" w:rsidRPr="00A90090">
        <w:rPr>
          <w:rFonts w:ascii="Arial" w:hAnsi="Arial" w:cs="Arial"/>
          <w:bCs/>
        </w:rPr>
        <w:t>a správné.</w:t>
      </w:r>
    </w:p>
    <w:p w14:paraId="007B778B" w14:textId="77777777" w:rsidR="00681E6C" w:rsidRPr="008A4012" w:rsidRDefault="00681E6C" w:rsidP="00B1103A">
      <w:pPr>
        <w:spacing w:after="0" w:line="240" w:lineRule="auto"/>
        <w:jc w:val="both"/>
        <w:rPr>
          <w:rFonts w:ascii="Arial" w:hAnsi="Arial" w:cs="Arial"/>
          <w:bCs/>
          <w:highlight w:val="yellow"/>
        </w:rPr>
      </w:pPr>
    </w:p>
    <w:p w14:paraId="56E82AC5" w14:textId="4329C5A1" w:rsidR="00AF7948" w:rsidRPr="00CF062A" w:rsidRDefault="00681E6C" w:rsidP="00B1103A">
      <w:pPr>
        <w:pStyle w:val="Odstavecseseznamem"/>
        <w:spacing w:after="120" w:line="240" w:lineRule="auto"/>
        <w:ind w:left="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3.2 </w:t>
      </w:r>
      <w:r w:rsidR="003E714B" w:rsidRPr="00CF062A">
        <w:rPr>
          <w:rFonts w:ascii="Arial" w:hAnsi="Arial" w:cs="Arial"/>
          <w:b/>
        </w:rPr>
        <w:t xml:space="preserve">Předávání </w:t>
      </w:r>
      <w:r w:rsidR="0029180E">
        <w:rPr>
          <w:rFonts w:ascii="Arial" w:hAnsi="Arial" w:cs="Arial"/>
          <w:b/>
        </w:rPr>
        <w:t>správy placení a správy</w:t>
      </w:r>
      <w:r w:rsidR="003E714B" w:rsidRPr="00CF062A">
        <w:rPr>
          <w:rFonts w:ascii="Arial" w:hAnsi="Arial" w:cs="Arial"/>
          <w:b/>
        </w:rPr>
        <w:t xml:space="preserve"> vymáhání peněžitých plnění</w:t>
      </w:r>
    </w:p>
    <w:p w14:paraId="6E5F74A4" w14:textId="634B30F9" w:rsidR="003E714B" w:rsidRDefault="006D699B" w:rsidP="00B1103A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V </w:t>
      </w:r>
      <w:r w:rsidRPr="00EF158C">
        <w:rPr>
          <w:rFonts w:ascii="Arial" w:hAnsi="Arial" w:cs="Arial"/>
        </w:rPr>
        <w:t xml:space="preserve">rámci předávání správy placení </w:t>
      </w:r>
      <w:r w:rsidR="008B7A74" w:rsidRPr="00EF158C">
        <w:rPr>
          <w:rFonts w:ascii="Arial" w:hAnsi="Arial" w:cs="Arial"/>
        </w:rPr>
        <w:t>PP</w:t>
      </w:r>
      <w:r w:rsidRPr="00EF158C">
        <w:rPr>
          <w:rFonts w:ascii="Arial" w:hAnsi="Arial" w:cs="Arial"/>
        </w:rPr>
        <w:t xml:space="preserve"> </w:t>
      </w:r>
      <w:r w:rsidR="003E714B" w:rsidRPr="00EF158C">
        <w:rPr>
          <w:rFonts w:ascii="Arial" w:hAnsi="Arial" w:cs="Arial"/>
        </w:rPr>
        <w:t xml:space="preserve">stanoví § 162 odst. 1 </w:t>
      </w:r>
      <w:r w:rsidRPr="00EF158C">
        <w:rPr>
          <w:rFonts w:ascii="Arial" w:hAnsi="Arial" w:cs="Arial"/>
        </w:rPr>
        <w:t xml:space="preserve">DŘ </w:t>
      </w:r>
      <w:r w:rsidR="005E2EE1" w:rsidRPr="00EF158C">
        <w:rPr>
          <w:rFonts w:ascii="Arial" w:hAnsi="Arial" w:cs="Arial"/>
        </w:rPr>
        <w:t xml:space="preserve">pořádkovou </w:t>
      </w:r>
      <w:r w:rsidR="003E714B" w:rsidRPr="00EF158C">
        <w:rPr>
          <w:rFonts w:ascii="Arial" w:hAnsi="Arial" w:cs="Arial"/>
        </w:rPr>
        <w:t>lhůtu pro předání nezbytných údajů o uložení nebo vzniku platební povinnosti</w:t>
      </w:r>
      <w:r w:rsidRPr="00EF158C">
        <w:rPr>
          <w:rFonts w:ascii="Arial" w:hAnsi="Arial" w:cs="Arial"/>
        </w:rPr>
        <w:t>, která činí 30 dnů ode dne právní moci rozhodnutí, jímž byla platební povinnost uložena.</w:t>
      </w:r>
      <w:r w:rsidR="006D0FA2" w:rsidRPr="00EF158C">
        <w:rPr>
          <w:rFonts w:ascii="Arial" w:hAnsi="Arial" w:cs="Arial"/>
        </w:rPr>
        <w:t xml:space="preserve"> </w:t>
      </w:r>
      <w:r w:rsidRPr="00EF158C">
        <w:rPr>
          <w:rFonts w:ascii="Arial" w:hAnsi="Arial" w:cs="Arial"/>
        </w:rPr>
        <w:t>V režimu předávání správy vymáhání PP obsahuje ustanovení § 162 odst. 2 DŘ</w:t>
      </w:r>
      <w:r w:rsidR="003E2E06" w:rsidRPr="00EF158C">
        <w:rPr>
          <w:rFonts w:ascii="Arial" w:hAnsi="Arial" w:cs="Arial"/>
        </w:rPr>
        <w:t xml:space="preserve"> obdobnou formulaci o </w:t>
      </w:r>
      <w:r w:rsidRPr="00EF158C">
        <w:rPr>
          <w:rFonts w:ascii="Arial" w:hAnsi="Arial" w:cs="Arial"/>
        </w:rPr>
        <w:t>předávání nezbytných údajů o uložení nebo vzniku platební povinnosti, cit.: „</w:t>
      </w:r>
      <w:r w:rsidRPr="00EF158C">
        <w:rPr>
          <w:rFonts w:ascii="Arial" w:hAnsi="Arial" w:cs="Arial"/>
          <w:i/>
        </w:rPr>
        <w:t>Tyto údaje jsou předávány o</w:t>
      </w:r>
      <w:r w:rsidRPr="006D699B">
        <w:rPr>
          <w:rFonts w:ascii="Arial" w:hAnsi="Arial" w:cs="Arial"/>
          <w:i/>
        </w:rPr>
        <w:t xml:space="preserve"> peněžitém plnění, které nebylo dobrovolně uhrazeno do 30 dnů po marném uplynutí lhůty jeho splatnosti.</w:t>
      </w:r>
      <w:r>
        <w:rPr>
          <w:rFonts w:ascii="Arial" w:hAnsi="Arial" w:cs="Arial"/>
        </w:rPr>
        <w:t>“</w:t>
      </w:r>
      <w:r w:rsidR="005E2EE1">
        <w:rPr>
          <w:rFonts w:ascii="Arial" w:hAnsi="Arial" w:cs="Arial"/>
        </w:rPr>
        <w:t xml:space="preserve"> Uvedená formulace představuje v praxi problém, neboť je možné ji vykládat různými způsoby. Část praxe i odborných komentářů vykládá předmětné ustanovení DŘ tak, že zákonodárce stanovil pořádkovou lhůtu 30 dnů i pro případy předávání údajů o PP v rámci předávání správy vymáhání. Některé odborné komentáře však zastávají názor, že citované ustanovení DŘ lhůtu pro </w:t>
      </w:r>
      <w:r w:rsidR="00016C68">
        <w:rPr>
          <w:rFonts w:ascii="Arial" w:hAnsi="Arial" w:cs="Arial"/>
        </w:rPr>
        <w:t>předání údajů o PP nestanoví (s </w:t>
      </w:r>
      <w:r w:rsidR="005E2EE1">
        <w:rPr>
          <w:rFonts w:ascii="Arial" w:hAnsi="Arial" w:cs="Arial"/>
        </w:rPr>
        <w:t>ohledem na gramatický právní výklad)</w:t>
      </w:r>
      <w:r w:rsidR="008B7A74">
        <w:rPr>
          <w:rStyle w:val="Znakapoznpodarou"/>
          <w:rFonts w:ascii="Arial" w:hAnsi="Arial" w:cs="Arial"/>
        </w:rPr>
        <w:footnoteReference w:id="8"/>
      </w:r>
      <w:r w:rsidR="005E2EE1">
        <w:rPr>
          <w:rFonts w:ascii="Arial" w:hAnsi="Arial" w:cs="Arial"/>
        </w:rPr>
        <w:t xml:space="preserve">. Takový </w:t>
      </w:r>
      <w:r w:rsidR="005E2EE1" w:rsidRPr="00EC6EEE">
        <w:rPr>
          <w:rFonts w:ascii="Arial" w:hAnsi="Arial" w:cs="Arial"/>
        </w:rPr>
        <w:t>názor zastává i ČOI, která k uvedené problematice uvedla</w:t>
      </w:r>
      <w:r w:rsidR="009C0D58" w:rsidRPr="00EC6EEE">
        <w:rPr>
          <w:rFonts w:ascii="Arial" w:hAnsi="Arial" w:cs="Arial"/>
        </w:rPr>
        <w:t>:</w:t>
      </w:r>
      <w:r w:rsidR="009C0D58" w:rsidRPr="00EC6EEE">
        <w:rPr>
          <w:rFonts w:ascii="Arial" w:hAnsi="Arial" w:cs="Arial"/>
          <w:i/>
        </w:rPr>
        <w:t xml:space="preserve"> </w:t>
      </w:r>
      <w:r w:rsidR="009C0D58" w:rsidRPr="00B1103A">
        <w:rPr>
          <w:rFonts w:ascii="Arial" w:hAnsi="Arial" w:cs="Arial"/>
        </w:rPr>
        <w:t>„</w:t>
      </w:r>
      <w:r w:rsidR="009C0D58" w:rsidRPr="00EC6EEE">
        <w:rPr>
          <w:rFonts w:ascii="Arial" w:hAnsi="Arial" w:cs="Arial"/>
          <w:i/>
        </w:rPr>
        <w:t>Citované ustanovení neukládá České obchodní inspekci povinnost předat CÚ věc v určité konkrétní lhůtě (oproti ust. § 162 odst. 1 DŘ, které takovou lhůtu jasně stanovuje). Stanoví pouze tolik, že příslušné údaje jsou předávány o peněžitém plnění, které nebylo uhrazeno ani do 30 dnů po jeho splatnosti</w:t>
      </w:r>
      <w:r w:rsidR="006A3444">
        <w:rPr>
          <w:rFonts w:ascii="Arial" w:hAnsi="Arial" w:cs="Arial"/>
          <w:i/>
        </w:rPr>
        <w:t xml:space="preserve"> …</w:t>
      </w:r>
      <w:r w:rsidR="009C0D58" w:rsidRPr="00B1103A">
        <w:rPr>
          <w:rFonts w:ascii="Arial" w:hAnsi="Arial" w:cs="Arial"/>
        </w:rPr>
        <w:t>“</w:t>
      </w:r>
    </w:p>
    <w:p w14:paraId="348F7BDB" w14:textId="77777777" w:rsidR="00681E6C" w:rsidRDefault="00681E6C" w:rsidP="00B1103A">
      <w:pPr>
        <w:spacing w:after="0" w:line="240" w:lineRule="auto"/>
        <w:jc w:val="both"/>
        <w:rPr>
          <w:rFonts w:ascii="Arial" w:hAnsi="Arial" w:cs="Arial"/>
        </w:rPr>
      </w:pPr>
    </w:p>
    <w:p w14:paraId="0AD75D28" w14:textId="210883FF" w:rsidR="006A5F8D" w:rsidRDefault="008A7F00" w:rsidP="00B110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Kontrolou bylo ověřováno, v jakých lhůtách předávají ukladatelé údaje o PP celním úřadům ke správě placení a správě vymáhání. V rámci předávání správy placení bylo ověřováno splnění 30denní lhůty podle § 162 odst. 1 DŘ a v rámci předávání správy vymáhání bylo zjišťováno předávání údajů o PP v tzv. sledované době</w:t>
      </w:r>
      <w:r w:rsidR="001238BC">
        <w:rPr>
          <w:rFonts w:ascii="Arial" w:hAnsi="Arial" w:cs="Arial"/>
        </w:rPr>
        <w:t>, tj.</w:t>
      </w:r>
      <w:r>
        <w:rPr>
          <w:rFonts w:ascii="Arial" w:hAnsi="Arial" w:cs="Arial"/>
        </w:rPr>
        <w:t xml:space="preserve"> do 30 dnů po uplynutí lhůty splatnosti PP</w:t>
      </w:r>
      <w:r w:rsidR="001238BC">
        <w:rPr>
          <w:rStyle w:val="Znakapoznpodarou"/>
          <w:rFonts w:ascii="Arial" w:hAnsi="Arial" w:cs="Arial"/>
        </w:rPr>
        <w:footnoteReference w:id="9"/>
      </w:r>
      <w:r>
        <w:rPr>
          <w:rFonts w:ascii="Arial" w:hAnsi="Arial" w:cs="Arial"/>
        </w:rPr>
        <w:t xml:space="preserve">. </w:t>
      </w:r>
      <w:r w:rsidR="00E04C39">
        <w:rPr>
          <w:rFonts w:ascii="Arial" w:hAnsi="Arial" w:cs="Arial"/>
        </w:rPr>
        <w:t>NKÚ zjistil</w:t>
      </w:r>
      <w:r>
        <w:rPr>
          <w:rFonts w:ascii="Arial" w:hAnsi="Arial" w:cs="Arial"/>
        </w:rPr>
        <w:t xml:space="preserve">, že </w:t>
      </w:r>
      <w:r w:rsidR="00DC2E38">
        <w:rPr>
          <w:rFonts w:ascii="Arial" w:hAnsi="Arial" w:cs="Arial"/>
        </w:rPr>
        <w:t xml:space="preserve">ze vzorku 483 kontrolovaných případů </w:t>
      </w:r>
      <w:r w:rsidR="003C5EC3">
        <w:rPr>
          <w:rFonts w:ascii="Arial" w:hAnsi="Arial" w:cs="Arial"/>
        </w:rPr>
        <w:t>v</w:t>
      </w:r>
      <w:r w:rsidR="003841C3">
        <w:rPr>
          <w:rFonts w:ascii="Arial" w:hAnsi="Arial" w:cs="Arial"/>
        </w:rPr>
        <w:t>e</w:t>
      </w:r>
      <w:r w:rsidR="008C54C9">
        <w:rPr>
          <w:rFonts w:ascii="Arial" w:hAnsi="Arial" w:cs="Arial"/>
        </w:rPr>
        <w:t xml:space="preserve"> </w:t>
      </w:r>
      <w:r w:rsidR="003841C3">
        <w:rPr>
          <w:rFonts w:ascii="Arial" w:hAnsi="Arial" w:cs="Arial"/>
        </w:rPr>
        <w:t>výši</w:t>
      </w:r>
      <w:r w:rsidR="003C5EC3">
        <w:rPr>
          <w:rFonts w:ascii="Arial" w:hAnsi="Arial" w:cs="Arial"/>
        </w:rPr>
        <w:t xml:space="preserve"> 16 605 910,79 Kč </w:t>
      </w:r>
      <w:r w:rsidR="00DC2E38">
        <w:rPr>
          <w:rFonts w:ascii="Arial" w:hAnsi="Arial" w:cs="Arial"/>
        </w:rPr>
        <w:t>nepředali kontrolovaní ukladatelé údaje o PP příslu</w:t>
      </w:r>
      <w:r w:rsidR="00D51E58">
        <w:rPr>
          <w:rFonts w:ascii="Arial" w:hAnsi="Arial" w:cs="Arial"/>
        </w:rPr>
        <w:t>šnému CÚ v</w:t>
      </w:r>
      <w:r w:rsidR="008C54C9">
        <w:rPr>
          <w:rFonts w:ascii="Arial" w:hAnsi="Arial" w:cs="Arial"/>
        </w:rPr>
        <w:t> </w:t>
      </w:r>
      <w:r w:rsidR="00D51E58">
        <w:rPr>
          <w:rFonts w:ascii="Arial" w:hAnsi="Arial" w:cs="Arial"/>
        </w:rPr>
        <w:t>zákonem</w:t>
      </w:r>
      <w:r w:rsidR="00DC2E38">
        <w:rPr>
          <w:rFonts w:ascii="Arial" w:hAnsi="Arial" w:cs="Arial"/>
        </w:rPr>
        <w:t xml:space="preserve"> stanov</w:t>
      </w:r>
      <w:r w:rsidR="00765562">
        <w:rPr>
          <w:rFonts w:ascii="Arial" w:hAnsi="Arial" w:cs="Arial"/>
        </w:rPr>
        <w:t>ené lhůtě, resp. sledované době</w:t>
      </w:r>
      <w:r w:rsidR="006A3444">
        <w:rPr>
          <w:rFonts w:ascii="Arial" w:hAnsi="Arial" w:cs="Arial"/>
        </w:rPr>
        <w:t>,</w:t>
      </w:r>
      <w:r w:rsidR="00DC2E38">
        <w:rPr>
          <w:rFonts w:ascii="Arial" w:hAnsi="Arial" w:cs="Arial"/>
        </w:rPr>
        <w:t xml:space="preserve"> </w:t>
      </w:r>
      <w:r w:rsidR="00D51E58">
        <w:rPr>
          <w:rFonts w:ascii="Arial" w:hAnsi="Arial" w:cs="Arial"/>
        </w:rPr>
        <w:t xml:space="preserve">celkem </w:t>
      </w:r>
      <w:r w:rsidR="00DC2E38">
        <w:rPr>
          <w:rFonts w:ascii="Arial" w:hAnsi="Arial" w:cs="Arial"/>
        </w:rPr>
        <w:t>v 352 případech</w:t>
      </w:r>
      <w:r w:rsidR="003C5EC3">
        <w:rPr>
          <w:rFonts w:ascii="Arial" w:hAnsi="Arial" w:cs="Arial"/>
        </w:rPr>
        <w:t xml:space="preserve"> </w:t>
      </w:r>
      <w:r w:rsidR="00CC630F">
        <w:rPr>
          <w:rFonts w:ascii="Arial" w:hAnsi="Arial" w:cs="Arial"/>
        </w:rPr>
        <w:t xml:space="preserve">(72,88 % kontrolovaných případů) </w:t>
      </w:r>
      <w:r w:rsidR="003C5EC3">
        <w:rPr>
          <w:rFonts w:ascii="Arial" w:hAnsi="Arial" w:cs="Arial"/>
        </w:rPr>
        <w:t>v hodnotě 9 930 861,32 Kč</w:t>
      </w:r>
      <w:r w:rsidR="00DC2E38">
        <w:rPr>
          <w:rFonts w:ascii="Arial" w:hAnsi="Arial" w:cs="Arial"/>
        </w:rPr>
        <w:t>.</w:t>
      </w:r>
    </w:p>
    <w:p w14:paraId="7F8F51ED" w14:textId="77777777" w:rsidR="00681E6C" w:rsidRDefault="00681E6C" w:rsidP="00B1103A">
      <w:pPr>
        <w:spacing w:after="0" w:line="240" w:lineRule="auto"/>
        <w:jc w:val="both"/>
        <w:rPr>
          <w:rFonts w:ascii="Arial" w:hAnsi="Arial" w:cs="Arial"/>
        </w:rPr>
      </w:pPr>
    </w:p>
    <w:p w14:paraId="4D7FB16A" w14:textId="2FC46B61" w:rsidR="0074221C" w:rsidRDefault="00D51E58" w:rsidP="00B110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Zákonnou lhůtu, resp. sledovanou dobu</w:t>
      </w:r>
      <w:r w:rsidR="006A34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pro předání nezbytných údajů o </w:t>
      </w:r>
      <w:r w:rsidR="0074221C">
        <w:rPr>
          <w:rFonts w:ascii="Arial" w:hAnsi="Arial" w:cs="Arial"/>
        </w:rPr>
        <w:t>uložení nebo vzniku platební povinnosti překročili ukladatelé</w:t>
      </w:r>
      <w:r w:rsidR="006A5F8D">
        <w:rPr>
          <w:rFonts w:ascii="Arial" w:hAnsi="Arial" w:cs="Arial"/>
        </w:rPr>
        <w:t xml:space="preserve"> (ze vzorku 483 případů)</w:t>
      </w:r>
      <w:r w:rsidR="0074221C">
        <w:rPr>
          <w:rFonts w:ascii="Arial" w:hAnsi="Arial" w:cs="Arial"/>
        </w:rPr>
        <w:t>:</w:t>
      </w:r>
    </w:p>
    <w:p w14:paraId="0C52B756" w14:textId="05772085" w:rsidR="00D247AA" w:rsidRDefault="00D247AA" w:rsidP="006A5F8D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 méně než jeden měsíc u 123 kontrolovaných případů,</w:t>
      </w:r>
    </w:p>
    <w:p w14:paraId="1D155B0B" w14:textId="4ED9665B" w:rsidR="0074221C" w:rsidRPr="006A5F8D" w:rsidRDefault="006A5F8D" w:rsidP="006A5F8D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6A5F8D">
        <w:rPr>
          <w:rFonts w:ascii="Arial" w:hAnsi="Arial" w:cs="Arial"/>
        </w:rPr>
        <w:t>o více než jeden měsíc u 131 kontrolovaných případů</w:t>
      </w:r>
      <w:r>
        <w:rPr>
          <w:rFonts w:ascii="Arial" w:hAnsi="Arial" w:cs="Arial"/>
        </w:rPr>
        <w:t>,</w:t>
      </w:r>
    </w:p>
    <w:p w14:paraId="1CFA0D22" w14:textId="05388CB3" w:rsidR="006A5F8D" w:rsidRPr="006A5F8D" w:rsidRDefault="006A5F8D" w:rsidP="006A5F8D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6A5F8D">
        <w:rPr>
          <w:rFonts w:ascii="Arial" w:hAnsi="Arial" w:cs="Arial"/>
        </w:rPr>
        <w:t>o více než tři měsíce u 18 kontrolovaných případů</w:t>
      </w:r>
      <w:r>
        <w:rPr>
          <w:rFonts w:ascii="Arial" w:hAnsi="Arial" w:cs="Arial"/>
        </w:rPr>
        <w:t>,</w:t>
      </w:r>
    </w:p>
    <w:p w14:paraId="3FD6A3B3" w14:textId="657A681F" w:rsidR="006A5F8D" w:rsidRPr="006A5F8D" w:rsidRDefault="006A5F8D" w:rsidP="006A5F8D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6A5F8D">
        <w:rPr>
          <w:rFonts w:ascii="Arial" w:hAnsi="Arial" w:cs="Arial"/>
        </w:rPr>
        <w:t>o více než šest měsíců u 43 kontrolovaných případů</w:t>
      </w:r>
      <w:r>
        <w:rPr>
          <w:rFonts w:ascii="Arial" w:hAnsi="Arial" w:cs="Arial"/>
        </w:rPr>
        <w:t>,</w:t>
      </w:r>
    </w:p>
    <w:p w14:paraId="2852D568" w14:textId="23F956D6" w:rsidR="006A5F8D" w:rsidRPr="006A5F8D" w:rsidRDefault="006A5F8D" w:rsidP="006A5F8D">
      <w:pPr>
        <w:pStyle w:val="Odstavecseseznamem"/>
        <w:numPr>
          <w:ilvl w:val="0"/>
          <w:numId w:val="21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6A5F8D">
        <w:rPr>
          <w:rFonts w:ascii="Arial" w:hAnsi="Arial" w:cs="Arial"/>
        </w:rPr>
        <w:t>o více než jeden rok u 29 kontrolovaných případů</w:t>
      </w:r>
      <w:r>
        <w:rPr>
          <w:rFonts w:ascii="Arial" w:hAnsi="Arial" w:cs="Arial"/>
        </w:rPr>
        <w:t>,</w:t>
      </w:r>
    </w:p>
    <w:p w14:paraId="7075C8EE" w14:textId="5E0168CC" w:rsidR="000B79DD" w:rsidRDefault="006A5F8D" w:rsidP="00B1103A">
      <w:pPr>
        <w:pStyle w:val="Odstavecseseznamem"/>
        <w:numPr>
          <w:ilvl w:val="0"/>
          <w:numId w:val="21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A5F8D">
        <w:rPr>
          <w:rFonts w:ascii="Arial" w:hAnsi="Arial" w:cs="Arial"/>
        </w:rPr>
        <w:t xml:space="preserve">o více než dva roky </w:t>
      </w:r>
      <w:r w:rsidR="00493175">
        <w:rPr>
          <w:rFonts w:ascii="Arial" w:hAnsi="Arial" w:cs="Arial"/>
        </w:rPr>
        <w:t>u 8</w:t>
      </w:r>
      <w:r w:rsidRPr="006A5F8D">
        <w:rPr>
          <w:rFonts w:ascii="Arial" w:hAnsi="Arial" w:cs="Arial"/>
        </w:rPr>
        <w:t xml:space="preserve"> kontrolovaných případů</w:t>
      </w:r>
      <w:r>
        <w:rPr>
          <w:rFonts w:ascii="Arial" w:hAnsi="Arial" w:cs="Arial"/>
        </w:rPr>
        <w:t>.</w:t>
      </w:r>
    </w:p>
    <w:p w14:paraId="0852E231" w14:textId="77777777" w:rsidR="004E002B" w:rsidRPr="004E002B" w:rsidRDefault="004E002B" w:rsidP="00B1103A">
      <w:pPr>
        <w:spacing w:after="0" w:line="240" w:lineRule="auto"/>
        <w:jc w:val="both"/>
        <w:rPr>
          <w:rFonts w:ascii="Arial" w:hAnsi="Arial" w:cs="Arial"/>
        </w:rPr>
      </w:pPr>
    </w:p>
    <w:p w14:paraId="05FB0F33" w14:textId="5DA10E4C" w:rsidR="00EC6EEE" w:rsidRPr="00B1103A" w:rsidRDefault="00681E6C" w:rsidP="00B1103A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3.3 </w:t>
      </w:r>
      <w:r w:rsidR="00EC6EEE" w:rsidRPr="00B1103A">
        <w:rPr>
          <w:rFonts w:ascii="Arial" w:hAnsi="Arial" w:cs="Arial"/>
          <w:b/>
        </w:rPr>
        <w:t>Spolupráce ukladatelů peněžitých plnění s Celní správou</w:t>
      </w:r>
      <w:r w:rsidR="006A3444">
        <w:rPr>
          <w:rFonts w:ascii="Arial" w:hAnsi="Arial" w:cs="Arial"/>
          <w:b/>
        </w:rPr>
        <w:t xml:space="preserve"> ČR</w:t>
      </w:r>
    </w:p>
    <w:p w14:paraId="53CF199C" w14:textId="12701800" w:rsidR="0029180E" w:rsidRDefault="0029180E" w:rsidP="00B1103A">
      <w:pPr>
        <w:spacing w:after="0" w:line="240" w:lineRule="auto"/>
        <w:jc w:val="both"/>
        <w:rPr>
          <w:rFonts w:ascii="Arial" w:hAnsi="Arial" w:cs="Arial"/>
        </w:rPr>
      </w:pPr>
      <w:r w:rsidRPr="00BC10F9">
        <w:rPr>
          <w:rFonts w:ascii="Arial" w:hAnsi="Arial" w:cs="Arial"/>
          <w:bCs/>
        </w:rPr>
        <w:t xml:space="preserve">NKÚ </w:t>
      </w:r>
      <w:r w:rsidR="004C34BF">
        <w:rPr>
          <w:rFonts w:ascii="Arial" w:hAnsi="Arial" w:cs="Arial"/>
          <w:bCs/>
        </w:rPr>
        <w:t xml:space="preserve">mimo jiné </w:t>
      </w:r>
      <w:r w:rsidRPr="00BC10F9">
        <w:rPr>
          <w:rFonts w:ascii="Arial" w:hAnsi="Arial" w:cs="Arial"/>
          <w:bCs/>
        </w:rPr>
        <w:t xml:space="preserve">ověřoval postup v případech, kdy ukladatel předá správu placení či správu vymáhání PP obecnému správci daně a poté dlužník uhradí PP ukladateli. </w:t>
      </w:r>
      <w:r w:rsidRPr="00BC10F9">
        <w:rPr>
          <w:rFonts w:ascii="Arial" w:hAnsi="Arial" w:cs="Arial"/>
        </w:rPr>
        <w:t>NKÚ zjistil, že SVS nepostupovala jednotně, neboť některé kra</w:t>
      </w:r>
      <w:r w:rsidR="002464ED">
        <w:rPr>
          <w:rFonts w:ascii="Arial" w:hAnsi="Arial" w:cs="Arial"/>
        </w:rPr>
        <w:t>jské veterinární správy uhrazené peněžní prostředky</w:t>
      </w:r>
      <w:r w:rsidRPr="00BC10F9">
        <w:rPr>
          <w:rFonts w:ascii="Arial" w:hAnsi="Arial" w:cs="Arial"/>
        </w:rPr>
        <w:t xml:space="preserve"> </w:t>
      </w:r>
      <w:r w:rsidRPr="002464ED">
        <w:rPr>
          <w:rFonts w:ascii="Arial" w:hAnsi="Arial" w:cs="Arial"/>
        </w:rPr>
        <w:t xml:space="preserve">předávaly CÚ a některé </w:t>
      </w:r>
      <w:r w:rsidR="00EC6EEE">
        <w:rPr>
          <w:rFonts w:ascii="Arial" w:hAnsi="Arial" w:cs="Arial"/>
        </w:rPr>
        <w:t xml:space="preserve">si </w:t>
      </w:r>
      <w:r w:rsidR="002464ED" w:rsidRPr="002464ED">
        <w:rPr>
          <w:rFonts w:ascii="Arial" w:hAnsi="Arial" w:cs="Arial"/>
        </w:rPr>
        <w:t>vybrané peněžní prostředky</w:t>
      </w:r>
      <w:r w:rsidRPr="002464ED">
        <w:rPr>
          <w:rFonts w:ascii="Arial" w:hAnsi="Arial" w:cs="Arial"/>
        </w:rPr>
        <w:t xml:space="preserve"> ponechávaly na svých </w:t>
      </w:r>
      <w:r w:rsidR="002464ED" w:rsidRPr="002464ED">
        <w:rPr>
          <w:rFonts w:ascii="Arial" w:hAnsi="Arial" w:cs="Arial"/>
        </w:rPr>
        <w:t xml:space="preserve">příjmových </w:t>
      </w:r>
      <w:r w:rsidRPr="002464ED">
        <w:rPr>
          <w:rFonts w:ascii="Arial" w:hAnsi="Arial" w:cs="Arial"/>
        </w:rPr>
        <w:t>účtech. Kontrolou</w:t>
      </w:r>
      <w:r>
        <w:rPr>
          <w:rFonts w:ascii="Arial" w:hAnsi="Arial" w:cs="Arial"/>
        </w:rPr>
        <w:t xml:space="preserve"> byly zjištěny </w:t>
      </w:r>
      <w:r w:rsidRPr="00A161DD">
        <w:rPr>
          <w:rFonts w:ascii="Arial" w:hAnsi="Arial" w:cs="Arial"/>
        </w:rPr>
        <w:t>případy</w:t>
      </w:r>
      <w:r w:rsidR="00416018" w:rsidRPr="00A161DD">
        <w:rPr>
          <w:rFonts w:ascii="Arial" w:hAnsi="Arial" w:cs="Arial"/>
        </w:rPr>
        <w:t xml:space="preserve"> (</w:t>
      </w:r>
      <w:r w:rsidR="00493175">
        <w:rPr>
          <w:rFonts w:ascii="Arial" w:hAnsi="Arial" w:cs="Arial"/>
        </w:rPr>
        <w:t>devět</w:t>
      </w:r>
      <w:r w:rsidR="00A161DD" w:rsidRPr="00A161DD">
        <w:rPr>
          <w:rFonts w:ascii="Arial" w:hAnsi="Arial" w:cs="Arial"/>
        </w:rPr>
        <w:t xml:space="preserve"> případů</w:t>
      </w:r>
      <w:r w:rsidR="00416018" w:rsidRPr="00A161DD">
        <w:rPr>
          <w:rFonts w:ascii="Arial" w:hAnsi="Arial" w:cs="Arial"/>
        </w:rPr>
        <w:t>)</w:t>
      </w:r>
      <w:r w:rsidRPr="00A161DD">
        <w:rPr>
          <w:rFonts w:ascii="Arial" w:hAnsi="Arial" w:cs="Arial"/>
        </w:rPr>
        <w:t>, kdy</w:t>
      </w:r>
      <w:r>
        <w:rPr>
          <w:rFonts w:ascii="Arial" w:hAnsi="Arial" w:cs="Arial"/>
        </w:rPr>
        <w:t xml:space="preserve"> příslušná krajská veterinární správa vrátila </w:t>
      </w:r>
      <w:r w:rsidR="002464ED">
        <w:rPr>
          <w:rFonts w:ascii="Arial" w:hAnsi="Arial" w:cs="Arial"/>
        </w:rPr>
        <w:t xml:space="preserve">úhradu </w:t>
      </w:r>
      <w:r>
        <w:rPr>
          <w:rFonts w:ascii="Arial" w:hAnsi="Arial" w:cs="Arial"/>
        </w:rPr>
        <w:t>PP dlužníkovi</w:t>
      </w:r>
      <w:r w:rsidR="002464ED">
        <w:rPr>
          <w:rFonts w:ascii="Arial" w:hAnsi="Arial" w:cs="Arial"/>
        </w:rPr>
        <w:t>, aniž by o této skutečnosti informovala příslušný CÚ.</w:t>
      </w:r>
    </w:p>
    <w:p w14:paraId="207477DF" w14:textId="77777777" w:rsidR="00681E6C" w:rsidRDefault="00681E6C" w:rsidP="00B1103A">
      <w:pPr>
        <w:spacing w:after="0" w:line="240" w:lineRule="auto"/>
        <w:jc w:val="both"/>
        <w:rPr>
          <w:rFonts w:ascii="Arial" w:hAnsi="Arial" w:cs="Arial"/>
        </w:rPr>
      </w:pPr>
    </w:p>
    <w:p w14:paraId="35A18AEB" w14:textId="1C3DBD58" w:rsidR="002D7CE3" w:rsidRDefault="004C34BF" w:rsidP="00B1103A">
      <w:pPr>
        <w:spacing w:after="0" w:line="240" w:lineRule="auto"/>
        <w:jc w:val="both"/>
        <w:rPr>
          <w:rFonts w:ascii="Arial" w:hAnsi="Arial" w:cs="Arial"/>
        </w:rPr>
      </w:pPr>
      <w:r w:rsidRPr="00822172">
        <w:rPr>
          <w:rFonts w:ascii="Arial" w:hAnsi="Arial" w:cs="Arial"/>
        </w:rPr>
        <w:t xml:space="preserve">NKÚ dále zjistil, že </w:t>
      </w:r>
      <w:r w:rsidR="002D7CE3" w:rsidRPr="00822172">
        <w:rPr>
          <w:rFonts w:ascii="Arial" w:hAnsi="Arial" w:cs="Arial"/>
        </w:rPr>
        <w:t>CÚ zaznamenal na osobní daňový účet d</w:t>
      </w:r>
      <w:r w:rsidR="003E2E06">
        <w:rPr>
          <w:rFonts w:ascii="Arial" w:hAnsi="Arial" w:cs="Arial"/>
        </w:rPr>
        <w:t>lužníka PP ve výši 184 850 Kč a </w:t>
      </w:r>
      <w:r w:rsidR="002D7CE3" w:rsidRPr="00822172">
        <w:rPr>
          <w:rFonts w:ascii="Arial" w:hAnsi="Arial" w:cs="Arial"/>
        </w:rPr>
        <w:t xml:space="preserve">tento nedoplatek také cca 6 měsíců vymáhal. O úhradě PP dlužníkem, ke které došlo ještě před zaznamenáním PP na osobní daňový účet dlužníka, </w:t>
      </w:r>
      <w:r w:rsidR="00EE4A2A" w:rsidRPr="00822172">
        <w:rPr>
          <w:rFonts w:ascii="Arial" w:hAnsi="Arial" w:cs="Arial"/>
        </w:rPr>
        <w:t>informovala SVS</w:t>
      </w:r>
      <w:r w:rsidR="002D7CE3" w:rsidRPr="00822172">
        <w:rPr>
          <w:rFonts w:ascii="Arial" w:hAnsi="Arial" w:cs="Arial"/>
        </w:rPr>
        <w:t xml:space="preserve"> </w:t>
      </w:r>
      <w:r w:rsidR="00EE4A2A" w:rsidRPr="00822172">
        <w:rPr>
          <w:rFonts w:ascii="Arial" w:hAnsi="Arial" w:cs="Arial"/>
        </w:rPr>
        <w:t xml:space="preserve">příslušný </w:t>
      </w:r>
      <w:r w:rsidR="002D7CE3" w:rsidRPr="00822172">
        <w:rPr>
          <w:rFonts w:ascii="Arial" w:hAnsi="Arial" w:cs="Arial"/>
        </w:rPr>
        <w:t xml:space="preserve">CÚ až po cca 6 měsících. Na základě této informace CÚ </w:t>
      </w:r>
      <w:r w:rsidR="00E04C39">
        <w:rPr>
          <w:rFonts w:ascii="Arial" w:hAnsi="Arial" w:cs="Arial"/>
        </w:rPr>
        <w:t xml:space="preserve">neoprávněnou </w:t>
      </w:r>
      <w:r w:rsidR="002D7CE3" w:rsidRPr="00822172">
        <w:rPr>
          <w:rFonts w:ascii="Arial" w:hAnsi="Arial" w:cs="Arial"/>
        </w:rPr>
        <w:t>daňovou exekuci zastavil.</w:t>
      </w:r>
      <w:r w:rsidR="001D3795">
        <w:rPr>
          <w:rFonts w:ascii="Arial" w:hAnsi="Arial" w:cs="Arial"/>
        </w:rPr>
        <w:t xml:space="preserve"> </w:t>
      </w:r>
      <w:r w:rsidR="001D3795" w:rsidRPr="00D91F5B">
        <w:rPr>
          <w:rFonts w:ascii="Arial" w:hAnsi="Arial" w:cs="Arial"/>
        </w:rPr>
        <w:t xml:space="preserve">SVS tím, že neinformovala </w:t>
      </w:r>
      <w:r w:rsidR="006A3444" w:rsidRPr="00D91F5B">
        <w:rPr>
          <w:rFonts w:ascii="Arial" w:hAnsi="Arial" w:cs="Arial"/>
        </w:rPr>
        <w:t xml:space="preserve">neprodleně </w:t>
      </w:r>
      <w:r w:rsidR="001D3795" w:rsidRPr="00D91F5B">
        <w:rPr>
          <w:rFonts w:ascii="Arial" w:hAnsi="Arial" w:cs="Arial"/>
        </w:rPr>
        <w:t>příslušný CÚ o zaplacení dlužné částky na svůj účet, nedodržela ustanovení § 162 odst. 3 zákona č. 280/2009 Sb.</w:t>
      </w:r>
    </w:p>
    <w:p w14:paraId="2F27701E" w14:textId="77777777" w:rsidR="00681E6C" w:rsidRDefault="00681E6C" w:rsidP="00B1103A">
      <w:pPr>
        <w:spacing w:after="0" w:line="240" w:lineRule="auto"/>
        <w:jc w:val="both"/>
        <w:rPr>
          <w:rFonts w:ascii="Arial" w:hAnsi="Arial" w:cs="Arial"/>
        </w:rPr>
      </w:pPr>
    </w:p>
    <w:p w14:paraId="2E3888AF" w14:textId="07959657" w:rsidR="00EC6457" w:rsidRDefault="00EC6457" w:rsidP="00B1103A">
      <w:pPr>
        <w:spacing w:after="0" w:line="240" w:lineRule="auto"/>
        <w:jc w:val="both"/>
        <w:rPr>
          <w:rFonts w:ascii="Arial" w:hAnsi="Arial" w:cs="Arial"/>
        </w:rPr>
      </w:pPr>
      <w:r w:rsidRPr="00EC6457">
        <w:rPr>
          <w:rFonts w:ascii="Arial" w:hAnsi="Arial" w:cs="Arial"/>
        </w:rPr>
        <w:t xml:space="preserve">GŘC předložilo zápis z jednání se </w:t>
      </w:r>
      <w:r w:rsidR="00E04C39">
        <w:rPr>
          <w:rFonts w:ascii="Arial" w:hAnsi="Arial" w:cs="Arial"/>
        </w:rPr>
        <w:t>SVS</w:t>
      </w:r>
      <w:r w:rsidRPr="00EC6457">
        <w:rPr>
          <w:rFonts w:ascii="Arial" w:hAnsi="Arial" w:cs="Arial"/>
        </w:rPr>
        <w:t xml:space="preserve"> ze dne 2. 10. 2012, který řešil otázku místní příslušnosti CÚ v souvislosti se změnou působnosti orgánů </w:t>
      </w:r>
      <w:r>
        <w:rPr>
          <w:rFonts w:ascii="Arial" w:hAnsi="Arial" w:cs="Arial"/>
        </w:rPr>
        <w:t>SVS</w:t>
      </w:r>
      <w:r w:rsidRPr="00EC6457">
        <w:rPr>
          <w:rFonts w:ascii="Arial" w:hAnsi="Arial" w:cs="Arial"/>
        </w:rPr>
        <w:t xml:space="preserve">. GŘC jiné konkrétní podmínky výkonu </w:t>
      </w:r>
      <w:r>
        <w:rPr>
          <w:rFonts w:ascii="Arial" w:hAnsi="Arial" w:cs="Arial"/>
        </w:rPr>
        <w:t>dělené správy</w:t>
      </w:r>
      <w:r w:rsidRPr="00EC6457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>SVS</w:t>
      </w:r>
      <w:r w:rsidRPr="00EC6457">
        <w:rPr>
          <w:rFonts w:ascii="Arial" w:hAnsi="Arial" w:cs="Arial"/>
        </w:rPr>
        <w:t xml:space="preserve"> neřešilo</w:t>
      </w:r>
      <w:r>
        <w:rPr>
          <w:rFonts w:ascii="Arial" w:hAnsi="Arial" w:cs="Arial"/>
        </w:rPr>
        <w:t>. GŘC nepředložilo žádné zápisy z jednání s ČOI. Spolupráce kontrolovaných ukladatelů a CS se odehrávala na úrovni předávání údajů o konkrétních PP. GŘC nepředložilo žádné zápisy z jednání s vybranými ukladateli, které by se týkaly systémových otázek fungování dělené správy.</w:t>
      </w:r>
    </w:p>
    <w:p w14:paraId="1704FB07" w14:textId="77777777" w:rsidR="00681E6C" w:rsidRPr="002D7CE3" w:rsidRDefault="00681E6C" w:rsidP="00B1103A">
      <w:pPr>
        <w:spacing w:after="0" w:line="240" w:lineRule="auto"/>
        <w:jc w:val="both"/>
        <w:rPr>
          <w:rFonts w:ascii="Arial" w:hAnsi="Arial" w:cs="Arial"/>
        </w:rPr>
      </w:pPr>
    </w:p>
    <w:p w14:paraId="3A75CD9B" w14:textId="10B53205" w:rsidR="008F758D" w:rsidRPr="00B1103A" w:rsidRDefault="00681E6C" w:rsidP="00681E6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8F758D" w:rsidRPr="00B1103A">
        <w:rPr>
          <w:rFonts w:ascii="Arial" w:hAnsi="Arial" w:cs="Arial"/>
          <w:b/>
        </w:rPr>
        <w:t>Žádosti obc</w:t>
      </w:r>
      <w:r w:rsidR="006A3444">
        <w:rPr>
          <w:rFonts w:ascii="Arial" w:hAnsi="Arial" w:cs="Arial"/>
          <w:b/>
        </w:rPr>
        <w:t>í</w:t>
      </w:r>
      <w:r w:rsidR="008F758D" w:rsidRPr="00B1103A">
        <w:rPr>
          <w:rFonts w:ascii="Arial" w:hAnsi="Arial" w:cs="Arial"/>
          <w:b/>
        </w:rPr>
        <w:t xml:space="preserve"> o provedení exekuce celním úřadem</w:t>
      </w:r>
    </w:p>
    <w:p w14:paraId="351F0400" w14:textId="77777777" w:rsidR="00681E6C" w:rsidRDefault="00681E6C" w:rsidP="00B1103A">
      <w:pPr>
        <w:spacing w:after="0" w:line="240" w:lineRule="auto"/>
        <w:jc w:val="both"/>
        <w:rPr>
          <w:rFonts w:ascii="Arial" w:hAnsi="Arial" w:cs="Arial"/>
        </w:rPr>
      </w:pPr>
    </w:p>
    <w:p w14:paraId="545D8E6C" w14:textId="31E0FBED" w:rsidR="008F758D" w:rsidRDefault="008F758D" w:rsidP="00B1103A">
      <w:pPr>
        <w:spacing w:after="0" w:line="240" w:lineRule="auto"/>
        <w:jc w:val="both"/>
        <w:rPr>
          <w:rFonts w:ascii="Arial" w:hAnsi="Arial" w:cs="Arial"/>
        </w:rPr>
      </w:pPr>
      <w:r w:rsidRPr="000C1EA7">
        <w:rPr>
          <w:rFonts w:ascii="Arial" w:hAnsi="Arial" w:cs="Arial"/>
        </w:rPr>
        <w:t xml:space="preserve">Kontrola byla provedena u šesti obcí, </w:t>
      </w:r>
      <w:r w:rsidR="00D925C2">
        <w:rPr>
          <w:rFonts w:ascii="Arial" w:hAnsi="Arial" w:cs="Arial"/>
        </w:rPr>
        <w:t xml:space="preserve">přičemž </w:t>
      </w:r>
      <w:r w:rsidRPr="000C1EA7">
        <w:rPr>
          <w:rFonts w:ascii="Arial" w:hAnsi="Arial" w:cs="Arial"/>
        </w:rPr>
        <w:t>NKÚ vybral</w:t>
      </w:r>
      <w:r>
        <w:rPr>
          <w:rFonts w:ascii="Arial" w:hAnsi="Arial" w:cs="Arial"/>
        </w:rPr>
        <w:t xml:space="preserve"> </w:t>
      </w:r>
      <w:r w:rsidRPr="000C1EA7">
        <w:rPr>
          <w:rFonts w:ascii="Arial" w:hAnsi="Arial" w:cs="Arial"/>
        </w:rPr>
        <w:t xml:space="preserve">ke kontrole </w:t>
      </w:r>
      <w:r>
        <w:rPr>
          <w:rFonts w:ascii="Arial" w:hAnsi="Arial" w:cs="Arial"/>
        </w:rPr>
        <w:t>výlučně obce s rozšířenou působností, tedy větší obce (města, statutární města), u kterých lze předpokládat existenci vlastního úředního aparátu k realizaci správy daní a provádění vymáhání daňových nedoplatků. Kontrolou byla zjišťována motivace obcí k </w:t>
      </w:r>
      <w:r w:rsidRPr="000043A1">
        <w:rPr>
          <w:rFonts w:ascii="Arial" w:hAnsi="Arial" w:cs="Arial"/>
        </w:rPr>
        <w:t>využívání žádostí o provedení exekuce celním úřadem</w:t>
      </w:r>
      <w:r>
        <w:rPr>
          <w:rFonts w:ascii="Arial" w:hAnsi="Arial" w:cs="Arial"/>
        </w:rPr>
        <w:t>, postup při realizaci žádostí o vymáhání a kvalita předávaných podkladů o PP.</w:t>
      </w:r>
    </w:p>
    <w:p w14:paraId="1B195456" w14:textId="77777777" w:rsidR="00681E6C" w:rsidRDefault="00681E6C" w:rsidP="00B1103A">
      <w:pPr>
        <w:spacing w:after="0" w:line="240" w:lineRule="auto"/>
        <w:jc w:val="both"/>
        <w:rPr>
          <w:rFonts w:ascii="Arial" w:hAnsi="Arial" w:cs="Arial"/>
        </w:rPr>
      </w:pPr>
    </w:p>
    <w:p w14:paraId="242D9A48" w14:textId="317773C5" w:rsidR="008F758D" w:rsidRDefault="008F758D" w:rsidP="00B110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NKÚ zjistil, že </w:t>
      </w:r>
      <w:r w:rsidR="008C0C0A">
        <w:rPr>
          <w:rFonts w:ascii="Arial" w:hAnsi="Arial" w:cs="Arial"/>
        </w:rPr>
        <w:t xml:space="preserve">mezi hlavní </w:t>
      </w:r>
      <w:r w:rsidR="0029455D">
        <w:rPr>
          <w:rFonts w:ascii="Arial" w:hAnsi="Arial" w:cs="Arial"/>
        </w:rPr>
        <w:t>důvod</w:t>
      </w:r>
      <w:r w:rsidR="008C0C0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obcí pro podávání žádostí o provedení exekuce obecným správcem daně </w:t>
      </w:r>
      <w:r w:rsidR="008C0C0A">
        <w:rPr>
          <w:rFonts w:ascii="Arial" w:hAnsi="Arial" w:cs="Arial"/>
        </w:rPr>
        <w:t>patří</w:t>
      </w:r>
      <w:r>
        <w:rPr>
          <w:rFonts w:ascii="Arial" w:hAnsi="Arial" w:cs="Arial"/>
        </w:rPr>
        <w:t xml:space="preserve"> zejména obtížná vymahatelnost některých PP</w:t>
      </w:r>
      <w:r w:rsidR="006A34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názor obcí, že orgány CS mají lepší předpoklady pro úspěšné </w:t>
      </w:r>
      <w:r w:rsidR="00D925C2">
        <w:rPr>
          <w:rFonts w:ascii="Arial" w:hAnsi="Arial" w:cs="Arial"/>
        </w:rPr>
        <w:t>vymožení</w:t>
      </w:r>
      <w:r>
        <w:rPr>
          <w:rFonts w:ascii="Arial" w:hAnsi="Arial" w:cs="Arial"/>
        </w:rPr>
        <w:t xml:space="preserve"> PP, </w:t>
      </w:r>
      <w:r w:rsidR="006A3444">
        <w:rPr>
          <w:rFonts w:ascii="Arial" w:hAnsi="Arial" w:cs="Arial"/>
        </w:rPr>
        <w:t>případně</w:t>
      </w:r>
      <w:r>
        <w:rPr>
          <w:rFonts w:ascii="Arial" w:hAnsi="Arial" w:cs="Arial"/>
        </w:rPr>
        <w:t xml:space="preserve"> nedostatečné personální zabezpečení agendy vymáhání daňových nedoplatků u příslušných obcí.</w:t>
      </w:r>
    </w:p>
    <w:p w14:paraId="35C514E0" w14:textId="77777777" w:rsidR="00681E6C" w:rsidRDefault="00681E6C" w:rsidP="00B1103A">
      <w:pPr>
        <w:spacing w:after="0" w:line="240" w:lineRule="auto"/>
        <w:jc w:val="both"/>
        <w:rPr>
          <w:rFonts w:ascii="Arial" w:hAnsi="Arial" w:cs="Arial"/>
        </w:rPr>
      </w:pPr>
    </w:p>
    <w:p w14:paraId="048475DB" w14:textId="2EB531EE" w:rsidR="008F758D" w:rsidRDefault="008F758D" w:rsidP="00B110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Některé obecní úřady předávaly PP celnímu úřadu k vymáhání</w:t>
      </w:r>
      <w:r w:rsidRPr="005A3D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 důvodu, že se jim vymáhání </w:t>
      </w:r>
      <w:r w:rsidRPr="005A3D60">
        <w:rPr>
          <w:rFonts w:ascii="Arial" w:hAnsi="Arial" w:cs="Arial"/>
        </w:rPr>
        <w:t>vlastními silami příliš nedařilo</w:t>
      </w:r>
      <w:r>
        <w:rPr>
          <w:rFonts w:ascii="Arial" w:hAnsi="Arial" w:cs="Arial"/>
        </w:rPr>
        <w:t xml:space="preserve"> (</w:t>
      </w:r>
      <w:r w:rsidR="006A344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ěsto Orlová), některé předávaly </w:t>
      </w:r>
      <w:r w:rsidR="009675FD">
        <w:rPr>
          <w:rFonts w:ascii="Arial" w:hAnsi="Arial" w:cs="Arial"/>
        </w:rPr>
        <w:t xml:space="preserve">jen </w:t>
      </w:r>
      <w:r>
        <w:rPr>
          <w:rFonts w:ascii="Arial" w:hAnsi="Arial" w:cs="Arial"/>
        </w:rPr>
        <w:t xml:space="preserve">konkrétní agendu PP (například pokuty uložené podle zákona č. 200/1990 Sb.). Statutární město Ústí nad Labem předávalo </w:t>
      </w:r>
      <w:r w:rsidR="00EA2905">
        <w:rPr>
          <w:rFonts w:ascii="Arial" w:hAnsi="Arial" w:cs="Arial"/>
        </w:rPr>
        <w:t xml:space="preserve">k vymáhání </w:t>
      </w:r>
      <w:r>
        <w:rPr>
          <w:rFonts w:ascii="Arial" w:hAnsi="Arial" w:cs="Arial"/>
        </w:rPr>
        <w:t xml:space="preserve">veškerá PP uložená </w:t>
      </w:r>
      <w:r w:rsidR="00EA2905" w:rsidRPr="00EA2905">
        <w:rPr>
          <w:rFonts w:ascii="Arial" w:hAnsi="Arial" w:cs="Arial"/>
        </w:rPr>
        <w:t>podle zákona č. 200/1990 Sb</w:t>
      </w:r>
      <w:r w:rsidR="00EA29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Úřadem městského obvodu Střekov, nerozlišená</w:t>
      </w:r>
      <w:r w:rsidRPr="005A3D60">
        <w:rPr>
          <w:rFonts w:ascii="Arial" w:hAnsi="Arial" w:cs="Arial"/>
        </w:rPr>
        <w:t xml:space="preserve"> podle </w:t>
      </w:r>
      <w:r>
        <w:rPr>
          <w:rFonts w:ascii="Arial" w:hAnsi="Arial" w:cs="Arial"/>
        </w:rPr>
        <w:t>předpokládané</w:t>
      </w:r>
      <w:r w:rsidRPr="005A3D60">
        <w:rPr>
          <w:rFonts w:ascii="Arial" w:hAnsi="Arial" w:cs="Arial"/>
        </w:rPr>
        <w:t xml:space="preserve"> míry vymahatelnosti, tedy i pohledávky, u nichž </w:t>
      </w:r>
      <w:r>
        <w:rPr>
          <w:rFonts w:ascii="Arial" w:hAnsi="Arial" w:cs="Arial"/>
        </w:rPr>
        <w:t>bylo</w:t>
      </w:r>
      <w:r w:rsidRPr="005A3D60">
        <w:rPr>
          <w:rFonts w:ascii="Arial" w:hAnsi="Arial" w:cs="Arial"/>
        </w:rPr>
        <w:t xml:space="preserve"> reálné riziko </w:t>
      </w:r>
      <w:r>
        <w:rPr>
          <w:rFonts w:ascii="Arial" w:hAnsi="Arial" w:cs="Arial"/>
        </w:rPr>
        <w:t>bezvýsledného vymáhání nedoplatku</w:t>
      </w:r>
      <w:r w:rsidRPr="005A3D60">
        <w:rPr>
          <w:rFonts w:ascii="Arial" w:hAnsi="Arial" w:cs="Arial"/>
        </w:rPr>
        <w:t>, ať už z důvodu insolvence</w:t>
      </w:r>
      <w:r w:rsidR="006A3444">
        <w:rPr>
          <w:rFonts w:ascii="Arial" w:hAnsi="Arial" w:cs="Arial"/>
        </w:rPr>
        <w:t>,</w:t>
      </w:r>
      <w:r w:rsidRPr="005A3D60">
        <w:rPr>
          <w:rFonts w:ascii="Arial" w:hAnsi="Arial" w:cs="Arial"/>
        </w:rPr>
        <w:t xml:space="preserve"> nebo š</w:t>
      </w:r>
      <w:r>
        <w:rPr>
          <w:rFonts w:ascii="Arial" w:hAnsi="Arial" w:cs="Arial"/>
        </w:rPr>
        <w:t>patné sociální situace dlužníka.</w:t>
      </w:r>
    </w:p>
    <w:p w14:paraId="64BEA09A" w14:textId="77777777" w:rsidR="00681E6C" w:rsidRDefault="00681E6C" w:rsidP="00B1103A">
      <w:pPr>
        <w:spacing w:after="0" w:line="240" w:lineRule="auto"/>
        <w:jc w:val="both"/>
        <w:rPr>
          <w:rFonts w:ascii="Arial" w:hAnsi="Arial" w:cs="Arial"/>
        </w:rPr>
      </w:pPr>
    </w:p>
    <w:p w14:paraId="68AA00CA" w14:textId="77777777" w:rsidR="008F758D" w:rsidRDefault="008F758D" w:rsidP="00B110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Kontrolou u vybraných obcí byly zjištěny následující skutečnosti:</w:t>
      </w:r>
    </w:p>
    <w:p w14:paraId="5CED21FE" w14:textId="71E49672" w:rsidR="008F758D" w:rsidRDefault="008F758D" w:rsidP="00B1103A">
      <w:pPr>
        <w:pStyle w:val="Odstavecseseznamem"/>
        <w:numPr>
          <w:ilvl w:val="0"/>
          <w:numId w:val="2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Obce žádají CÚ o </w:t>
      </w:r>
      <w:r w:rsidR="0059400D">
        <w:rPr>
          <w:rFonts w:ascii="Arial" w:hAnsi="Arial" w:cs="Arial"/>
        </w:rPr>
        <w:t>provedení exekuce</w:t>
      </w:r>
      <w:r>
        <w:rPr>
          <w:rFonts w:ascii="Arial" w:hAnsi="Arial" w:cs="Arial"/>
        </w:rPr>
        <w:t xml:space="preserve"> PP s velkou časovou prodlevou od jejich uložení, často se jedná o nedoplatky splatné i několik let, například:</w:t>
      </w:r>
    </w:p>
    <w:p w14:paraId="103DFA99" w14:textId="31720EA1" w:rsidR="008F758D" w:rsidRDefault="008F758D" w:rsidP="00B1103A">
      <w:pPr>
        <w:pStyle w:val="Odstavecseseznamem"/>
        <w:numPr>
          <w:ilvl w:val="1"/>
          <w:numId w:val="22"/>
        </w:numPr>
        <w:spacing w:after="0" w:line="240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Město Mikulov požádalo v roce 2011 CÚ </w:t>
      </w:r>
      <w:r w:rsidRPr="00ED3248">
        <w:rPr>
          <w:rFonts w:ascii="Arial" w:hAnsi="Arial" w:cs="Arial"/>
        </w:rPr>
        <w:t>o vymáhání sedmi PP uložených v roce 2006, 11 PP uložených v roce 2007, 66 PP uložených v roce 20</w:t>
      </w:r>
      <w:r w:rsidR="0059400D">
        <w:rPr>
          <w:rFonts w:ascii="Arial" w:hAnsi="Arial" w:cs="Arial"/>
        </w:rPr>
        <w:t>08, 80 PP uložených v roce 2009</w:t>
      </w:r>
      <w:r w:rsidRPr="00ED3248">
        <w:rPr>
          <w:rFonts w:ascii="Arial" w:hAnsi="Arial" w:cs="Arial"/>
        </w:rPr>
        <w:t xml:space="preserve"> a </w:t>
      </w:r>
      <w:r w:rsidR="0059400D">
        <w:rPr>
          <w:rFonts w:ascii="Arial" w:hAnsi="Arial" w:cs="Arial"/>
        </w:rPr>
        <w:t xml:space="preserve">dále </w:t>
      </w:r>
      <w:r w:rsidRPr="00ED3248">
        <w:rPr>
          <w:rFonts w:ascii="Arial" w:hAnsi="Arial" w:cs="Arial"/>
        </w:rPr>
        <w:t>v roce 2012 o vymáhán</w:t>
      </w:r>
      <w:r w:rsidR="003E2E06">
        <w:rPr>
          <w:rFonts w:ascii="Arial" w:hAnsi="Arial" w:cs="Arial"/>
        </w:rPr>
        <w:t>í 22 PP uložených v roce 2009 a </w:t>
      </w:r>
      <w:r w:rsidRPr="00ED3248">
        <w:rPr>
          <w:rFonts w:ascii="Arial" w:hAnsi="Arial" w:cs="Arial"/>
        </w:rPr>
        <w:t>36 PP uložených v roce 2010</w:t>
      </w:r>
      <w:r w:rsidR="00E04C39">
        <w:rPr>
          <w:rFonts w:ascii="Arial" w:hAnsi="Arial" w:cs="Arial"/>
        </w:rPr>
        <w:t>.</w:t>
      </w:r>
    </w:p>
    <w:p w14:paraId="34C37395" w14:textId="147FCE0A" w:rsidR="008F758D" w:rsidRDefault="008F758D" w:rsidP="00B1103A">
      <w:pPr>
        <w:pStyle w:val="Odstavecseseznamem"/>
        <w:numPr>
          <w:ilvl w:val="1"/>
          <w:numId w:val="22"/>
        </w:numPr>
        <w:spacing w:after="0" w:line="240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Město Orlová požádalo v roce 2011 CÚ </w:t>
      </w:r>
      <w:r w:rsidRPr="00ED3248">
        <w:rPr>
          <w:rFonts w:ascii="Arial" w:hAnsi="Arial" w:cs="Arial"/>
        </w:rPr>
        <w:t xml:space="preserve">o vymáhání </w:t>
      </w:r>
      <w:r>
        <w:rPr>
          <w:rFonts w:ascii="Arial" w:hAnsi="Arial" w:cs="Arial"/>
        </w:rPr>
        <w:t>tří</w:t>
      </w:r>
      <w:r w:rsidRPr="00ED32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PP uložených</w:t>
      </w:r>
      <w:r w:rsidRPr="00ED3248">
        <w:rPr>
          <w:rFonts w:ascii="Arial" w:hAnsi="Arial" w:cs="Arial"/>
        </w:rPr>
        <w:t xml:space="preserve"> v roce </w:t>
      </w:r>
      <w:r>
        <w:rPr>
          <w:rFonts w:ascii="Arial" w:hAnsi="Arial" w:cs="Arial"/>
        </w:rPr>
        <w:t>2008</w:t>
      </w:r>
      <w:r w:rsidRPr="00ED3248">
        <w:rPr>
          <w:rFonts w:ascii="Arial" w:hAnsi="Arial" w:cs="Arial"/>
        </w:rPr>
        <w:t xml:space="preserve">, </w:t>
      </w:r>
      <w:r w:rsidR="00EA2905">
        <w:rPr>
          <w:rFonts w:ascii="Arial" w:hAnsi="Arial" w:cs="Arial"/>
        </w:rPr>
        <w:t>486</w:t>
      </w:r>
      <w:r w:rsidR="00EA2905" w:rsidRPr="00ED3248">
        <w:rPr>
          <w:rFonts w:ascii="Arial" w:hAnsi="Arial" w:cs="Arial"/>
        </w:rPr>
        <w:t xml:space="preserve"> </w:t>
      </w:r>
      <w:r w:rsidRPr="00ED3248">
        <w:rPr>
          <w:rFonts w:ascii="Arial" w:hAnsi="Arial" w:cs="Arial"/>
        </w:rPr>
        <w:t xml:space="preserve">PP uložených v roce </w:t>
      </w:r>
      <w:r>
        <w:rPr>
          <w:rFonts w:ascii="Arial" w:hAnsi="Arial" w:cs="Arial"/>
        </w:rPr>
        <w:t>2009</w:t>
      </w:r>
      <w:r w:rsidRPr="00ED3248">
        <w:rPr>
          <w:rFonts w:ascii="Arial" w:hAnsi="Arial" w:cs="Arial"/>
        </w:rPr>
        <w:t xml:space="preserve"> a </w:t>
      </w:r>
      <w:r w:rsidR="0059400D">
        <w:rPr>
          <w:rFonts w:ascii="Arial" w:hAnsi="Arial" w:cs="Arial"/>
        </w:rPr>
        <w:t xml:space="preserve">dále </w:t>
      </w:r>
      <w:r w:rsidRPr="00ED3248">
        <w:rPr>
          <w:rFonts w:ascii="Arial" w:hAnsi="Arial" w:cs="Arial"/>
        </w:rPr>
        <w:t xml:space="preserve">v roce 2012 o vymáhání </w:t>
      </w:r>
      <w:r>
        <w:rPr>
          <w:rFonts w:ascii="Arial" w:hAnsi="Arial" w:cs="Arial"/>
        </w:rPr>
        <w:t>10</w:t>
      </w:r>
      <w:r w:rsidRPr="00ED3248">
        <w:rPr>
          <w:rFonts w:ascii="Arial" w:hAnsi="Arial" w:cs="Arial"/>
        </w:rPr>
        <w:t xml:space="preserve"> PP uložených v</w:t>
      </w:r>
      <w:r w:rsidR="006A3444">
        <w:rPr>
          <w:rFonts w:ascii="Arial" w:hAnsi="Arial" w:cs="Arial"/>
        </w:rPr>
        <w:t> </w:t>
      </w:r>
      <w:r w:rsidRPr="00ED3248">
        <w:rPr>
          <w:rFonts w:ascii="Arial" w:hAnsi="Arial" w:cs="Arial"/>
        </w:rPr>
        <w:t>roce 200</w:t>
      </w:r>
      <w:r>
        <w:rPr>
          <w:rFonts w:ascii="Arial" w:hAnsi="Arial" w:cs="Arial"/>
        </w:rPr>
        <w:t>8</w:t>
      </w:r>
      <w:r w:rsidRPr="00ED3248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502</w:t>
      </w:r>
      <w:r w:rsidRPr="00ED3248">
        <w:rPr>
          <w:rFonts w:ascii="Arial" w:hAnsi="Arial" w:cs="Arial"/>
        </w:rPr>
        <w:t xml:space="preserve"> PP uložených v roce 2010</w:t>
      </w:r>
      <w:r>
        <w:rPr>
          <w:rFonts w:ascii="Arial" w:hAnsi="Arial" w:cs="Arial"/>
        </w:rPr>
        <w:t>. U kontrolovaného vzorku 15 PP předaných k vymáhání CÚ v letech 2011 a 2012 bylo zjištěno, že prodleva mezi</w:t>
      </w:r>
      <w:r w:rsidR="003E2E06">
        <w:rPr>
          <w:rFonts w:ascii="Arial" w:hAnsi="Arial" w:cs="Arial"/>
        </w:rPr>
        <w:t xml:space="preserve"> </w:t>
      </w:r>
      <w:r w:rsidR="0059400D">
        <w:rPr>
          <w:rFonts w:ascii="Arial" w:hAnsi="Arial" w:cs="Arial"/>
        </w:rPr>
        <w:t>datem splatnosti</w:t>
      </w:r>
      <w:r w:rsidR="003E2E06">
        <w:rPr>
          <w:rFonts w:ascii="Arial" w:hAnsi="Arial" w:cs="Arial"/>
        </w:rPr>
        <w:t xml:space="preserve"> PP a </w:t>
      </w:r>
      <w:r>
        <w:rPr>
          <w:rFonts w:ascii="Arial" w:hAnsi="Arial" w:cs="Arial"/>
        </w:rPr>
        <w:t>předáním k vymáhání CÚ činila 9–41 měsíců, přičemž obec tato PP nevymáhala</w:t>
      </w:r>
      <w:r w:rsidR="00E04C39">
        <w:rPr>
          <w:rFonts w:ascii="Arial" w:hAnsi="Arial" w:cs="Arial"/>
        </w:rPr>
        <w:t>.</w:t>
      </w:r>
    </w:p>
    <w:p w14:paraId="4935F737" w14:textId="16575767" w:rsidR="008F758D" w:rsidRDefault="008F758D" w:rsidP="008F758D">
      <w:pPr>
        <w:pStyle w:val="Odstavecseseznamem"/>
        <w:numPr>
          <w:ilvl w:val="1"/>
          <w:numId w:val="22"/>
        </w:numPr>
        <w:spacing w:after="120" w:line="240" w:lineRule="auto"/>
        <w:ind w:left="851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Město Blatná požádalo v roce 2011 CÚ </w:t>
      </w:r>
      <w:r w:rsidRPr="00ED3248">
        <w:rPr>
          <w:rFonts w:ascii="Arial" w:hAnsi="Arial" w:cs="Arial"/>
        </w:rPr>
        <w:t xml:space="preserve">o vymáhání </w:t>
      </w:r>
      <w:r>
        <w:rPr>
          <w:rFonts w:ascii="Arial" w:hAnsi="Arial" w:cs="Arial"/>
        </w:rPr>
        <w:t>20</w:t>
      </w:r>
      <w:r w:rsidRPr="00ED32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PP uložených</w:t>
      </w:r>
      <w:r w:rsidRPr="00ED3248">
        <w:rPr>
          <w:rFonts w:ascii="Arial" w:hAnsi="Arial" w:cs="Arial"/>
        </w:rPr>
        <w:t xml:space="preserve"> v roce </w:t>
      </w:r>
      <w:r>
        <w:rPr>
          <w:rFonts w:ascii="Arial" w:hAnsi="Arial" w:cs="Arial"/>
        </w:rPr>
        <w:t>2008</w:t>
      </w:r>
      <w:r w:rsidRPr="00ED324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57</w:t>
      </w:r>
      <w:r w:rsidRPr="00ED3248">
        <w:rPr>
          <w:rFonts w:ascii="Arial" w:hAnsi="Arial" w:cs="Arial"/>
        </w:rPr>
        <w:t xml:space="preserve"> PP uložených v roce </w:t>
      </w:r>
      <w:r>
        <w:rPr>
          <w:rFonts w:ascii="Arial" w:hAnsi="Arial" w:cs="Arial"/>
        </w:rPr>
        <w:t>2009</w:t>
      </w:r>
      <w:r w:rsidRPr="00ED3248">
        <w:rPr>
          <w:rFonts w:ascii="Arial" w:hAnsi="Arial" w:cs="Arial"/>
        </w:rPr>
        <w:t xml:space="preserve"> a </w:t>
      </w:r>
      <w:r w:rsidR="0059400D">
        <w:rPr>
          <w:rFonts w:ascii="Arial" w:hAnsi="Arial" w:cs="Arial"/>
        </w:rPr>
        <w:t xml:space="preserve">dále </w:t>
      </w:r>
      <w:r w:rsidRPr="00ED3248">
        <w:rPr>
          <w:rFonts w:ascii="Arial" w:hAnsi="Arial" w:cs="Arial"/>
        </w:rPr>
        <w:t xml:space="preserve">v roce 2012 o vymáhání </w:t>
      </w:r>
      <w:r>
        <w:rPr>
          <w:rFonts w:ascii="Arial" w:hAnsi="Arial" w:cs="Arial"/>
        </w:rPr>
        <w:t>21</w:t>
      </w:r>
      <w:r w:rsidR="00CF4191">
        <w:rPr>
          <w:rFonts w:ascii="Arial" w:hAnsi="Arial" w:cs="Arial"/>
        </w:rPr>
        <w:t xml:space="preserve"> PP uložených v </w:t>
      </w:r>
      <w:r w:rsidRPr="00ED3248">
        <w:rPr>
          <w:rFonts w:ascii="Arial" w:hAnsi="Arial" w:cs="Arial"/>
        </w:rPr>
        <w:t>roce 20</w:t>
      </w:r>
      <w:r>
        <w:rPr>
          <w:rFonts w:ascii="Arial" w:hAnsi="Arial" w:cs="Arial"/>
        </w:rPr>
        <w:t>10.</w:t>
      </w:r>
    </w:p>
    <w:p w14:paraId="4619C048" w14:textId="77777777" w:rsidR="00282A57" w:rsidRPr="00282A57" w:rsidRDefault="00282A57" w:rsidP="00282A57">
      <w:pPr>
        <w:spacing w:after="0" w:line="240" w:lineRule="auto"/>
        <w:jc w:val="both"/>
        <w:rPr>
          <w:rFonts w:ascii="Arial" w:hAnsi="Arial" w:cs="Arial"/>
        </w:rPr>
      </w:pPr>
    </w:p>
    <w:p w14:paraId="3C6D3930" w14:textId="06101254" w:rsidR="00826C38" w:rsidRPr="00826C38" w:rsidRDefault="008F758D" w:rsidP="00B1103A">
      <w:pPr>
        <w:pStyle w:val="Odstavecseseznamem"/>
        <w:numPr>
          <w:ilvl w:val="0"/>
          <w:numId w:val="2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Kontrolované obce neinformují CÚ o krocích, které učinily k vybrání nebo vymožení daňových nedoplatků. Město Mikulov provedlo například v jednom případě celou řadu úkonů, </w:t>
      </w:r>
      <w:r w:rsidR="008C0C0A">
        <w:rPr>
          <w:rFonts w:ascii="Arial" w:hAnsi="Arial" w:cs="Arial"/>
        </w:rPr>
        <w:t xml:space="preserve">včetně </w:t>
      </w:r>
      <w:r>
        <w:rPr>
          <w:rFonts w:ascii="Arial" w:hAnsi="Arial" w:cs="Arial"/>
        </w:rPr>
        <w:t>zjišťování pobytu, majetku a zaměstnavatele dlužníka a šetření v evidenci vězňů. Město Mikulov zjistilo, že dlužník je ve výkonu trestu odnětí svobody, přesto v žádosti o provedení exekuce CÚ o svých zjištěních neinformovalo.</w:t>
      </w:r>
    </w:p>
    <w:p w14:paraId="30556450" w14:textId="570F196B" w:rsidR="008F758D" w:rsidRDefault="008F758D" w:rsidP="00B1103A">
      <w:pPr>
        <w:pStyle w:val="Odstavecseseznamem"/>
        <w:numPr>
          <w:ilvl w:val="0"/>
          <w:numId w:val="2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6D1758">
        <w:rPr>
          <w:rFonts w:ascii="Arial" w:hAnsi="Arial" w:cs="Arial"/>
        </w:rPr>
        <w:t xml:space="preserve">Úřad městského obvodu </w:t>
      </w:r>
      <w:r w:rsidR="00B37FE3" w:rsidRPr="006D1758">
        <w:rPr>
          <w:rFonts w:ascii="Arial" w:hAnsi="Arial" w:cs="Arial"/>
        </w:rPr>
        <w:t>Ústí nad Labem</w:t>
      </w:r>
      <w:r w:rsidR="00B37FE3">
        <w:rPr>
          <w:rFonts w:ascii="Arial" w:hAnsi="Arial" w:cs="Arial"/>
        </w:rPr>
        <w:t xml:space="preserve"> –</w:t>
      </w:r>
      <w:r w:rsidR="00B37FE3" w:rsidRPr="006D1758">
        <w:rPr>
          <w:rFonts w:ascii="Arial" w:hAnsi="Arial" w:cs="Arial"/>
        </w:rPr>
        <w:t xml:space="preserve"> </w:t>
      </w:r>
      <w:proofErr w:type="spellStart"/>
      <w:r w:rsidRPr="006D1758">
        <w:rPr>
          <w:rFonts w:ascii="Arial" w:hAnsi="Arial" w:cs="Arial"/>
        </w:rPr>
        <w:t>Střekov</w:t>
      </w:r>
      <w:proofErr w:type="spellEnd"/>
      <w:r>
        <w:rPr>
          <w:rFonts w:ascii="Arial" w:hAnsi="Arial" w:cs="Arial"/>
        </w:rPr>
        <w:t xml:space="preserve"> zaslal CÚ dvě žádosti o provedení exekuce na celkem 47 PP, obě CÚ </w:t>
      </w:r>
      <w:r w:rsidRPr="00C2449F">
        <w:rPr>
          <w:rFonts w:ascii="Arial" w:hAnsi="Arial" w:cs="Arial"/>
        </w:rPr>
        <w:t>vrá</w:t>
      </w:r>
      <w:r>
        <w:rPr>
          <w:rFonts w:ascii="Arial" w:hAnsi="Arial" w:cs="Arial"/>
        </w:rPr>
        <w:t>til</w:t>
      </w:r>
      <w:r w:rsidRPr="00C2449F">
        <w:rPr>
          <w:rFonts w:ascii="Arial" w:hAnsi="Arial" w:cs="Arial"/>
        </w:rPr>
        <w:t xml:space="preserve"> zpět k doplnění a opravě</w:t>
      </w:r>
      <w:r>
        <w:rPr>
          <w:rFonts w:ascii="Arial" w:hAnsi="Arial" w:cs="Arial"/>
        </w:rPr>
        <w:t>,</w:t>
      </w:r>
      <w:r w:rsidR="005738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neboť</w:t>
      </w:r>
      <w:r w:rsidRPr="00C244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C2449F">
        <w:rPr>
          <w:rFonts w:ascii="Arial" w:hAnsi="Arial" w:cs="Arial"/>
        </w:rPr>
        <w:t>ředložené podklady</w:t>
      </w:r>
      <w:r>
        <w:rPr>
          <w:rFonts w:ascii="Arial" w:hAnsi="Arial" w:cs="Arial"/>
        </w:rPr>
        <w:t xml:space="preserve"> nesplňovaly náležitosti nutné</w:t>
      </w:r>
      <w:r w:rsidRPr="00C2449F">
        <w:rPr>
          <w:rFonts w:ascii="Arial" w:hAnsi="Arial" w:cs="Arial"/>
        </w:rPr>
        <w:t xml:space="preserve"> pro </w:t>
      </w:r>
      <w:r>
        <w:rPr>
          <w:rFonts w:ascii="Arial" w:hAnsi="Arial" w:cs="Arial"/>
        </w:rPr>
        <w:t>za</w:t>
      </w:r>
      <w:r w:rsidRPr="00C2449F">
        <w:rPr>
          <w:rFonts w:ascii="Arial" w:hAnsi="Arial" w:cs="Arial"/>
        </w:rPr>
        <w:t>evid</w:t>
      </w:r>
      <w:r>
        <w:rPr>
          <w:rFonts w:ascii="Arial" w:hAnsi="Arial" w:cs="Arial"/>
        </w:rPr>
        <w:t>ování</w:t>
      </w:r>
      <w:r w:rsidRPr="00C2449F">
        <w:rPr>
          <w:rFonts w:ascii="Arial" w:hAnsi="Arial" w:cs="Arial"/>
        </w:rPr>
        <w:t xml:space="preserve"> </w:t>
      </w:r>
      <w:r w:rsidR="003E2E06">
        <w:rPr>
          <w:rFonts w:ascii="Arial" w:hAnsi="Arial" w:cs="Arial"/>
        </w:rPr>
        <w:t>a </w:t>
      </w:r>
      <w:r>
        <w:rPr>
          <w:rFonts w:ascii="Arial" w:hAnsi="Arial" w:cs="Arial"/>
        </w:rPr>
        <w:t>vy</w:t>
      </w:r>
      <w:r w:rsidRPr="00C2449F">
        <w:rPr>
          <w:rFonts w:ascii="Arial" w:hAnsi="Arial" w:cs="Arial"/>
        </w:rPr>
        <w:t>máh</w:t>
      </w:r>
      <w:r>
        <w:rPr>
          <w:rFonts w:ascii="Arial" w:hAnsi="Arial" w:cs="Arial"/>
        </w:rPr>
        <w:t>ání</w:t>
      </w:r>
      <w:r w:rsidR="00E04C39">
        <w:rPr>
          <w:rFonts w:ascii="Arial" w:hAnsi="Arial" w:cs="Arial"/>
        </w:rPr>
        <w:t xml:space="preserve"> PP.</w:t>
      </w:r>
    </w:p>
    <w:p w14:paraId="3CCA523D" w14:textId="794EFEFA" w:rsidR="008F758D" w:rsidRPr="00826C38" w:rsidRDefault="008F758D" w:rsidP="00B1103A">
      <w:pPr>
        <w:pStyle w:val="Odstavecseseznamem"/>
        <w:numPr>
          <w:ilvl w:val="0"/>
          <w:numId w:val="21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CÚ vrátil </w:t>
      </w:r>
      <w:r w:rsidR="00B37FE3">
        <w:rPr>
          <w:rFonts w:ascii="Arial" w:hAnsi="Arial" w:cs="Arial"/>
        </w:rPr>
        <w:t>m</w:t>
      </w:r>
      <w:r>
        <w:rPr>
          <w:rFonts w:ascii="Arial" w:hAnsi="Arial" w:cs="Arial"/>
        </w:rPr>
        <w:t>ěstu</w:t>
      </w:r>
      <w:r w:rsidRPr="00C2449F">
        <w:rPr>
          <w:rFonts w:ascii="Arial" w:hAnsi="Arial" w:cs="Arial"/>
        </w:rPr>
        <w:t xml:space="preserve"> Blatná v kontrolovaném období </w:t>
      </w:r>
      <w:r>
        <w:rPr>
          <w:rFonts w:ascii="Arial" w:hAnsi="Arial" w:cs="Arial"/>
        </w:rPr>
        <w:t>sedm exekučních titulů z d</w:t>
      </w:r>
      <w:r w:rsidRPr="00C2449F">
        <w:rPr>
          <w:rFonts w:ascii="Arial" w:hAnsi="Arial" w:cs="Arial"/>
        </w:rPr>
        <w:t>ůvod</w:t>
      </w:r>
      <w:r>
        <w:rPr>
          <w:rFonts w:ascii="Arial" w:hAnsi="Arial" w:cs="Arial"/>
        </w:rPr>
        <w:t>u</w:t>
      </w:r>
      <w:r w:rsidRPr="00C244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duplicitního</w:t>
      </w:r>
      <w:r w:rsidRPr="00C244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předání PP k</w:t>
      </w:r>
      <w:r w:rsidR="00E04C39">
        <w:rPr>
          <w:rFonts w:ascii="Arial" w:hAnsi="Arial" w:cs="Arial"/>
        </w:rPr>
        <w:t> </w:t>
      </w:r>
      <w:r>
        <w:rPr>
          <w:rFonts w:ascii="Arial" w:hAnsi="Arial" w:cs="Arial"/>
        </w:rPr>
        <w:t>vymáhání</w:t>
      </w:r>
      <w:r w:rsidR="00E04C39">
        <w:rPr>
          <w:rFonts w:ascii="Arial" w:hAnsi="Arial" w:cs="Arial"/>
        </w:rPr>
        <w:t>.</w:t>
      </w:r>
    </w:p>
    <w:p w14:paraId="00241BE0" w14:textId="77777777" w:rsidR="00681E6C" w:rsidRDefault="00681E6C" w:rsidP="00B1103A">
      <w:pPr>
        <w:spacing w:after="0" w:line="240" w:lineRule="auto"/>
        <w:jc w:val="both"/>
        <w:rPr>
          <w:rFonts w:ascii="Arial" w:hAnsi="Arial" w:cs="Arial"/>
        </w:rPr>
      </w:pPr>
    </w:p>
    <w:p w14:paraId="136E213E" w14:textId="0B8E960B" w:rsidR="00826C38" w:rsidRDefault="00826C38" w:rsidP="00B1103A">
      <w:pPr>
        <w:spacing w:after="0" w:line="240" w:lineRule="auto"/>
        <w:jc w:val="both"/>
        <w:rPr>
          <w:rFonts w:ascii="Arial" w:hAnsi="Arial" w:cs="Arial"/>
        </w:rPr>
      </w:pPr>
      <w:r w:rsidRPr="0083366B">
        <w:rPr>
          <w:rFonts w:ascii="Arial" w:hAnsi="Arial" w:cs="Arial"/>
        </w:rPr>
        <w:t xml:space="preserve">Pro postup, kdy obce žádají o provedení exekuce obecného správce daně ve smyslu § 106 </w:t>
      </w:r>
      <w:r w:rsidR="0059400D">
        <w:rPr>
          <w:rFonts w:ascii="Arial" w:hAnsi="Arial" w:cs="Arial"/>
        </w:rPr>
        <w:t xml:space="preserve">odst. 2 </w:t>
      </w:r>
      <w:r w:rsidRPr="0083366B">
        <w:rPr>
          <w:rFonts w:ascii="Arial" w:hAnsi="Arial" w:cs="Arial"/>
        </w:rPr>
        <w:t>SŘ (postup mimo dělenou správu)</w:t>
      </w:r>
      <w:r w:rsidR="0059400D">
        <w:rPr>
          <w:rFonts w:ascii="Arial" w:hAnsi="Arial" w:cs="Arial"/>
        </w:rPr>
        <w:t>,</w:t>
      </w:r>
      <w:r w:rsidRPr="0083366B">
        <w:rPr>
          <w:rFonts w:ascii="Arial" w:hAnsi="Arial" w:cs="Arial"/>
        </w:rPr>
        <w:t xml:space="preserve"> </w:t>
      </w:r>
      <w:r w:rsidR="008F758D" w:rsidRPr="0083366B">
        <w:rPr>
          <w:rFonts w:ascii="Arial" w:hAnsi="Arial" w:cs="Arial"/>
        </w:rPr>
        <w:t xml:space="preserve">neexistují žádná </w:t>
      </w:r>
      <w:r w:rsidR="0083366B" w:rsidRPr="0083366B">
        <w:rPr>
          <w:rFonts w:ascii="Arial" w:hAnsi="Arial" w:cs="Arial"/>
        </w:rPr>
        <w:t xml:space="preserve">zákonná </w:t>
      </w:r>
      <w:r w:rsidR="008F758D" w:rsidRPr="0083366B">
        <w:rPr>
          <w:rFonts w:ascii="Arial" w:hAnsi="Arial" w:cs="Arial"/>
        </w:rPr>
        <w:t xml:space="preserve">pravidla. </w:t>
      </w:r>
      <w:r w:rsidRPr="0083366B">
        <w:rPr>
          <w:rFonts w:ascii="Arial" w:hAnsi="Arial" w:cs="Arial"/>
        </w:rPr>
        <w:t>Kontrolou byly zjištěny případy, kdy o</w:t>
      </w:r>
      <w:r w:rsidR="008F758D" w:rsidRPr="0083366B">
        <w:rPr>
          <w:rFonts w:ascii="Arial" w:hAnsi="Arial" w:cs="Arial"/>
        </w:rPr>
        <w:t xml:space="preserve">bce </w:t>
      </w:r>
      <w:r w:rsidRPr="0083366B">
        <w:rPr>
          <w:rFonts w:ascii="Arial" w:hAnsi="Arial" w:cs="Arial"/>
        </w:rPr>
        <w:t>žádají</w:t>
      </w:r>
      <w:r w:rsidR="008F758D" w:rsidRPr="0083366B">
        <w:rPr>
          <w:rFonts w:ascii="Arial" w:hAnsi="Arial" w:cs="Arial"/>
        </w:rPr>
        <w:t xml:space="preserve"> CS </w:t>
      </w:r>
      <w:r w:rsidRPr="0083366B">
        <w:rPr>
          <w:rFonts w:ascii="Arial" w:hAnsi="Arial" w:cs="Arial"/>
        </w:rPr>
        <w:t>o</w:t>
      </w:r>
      <w:r w:rsidR="008F758D" w:rsidRPr="0083366B">
        <w:rPr>
          <w:rFonts w:ascii="Arial" w:hAnsi="Arial" w:cs="Arial"/>
        </w:rPr>
        <w:t xml:space="preserve"> vymáhání prakticky </w:t>
      </w:r>
      <w:r w:rsidRPr="0083366B">
        <w:rPr>
          <w:rFonts w:ascii="Arial" w:hAnsi="Arial" w:cs="Arial"/>
        </w:rPr>
        <w:t>nedobytných</w:t>
      </w:r>
      <w:r w:rsidR="008F758D" w:rsidRPr="0083366B">
        <w:rPr>
          <w:rFonts w:ascii="Arial" w:hAnsi="Arial" w:cs="Arial"/>
        </w:rPr>
        <w:t xml:space="preserve"> </w:t>
      </w:r>
      <w:r w:rsidRPr="0083366B">
        <w:rPr>
          <w:rFonts w:ascii="Arial" w:hAnsi="Arial" w:cs="Arial"/>
        </w:rPr>
        <w:t>pohledávek</w:t>
      </w:r>
      <w:r w:rsidR="008F758D" w:rsidRPr="0083366B">
        <w:rPr>
          <w:rFonts w:ascii="Arial" w:hAnsi="Arial" w:cs="Arial"/>
        </w:rPr>
        <w:t xml:space="preserve"> či PP zanedbatelné</w:t>
      </w:r>
      <w:r w:rsidRPr="0083366B">
        <w:rPr>
          <w:rFonts w:ascii="Arial" w:hAnsi="Arial" w:cs="Arial"/>
        </w:rPr>
        <w:t xml:space="preserve"> hodnoty v řádech stovek korun.</w:t>
      </w:r>
      <w:r w:rsidR="0083366B" w:rsidRPr="0083366B">
        <w:rPr>
          <w:rFonts w:ascii="Arial" w:hAnsi="Arial" w:cs="Arial"/>
        </w:rPr>
        <w:t xml:space="preserve"> Kontrola NKÚ zjistila případy, kdy obce předávaly PP bez potřebných formálních náležitostí.</w:t>
      </w:r>
    </w:p>
    <w:p w14:paraId="044E1162" w14:textId="77777777" w:rsidR="00681E6C" w:rsidRPr="0083366B" w:rsidRDefault="00681E6C" w:rsidP="00B1103A">
      <w:pPr>
        <w:spacing w:after="0" w:line="240" w:lineRule="auto"/>
        <w:jc w:val="both"/>
        <w:rPr>
          <w:rFonts w:ascii="Arial" w:hAnsi="Arial" w:cs="Arial"/>
        </w:rPr>
      </w:pPr>
    </w:p>
    <w:p w14:paraId="5CF9866D" w14:textId="7817EF4F" w:rsidR="00BB0DA8" w:rsidRPr="00B1103A" w:rsidRDefault="005C1534" w:rsidP="005C153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947149" w:rsidRPr="00B1103A">
        <w:rPr>
          <w:rFonts w:ascii="Arial" w:hAnsi="Arial" w:cs="Arial"/>
          <w:b/>
        </w:rPr>
        <w:t>V</w:t>
      </w:r>
      <w:r w:rsidR="00BB0DA8" w:rsidRPr="00B1103A">
        <w:rPr>
          <w:rFonts w:ascii="Arial" w:hAnsi="Arial" w:cs="Arial"/>
          <w:b/>
        </w:rPr>
        <w:t>ymáhání nedoplatků celními úřady</w:t>
      </w:r>
    </w:p>
    <w:p w14:paraId="41FD8823" w14:textId="77777777" w:rsidR="00681E6C" w:rsidRDefault="00681E6C" w:rsidP="00B1103A">
      <w:pPr>
        <w:spacing w:after="0" w:line="240" w:lineRule="auto"/>
        <w:jc w:val="both"/>
        <w:rPr>
          <w:rFonts w:ascii="Arial" w:hAnsi="Arial" w:cs="Arial"/>
        </w:rPr>
      </w:pPr>
    </w:p>
    <w:p w14:paraId="0681AF74" w14:textId="3AF30627" w:rsidR="006A79D0" w:rsidRDefault="006A79D0" w:rsidP="00B110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DŘ stanoví správci daně, resp. celnímu úřadu, </w:t>
      </w:r>
      <w:r w:rsidR="001F4F1C">
        <w:rPr>
          <w:rFonts w:ascii="Arial" w:hAnsi="Arial" w:cs="Arial"/>
        </w:rPr>
        <w:t>povinnost zabezpečit úhradu daně, lhůty pro postup správce daně však DŘ nestanoví.</w:t>
      </w:r>
    </w:p>
    <w:p w14:paraId="4944ADCC" w14:textId="77777777" w:rsidR="005C1534" w:rsidRDefault="005C1534" w:rsidP="00B1103A">
      <w:pPr>
        <w:spacing w:after="0" w:line="240" w:lineRule="auto"/>
        <w:jc w:val="both"/>
        <w:rPr>
          <w:rFonts w:ascii="Arial" w:hAnsi="Arial" w:cs="Arial"/>
        </w:rPr>
      </w:pPr>
    </w:p>
    <w:p w14:paraId="3DD1EB2F" w14:textId="5C40EDA5" w:rsidR="00BB0DA8" w:rsidRDefault="00947149" w:rsidP="00B110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NKÚ podrobil kontrole u jednotlivých CÚ </w:t>
      </w:r>
      <w:r w:rsidR="0059400D">
        <w:rPr>
          <w:rFonts w:ascii="Arial" w:hAnsi="Arial" w:cs="Arial"/>
        </w:rPr>
        <w:t>postup při</w:t>
      </w:r>
      <w:r w:rsidR="00F63958">
        <w:rPr>
          <w:rFonts w:ascii="Arial" w:hAnsi="Arial" w:cs="Arial"/>
        </w:rPr>
        <w:t xml:space="preserve"> vybírání a vymáhání </w:t>
      </w:r>
      <w:r>
        <w:rPr>
          <w:rFonts w:ascii="Arial" w:hAnsi="Arial" w:cs="Arial"/>
        </w:rPr>
        <w:t xml:space="preserve">celkem </w:t>
      </w:r>
      <w:r w:rsidR="004F32FF">
        <w:rPr>
          <w:rFonts w:ascii="Arial" w:hAnsi="Arial" w:cs="Arial"/>
        </w:rPr>
        <w:t>206</w:t>
      </w:r>
      <w:r>
        <w:rPr>
          <w:rFonts w:ascii="Arial" w:hAnsi="Arial" w:cs="Arial"/>
        </w:rPr>
        <w:t xml:space="preserve"> případů PP </w:t>
      </w:r>
      <w:r w:rsidR="0059400D">
        <w:rPr>
          <w:rFonts w:ascii="Arial" w:hAnsi="Arial" w:cs="Arial"/>
        </w:rPr>
        <w:t xml:space="preserve">(rozhodnutí) </w:t>
      </w:r>
      <w:r>
        <w:rPr>
          <w:rFonts w:ascii="Arial" w:hAnsi="Arial" w:cs="Arial"/>
        </w:rPr>
        <w:t xml:space="preserve">předaných ke správě </w:t>
      </w:r>
      <w:r w:rsidR="00553586">
        <w:rPr>
          <w:rFonts w:ascii="Arial" w:hAnsi="Arial" w:cs="Arial"/>
        </w:rPr>
        <w:t>placení</w:t>
      </w:r>
      <w:r>
        <w:rPr>
          <w:rFonts w:ascii="Arial" w:hAnsi="Arial" w:cs="Arial"/>
        </w:rPr>
        <w:t xml:space="preserve"> a </w:t>
      </w:r>
      <w:r w:rsidR="00553586">
        <w:rPr>
          <w:rFonts w:ascii="Arial" w:hAnsi="Arial" w:cs="Arial"/>
        </w:rPr>
        <w:t xml:space="preserve">správě </w:t>
      </w:r>
      <w:r>
        <w:rPr>
          <w:rFonts w:ascii="Arial" w:hAnsi="Arial" w:cs="Arial"/>
        </w:rPr>
        <w:t xml:space="preserve">vymáhání v celkové hodnotě 23 908 970,18 Kč. </w:t>
      </w:r>
      <w:r w:rsidR="00553586">
        <w:rPr>
          <w:rFonts w:ascii="Arial" w:hAnsi="Arial" w:cs="Arial"/>
        </w:rPr>
        <w:t>Z uvedeného kontrolního vzorku vybraly CÚ peněžitá pln</w:t>
      </w:r>
      <w:r w:rsidR="003E2E06">
        <w:rPr>
          <w:rFonts w:ascii="Arial" w:hAnsi="Arial" w:cs="Arial"/>
        </w:rPr>
        <w:t>ění v hodnotě 3 853 081,44 Kč a </w:t>
      </w:r>
      <w:r w:rsidR="00553586">
        <w:rPr>
          <w:rFonts w:ascii="Arial" w:hAnsi="Arial" w:cs="Arial"/>
        </w:rPr>
        <w:t>vymohly 1 388 840,77 Kč. V době provádění kontroly evidovaly CÚ nedoplatky na vybraném vzorku PP v hodnotě 18 141 197,97 Kč</w:t>
      </w:r>
      <w:r w:rsidR="00553586">
        <w:rPr>
          <w:rStyle w:val="Znakapoznpodarou"/>
          <w:rFonts w:ascii="Arial" w:hAnsi="Arial" w:cs="Arial"/>
        </w:rPr>
        <w:footnoteReference w:id="10"/>
      </w:r>
      <w:r w:rsidR="00553586">
        <w:rPr>
          <w:rFonts w:ascii="Arial" w:hAnsi="Arial" w:cs="Arial"/>
        </w:rPr>
        <w:t>.</w:t>
      </w:r>
    </w:p>
    <w:p w14:paraId="6ACC4DF0" w14:textId="77777777" w:rsidR="005C1534" w:rsidRDefault="005C1534" w:rsidP="00B1103A">
      <w:pPr>
        <w:spacing w:after="0" w:line="240" w:lineRule="auto"/>
        <w:jc w:val="both"/>
        <w:rPr>
          <w:rFonts w:ascii="Arial" w:hAnsi="Arial" w:cs="Arial"/>
        </w:rPr>
      </w:pPr>
    </w:p>
    <w:p w14:paraId="242B77B5" w14:textId="25DF083A" w:rsidR="00F96597" w:rsidRDefault="00483F1F" w:rsidP="00B1103A">
      <w:pPr>
        <w:spacing w:after="0" w:line="240" w:lineRule="auto"/>
        <w:jc w:val="both"/>
        <w:rPr>
          <w:rFonts w:ascii="Arial" w:hAnsi="Arial" w:cs="Arial"/>
        </w:rPr>
      </w:pPr>
      <w:r w:rsidRPr="006A79D0">
        <w:rPr>
          <w:rFonts w:ascii="Arial" w:hAnsi="Arial" w:cs="Arial"/>
        </w:rPr>
        <w:t xml:space="preserve">NKÚ zjistil, že CÚ nevedly záznamy o všech </w:t>
      </w:r>
      <w:r w:rsidR="006A79D0" w:rsidRPr="006A79D0">
        <w:rPr>
          <w:rFonts w:ascii="Arial" w:hAnsi="Arial" w:cs="Arial"/>
        </w:rPr>
        <w:t xml:space="preserve">provedených </w:t>
      </w:r>
      <w:r w:rsidRPr="006A79D0">
        <w:rPr>
          <w:rFonts w:ascii="Arial" w:hAnsi="Arial" w:cs="Arial"/>
        </w:rPr>
        <w:t>úkonech směřujících k vybrání či vymožení nedoplatku.</w:t>
      </w:r>
      <w:r w:rsidR="009630FD">
        <w:rPr>
          <w:rFonts w:ascii="Arial" w:hAnsi="Arial" w:cs="Arial"/>
        </w:rPr>
        <w:t xml:space="preserve"> Povinnost vést záznamy o provedených úkonech CÚ neměly.</w:t>
      </w:r>
    </w:p>
    <w:p w14:paraId="3AD6E06E" w14:textId="77777777" w:rsidR="005C1534" w:rsidRDefault="005C1534" w:rsidP="00B1103A">
      <w:pPr>
        <w:spacing w:after="0" w:line="240" w:lineRule="auto"/>
        <w:jc w:val="both"/>
        <w:rPr>
          <w:rFonts w:ascii="Arial" w:hAnsi="Arial" w:cs="Arial"/>
        </w:rPr>
      </w:pPr>
    </w:p>
    <w:p w14:paraId="286129F6" w14:textId="6FE62B66" w:rsidR="00182F4C" w:rsidRDefault="00182F4C" w:rsidP="00B110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Problémem při vymáhání nedoplatků CÚ byly v kontrolovaném období nedoplatky evidované za cizími státními příslušníky. Tyto nedoplatky byly obtížně vymahatelné a pouze v omezeném rozsahu bylo při jejich vymáhání možné požádat o mezinárodní pomoc podle zákona č. 191/2004 Sb.</w:t>
      </w:r>
      <w:r w:rsidR="00C259CE">
        <w:rPr>
          <w:rFonts w:ascii="Arial" w:hAnsi="Arial" w:cs="Arial"/>
        </w:rPr>
        <w:t>,</w:t>
      </w:r>
      <w:r w:rsidR="00C259CE" w:rsidRPr="00C259CE">
        <w:rPr>
          <w:rFonts w:ascii="Arial" w:hAnsi="Arial" w:cs="Arial"/>
        </w:rPr>
        <w:t xml:space="preserve"> o mezinárodní pomoci při vymáhání některých finančních pohledávek</w:t>
      </w:r>
      <w:r w:rsidR="00C259CE">
        <w:rPr>
          <w:rFonts w:ascii="Arial" w:hAnsi="Arial" w:cs="Arial"/>
        </w:rPr>
        <w:t>, resp. zákona č. 471/2011 Sb.,</w:t>
      </w:r>
      <w:r>
        <w:rPr>
          <w:rFonts w:ascii="Arial" w:hAnsi="Arial" w:cs="Arial"/>
        </w:rPr>
        <w:t xml:space="preserve"> </w:t>
      </w:r>
      <w:r w:rsidR="00C259CE" w:rsidRPr="00C259CE">
        <w:rPr>
          <w:rFonts w:ascii="Arial" w:hAnsi="Arial" w:cs="Arial"/>
        </w:rPr>
        <w:t>o mezinárodní pomoci při vymáhání některých finančních pohledávek</w:t>
      </w:r>
      <w:r w:rsidR="00C259C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Tato situace byla konstatována již předchozí kontrolou NKÚ u dělené správy prováděné v daném období finančními úřady (KA 03/16).</w:t>
      </w:r>
    </w:p>
    <w:p w14:paraId="606CB98B" w14:textId="77777777" w:rsidR="005C1534" w:rsidRDefault="005C1534" w:rsidP="00B1103A">
      <w:pPr>
        <w:spacing w:after="0" w:line="240" w:lineRule="auto"/>
        <w:jc w:val="both"/>
        <w:rPr>
          <w:rFonts w:ascii="Arial" w:hAnsi="Arial" w:cs="Arial"/>
        </w:rPr>
      </w:pPr>
    </w:p>
    <w:p w14:paraId="54DE1E4B" w14:textId="3E9558E0" w:rsidR="00182F4C" w:rsidRDefault="00182F4C" w:rsidP="00B110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GŘC neupravilo postup </w:t>
      </w:r>
      <w:r w:rsidR="00512471">
        <w:rPr>
          <w:rFonts w:ascii="Arial" w:hAnsi="Arial" w:cs="Arial"/>
        </w:rPr>
        <w:t>CÚ</w:t>
      </w:r>
      <w:r>
        <w:rPr>
          <w:rFonts w:ascii="Arial" w:hAnsi="Arial" w:cs="Arial"/>
        </w:rPr>
        <w:t xml:space="preserve"> při vymáhání nedoplatků za cizími státními příslušníky žádnou metodickou </w:t>
      </w:r>
      <w:r w:rsidR="00EA2905">
        <w:rPr>
          <w:rFonts w:ascii="Arial" w:hAnsi="Arial" w:cs="Arial"/>
        </w:rPr>
        <w:t>instrukcí</w:t>
      </w:r>
      <w:r>
        <w:rPr>
          <w:rFonts w:ascii="Arial" w:hAnsi="Arial" w:cs="Arial"/>
        </w:rPr>
        <w:t xml:space="preserve">. </w:t>
      </w:r>
      <w:r w:rsidR="00512471">
        <w:rPr>
          <w:rFonts w:ascii="Arial" w:hAnsi="Arial" w:cs="Arial"/>
        </w:rPr>
        <w:t>CÚ</w:t>
      </w:r>
      <w:r>
        <w:rPr>
          <w:rFonts w:ascii="Arial" w:hAnsi="Arial" w:cs="Arial"/>
        </w:rPr>
        <w:t xml:space="preserve"> tak postupovaly nejednotně, s rozdílným množstvím kr</w:t>
      </w:r>
      <w:r w:rsidR="00512471">
        <w:rPr>
          <w:rFonts w:ascii="Arial" w:hAnsi="Arial" w:cs="Arial"/>
        </w:rPr>
        <w:t>oků učiněných ve vymáhání. Například</w:t>
      </w:r>
      <w:r>
        <w:rPr>
          <w:rFonts w:ascii="Arial" w:hAnsi="Arial" w:cs="Arial"/>
        </w:rPr>
        <w:t xml:space="preserve"> </w:t>
      </w:r>
      <w:r w:rsidR="00512471">
        <w:rPr>
          <w:rFonts w:ascii="Arial" w:hAnsi="Arial" w:cs="Arial"/>
        </w:rPr>
        <w:t>CÚ pro Plzeňský kraj</w:t>
      </w:r>
      <w:r>
        <w:rPr>
          <w:rFonts w:ascii="Arial" w:hAnsi="Arial" w:cs="Arial"/>
        </w:rPr>
        <w:t xml:space="preserve"> zjišťoval u cizích státních příslušníků </w:t>
      </w:r>
      <w:r w:rsidR="00512471">
        <w:rPr>
          <w:rFonts w:ascii="Arial" w:hAnsi="Arial" w:cs="Arial"/>
        </w:rPr>
        <w:t xml:space="preserve">alespoň </w:t>
      </w:r>
      <w:r>
        <w:rPr>
          <w:rFonts w:ascii="Arial" w:hAnsi="Arial" w:cs="Arial"/>
        </w:rPr>
        <w:t>peněžní prostředky na b</w:t>
      </w:r>
      <w:r w:rsidR="00512471">
        <w:rPr>
          <w:rFonts w:ascii="Arial" w:hAnsi="Arial" w:cs="Arial"/>
        </w:rPr>
        <w:t>ankovních účtech, zatímco</w:t>
      </w:r>
      <w:r>
        <w:rPr>
          <w:rFonts w:ascii="Arial" w:hAnsi="Arial" w:cs="Arial"/>
        </w:rPr>
        <w:t xml:space="preserve"> </w:t>
      </w:r>
      <w:r w:rsidR="00512471">
        <w:rPr>
          <w:rFonts w:ascii="Arial" w:hAnsi="Arial" w:cs="Arial"/>
        </w:rPr>
        <w:t>CÚ pro Ústecký kraj</w:t>
      </w:r>
      <w:r>
        <w:rPr>
          <w:rFonts w:ascii="Arial" w:hAnsi="Arial" w:cs="Arial"/>
        </w:rPr>
        <w:t xml:space="preserve"> po zaslání vyrozumění o nedoplatku obyčejnou zásil</w:t>
      </w:r>
      <w:r w:rsidR="003E2E06">
        <w:rPr>
          <w:rFonts w:ascii="Arial" w:hAnsi="Arial" w:cs="Arial"/>
        </w:rPr>
        <w:t>kou dále nedoplatek nevymáhal a </w:t>
      </w:r>
      <w:r>
        <w:rPr>
          <w:rFonts w:ascii="Arial" w:hAnsi="Arial" w:cs="Arial"/>
        </w:rPr>
        <w:t>odepsal jej pro nedobytnost.</w:t>
      </w:r>
    </w:p>
    <w:p w14:paraId="461704AE" w14:textId="77777777" w:rsidR="005C1534" w:rsidRDefault="005C1534" w:rsidP="00B1103A">
      <w:pPr>
        <w:spacing w:after="0" w:line="240" w:lineRule="auto"/>
        <w:jc w:val="both"/>
        <w:rPr>
          <w:rFonts w:ascii="Arial" w:hAnsi="Arial" w:cs="Arial"/>
        </w:rPr>
      </w:pPr>
    </w:p>
    <w:p w14:paraId="128C3DB9" w14:textId="683D00D4" w:rsidR="00BB0DA8" w:rsidRDefault="002F3D6F" w:rsidP="00B110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NKÚ podrobil kontrole postup CÚ při vymáhání 134 nedoplatků, které CÚ nevybral</w:t>
      </w:r>
      <w:r w:rsidR="00483F1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v době do tří měsíců od zaevidování PP. NKÚ zjistil, že </w:t>
      </w:r>
      <w:r w:rsidR="00483F1F">
        <w:rPr>
          <w:rFonts w:ascii="Arial" w:hAnsi="Arial" w:cs="Arial"/>
        </w:rPr>
        <w:t xml:space="preserve">z uvedeného kontrolního vzorku </w:t>
      </w:r>
      <w:r w:rsidR="00A354DD">
        <w:rPr>
          <w:rFonts w:ascii="Arial" w:hAnsi="Arial" w:cs="Arial"/>
        </w:rPr>
        <w:t xml:space="preserve">ve výši </w:t>
      </w:r>
      <w:r w:rsidR="005C039F">
        <w:rPr>
          <w:rFonts w:ascii="Arial" w:hAnsi="Arial" w:cs="Arial"/>
        </w:rPr>
        <w:t>19 908 598,74</w:t>
      </w:r>
      <w:r w:rsidR="00A354DD">
        <w:rPr>
          <w:rFonts w:ascii="Arial" w:hAnsi="Arial" w:cs="Arial"/>
        </w:rPr>
        <w:t xml:space="preserve"> Kč </w:t>
      </w:r>
      <w:r w:rsidR="00483F1F">
        <w:rPr>
          <w:rFonts w:ascii="Arial" w:hAnsi="Arial" w:cs="Arial"/>
        </w:rPr>
        <w:t>CÚ</w:t>
      </w:r>
      <w:r w:rsidR="00802D02">
        <w:rPr>
          <w:rFonts w:ascii="Arial" w:hAnsi="Arial" w:cs="Arial"/>
        </w:rPr>
        <w:t xml:space="preserve"> neprovedly</w:t>
      </w:r>
      <w:r w:rsidR="00802D02" w:rsidRPr="00BB0DA8">
        <w:rPr>
          <w:rFonts w:ascii="Arial" w:hAnsi="Arial" w:cs="Arial"/>
        </w:rPr>
        <w:t xml:space="preserve"> v</w:t>
      </w:r>
      <w:r w:rsidR="00483F1F">
        <w:rPr>
          <w:rFonts w:ascii="Arial" w:hAnsi="Arial" w:cs="Arial"/>
        </w:rPr>
        <w:t>e</w:t>
      </w:r>
      <w:r w:rsidR="00802D02" w:rsidRPr="00BB0DA8">
        <w:rPr>
          <w:rFonts w:ascii="Arial" w:hAnsi="Arial" w:cs="Arial"/>
        </w:rPr>
        <w:t xml:space="preserve"> </w:t>
      </w:r>
      <w:r w:rsidR="00483F1F">
        <w:rPr>
          <w:rFonts w:ascii="Arial" w:hAnsi="Arial" w:cs="Arial"/>
        </w:rPr>
        <w:t>48</w:t>
      </w:r>
      <w:r w:rsidR="00802D02" w:rsidRPr="00BB0DA8">
        <w:rPr>
          <w:rFonts w:ascii="Arial" w:hAnsi="Arial" w:cs="Arial"/>
        </w:rPr>
        <w:t xml:space="preserve"> případech </w:t>
      </w:r>
      <w:r w:rsidR="00A354DD">
        <w:rPr>
          <w:rFonts w:ascii="Arial" w:hAnsi="Arial" w:cs="Arial"/>
        </w:rPr>
        <w:t xml:space="preserve">PP </w:t>
      </w:r>
      <w:r w:rsidR="006A2AD9">
        <w:rPr>
          <w:rFonts w:ascii="Arial" w:hAnsi="Arial" w:cs="Arial"/>
        </w:rPr>
        <w:t xml:space="preserve">(35,82 %) </w:t>
      </w:r>
      <w:r w:rsidR="00A354DD">
        <w:rPr>
          <w:rFonts w:ascii="Arial" w:hAnsi="Arial" w:cs="Arial"/>
        </w:rPr>
        <w:t xml:space="preserve">v hodnotě </w:t>
      </w:r>
      <w:r w:rsidR="005C039F">
        <w:rPr>
          <w:rFonts w:ascii="Arial" w:hAnsi="Arial" w:cs="Arial"/>
        </w:rPr>
        <w:t>5 056 507,00</w:t>
      </w:r>
      <w:r w:rsidR="00A354DD">
        <w:rPr>
          <w:rFonts w:ascii="Arial" w:hAnsi="Arial" w:cs="Arial"/>
        </w:rPr>
        <w:t xml:space="preserve"> Kč </w:t>
      </w:r>
      <w:r w:rsidR="00802D02" w:rsidRPr="00BB0DA8">
        <w:rPr>
          <w:rFonts w:ascii="Arial" w:hAnsi="Arial" w:cs="Arial"/>
        </w:rPr>
        <w:t>veškeré přiměřené úkony</w:t>
      </w:r>
      <w:r w:rsidR="00802D02">
        <w:rPr>
          <w:rFonts w:ascii="Arial" w:hAnsi="Arial" w:cs="Arial"/>
        </w:rPr>
        <w:t xml:space="preserve">, resp. </w:t>
      </w:r>
      <w:r w:rsidR="00802D02" w:rsidRPr="00BB0DA8">
        <w:rPr>
          <w:rFonts w:ascii="Arial" w:hAnsi="Arial" w:cs="Arial"/>
        </w:rPr>
        <w:t>nedoložil</w:t>
      </w:r>
      <w:r w:rsidR="00802D02">
        <w:rPr>
          <w:rFonts w:ascii="Arial" w:hAnsi="Arial" w:cs="Arial"/>
        </w:rPr>
        <w:t>y</w:t>
      </w:r>
      <w:r w:rsidR="00802D02" w:rsidRPr="00BB0DA8">
        <w:rPr>
          <w:rFonts w:ascii="Arial" w:hAnsi="Arial" w:cs="Arial"/>
        </w:rPr>
        <w:t>, že provedl</w:t>
      </w:r>
      <w:r w:rsidR="00802D02">
        <w:rPr>
          <w:rFonts w:ascii="Arial" w:hAnsi="Arial" w:cs="Arial"/>
        </w:rPr>
        <w:t>y</w:t>
      </w:r>
      <w:r w:rsidR="00802D02" w:rsidRPr="00BB0DA8">
        <w:rPr>
          <w:rFonts w:ascii="Arial" w:hAnsi="Arial" w:cs="Arial"/>
        </w:rPr>
        <w:t xml:space="preserve"> veškeré přiměřené úkony, které by </w:t>
      </w:r>
      <w:r w:rsidR="00802D02" w:rsidRPr="00BB0DA8">
        <w:rPr>
          <w:rFonts w:ascii="Arial" w:hAnsi="Arial" w:cs="Arial"/>
        </w:rPr>
        <w:lastRenderedPageBreak/>
        <w:t xml:space="preserve">vedly k úspěšnému vymáhání </w:t>
      </w:r>
      <w:r w:rsidR="005C039F">
        <w:rPr>
          <w:rFonts w:ascii="Arial" w:hAnsi="Arial" w:cs="Arial"/>
        </w:rPr>
        <w:t>nedoplatků</w:t>
      </w:r>
      <w:r w:rsidR="00483F1F">
        <w:rPr>
          <w:rFonts w:ascii="Arial" w:hAnsi="Arial" w:cs="Arial"/>
        </w:rPr>
        <w:t>,</w:t>
      </w:r>
      <w:r w:rsidR="00802D02" w:rsidRPr="00802D02">
        <w:rPr>
          <w:rFonts w:ascii="Arial" w:hAnsi="Arial" w:cs="Arial"/>
        </w:rPr>
        <w:t xml:space="preserve"> nebo že provedl</w:t>
      </w:r>
      <w:r w:rsidR="00802D02">
        <w:rPr>
          <w:rFonts w:ascii="Arial" w:hAnsi="Arial" w:cs="Arial"/>
        </w:rPr>
        <w:t>y</w:t>
      </w:r>
      <w:r w:rsidR="00802D02" w:rsidRPr="00802D02">
        <w:rPr>
          <w:rFonts w:ascii="Arial" w:hAnsi="Arial" w:cs="Arial"/>
        </w:rPr>
        <w:t xml:space="preserve"> tyto úkony v přiměřených lhůtách</w:t>
      </w:r>
      <w:r w:rsidR="00483F1F">
        <w:rPr>
          <w:rStyle w:val="Znakapoznpodarou"/>
          <w:rFonts w:ascii="Arial" w:hAnsi="Arial" w:cs="Arial"/>
        </w:rPr>
        <w:footnoteReference w:id="11"/>
      </w:r>
      <w:r w:rsidR="00802D02" w:rsidRPr="00802D02">
        <w:rPr>
          <w:rFonts w:ascii="Arial" w:hAnsi="Arial" w:cs="Arial"/>
        </w:rPr>
        <w:t>.</w:t>
      </w:r>
      <w:r w:rsidR="00802D02">
        <w:rPr>
          <w:rFonts w:ascii="Arial" w:hAnsi="Arial" w:cs="Arial"/>
        </w:rPr>
        <w:t xml:space="preserve"> Kontrola NKÚ zjistila např. následující nedostatky:</w:t>
      </w:r>
    </w:p>
    <w:p w14:paraId="598CE8A6" w14:textId="41AB997B" w:rsidR="006D2D87" w:rsidRDefault="006D2D87" w:rsidP="00B1103A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CÚ pro Plzeňský kraj zjistil </w:t>
      </w:r>
      <w:r w:rsidR="00D32FC8">
        <w:rPr>
          <w:rFonts w:ascii="Arial" w:hAnsi="Arial" w:cs="Arial"/>
        </w:rPr>
        <w:t>peněžní prostředky na účtu</w:t>
      </w:r>
      <w:r>
        <w:rPr>
          <w:rFonts w:ascii="Arial" w:hAnsi="Arial" w:cs="Arial"/>
        </w:rPr>
        <w:t xml:space="preserve"> dlužníka</w:t>
      </w:r>
      <w:r w:rsidR="00F10BBA">
        <w:rPr>
          <w:rFonts w:ascii="Arial" w:hAnsi="Arial" w:cs="Arial"/>
        </w:rPr>
        <w:t xml:space="preserve"> (nedoplatek 11 000 Kč)</w:t>
      </w:r>
      <w:r>
        <w:rPr>
          <w:rFonts w:ascii="Arial" w:hAnsi="Arial" w:cs="Arial"/>
        </w:rPr>
        <w:t xml:space="preserve">, </w:t>
      </w:r>
      <w:r w:rsidR="00D32FC8">
        <w:rPr>
          <w:rFonts w:ascii="Arial" w:hAnsi="Arial" w:cs="Arial"/>
        </w:rPr>
        <w:t>exekuční příkaz</w:t>
      </w:r>
      <w:r>
        <w:rPr>
          <w:rFonts w:ascii="Arial" w:hAnsi="Arial" w:cs="Arial"/>
        </w:rPr>
        <w:t xml:space="preserve"> </w:t>
      </w:r>
      <w:r w:rsidR="00D32FC8">
        <w:rPr>
          <w:rFonts w:ascii="Arial" w:hAnsi="Arial" w:cs="Arial"/>
        </w:rPr>
        <w:t xml:space="preserve">na přikázání pohledávky z účtu dlužníka </w:t>
      </w:r>
      <w:r w:rsidR="00D37CAB">
        <w:rPr>
          <w:rFonts w:ascii="Arial" w:hAnsi="Arial" w:cs="Arial"/>
        </w:rPr>
        <w:t>však</w:t>
      </w:r>
      <w:r>
        <w:rPr>
          <w:rFonts w:ascii="Arial" w:hAnsi="Arial" w:cs="Arial"/>
        </w:rPr>
        <w:t xml:space="preserve"> </w:t>
      </w:r>
      <w:r w:rsidR="00D32FC8">
        <w:rPr>
          <w:rFonts w:ascii="Arial" w:hAnsi="Arial" w:cs="Arial"/>
        </w:rPr>
        <w:t xml:space="preserve">vydal </w:t>
      </w:r>
      <w:r>
        <w:rPr>
          <w:rFonts w:ascii="Arial" w:hAnsi="Arial" w:cs="Arial"/>
        </w:rPr>
        <w:t xml:space="preserve">až </w:t>
      </w:r>
      <w:r w:rsidR="00D32FC8">
        <w:rPr>
          <w:rFonts w:ascii="Arial" w:hAnsi="Arial" w:cs="Arial"/>
        </w:rPr>
        <w:t>cca za</w:t>
      </w:r>
      <w:r>
        <w:rPr>
          <w:rFonts w:ascii="Arial" w:hAnsi="Arial" w:cs="Arial"/>
        </w:rPr>
        <w:t xml:space="preserve"> </w:t>
      </w:r>
      <w:r w:rsidR="00D32FC8">
        <w:rPr>
          <w:rFonts w:ascii="Arial" w:hAnsi="Arial" w:cs="Arial"/>
        </w:rPr>
        <w:t>čtyři měsíce</w:t>
      </w:r>
      <w:r>
        <w:rPr>
          <w:rFonts w:ascii="Arial" w:hAnsi="Arial" w:cs="Arial"/>
        </w:rPr>
        <w:t>. Tato skutečnost mohla být důvodem neúspěšné exekuce.</w:t>
      </w:r>
    </w:p>
    <w:p w14:paraId="614BF296" w14:textId="326A3735" w:rsidR="00FB5FE7" w:rsidRDefault="00FB5FE7" w:rsidP="00B1103A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CÚ pro Plzeňský kraj zjistil, že dlužník je ve výkonu trestu odnětí svobody, ale návrh na exekuci srážkami ze mzdy odsouzeného </w:t>
      </w:r>
      <w:r w:rsidR="00F4086E">
        <w:rPr>
          <w:rFonts w:ascii="Arial" w:hAnsi="Arial" w:cs="Arial"/>
        </w:rPr>
        <w:t>vy</w:t>
      </w:r>
      <w:r>
        <w:rPr>
          <w:rFonts w:ascii="Arial" w:hAnsi="Arial" w:cs="Arial"/>
        </w:rPr>
        <w:t>dal až cca po 18 měsících</w:t>
      </w:r>
      <w:r w:rsidR="009630FD" w:rsidRPr="009630FD">
        <w:rPr>
          <w:rFonts w:ascii="Arial" w:hAnsi="Arial" w:cs="Arial"/>
        </w:rPr>
        <w:t xml:space="preserve"> </w:t>
      </w:r>
      <w:r w:rsidR="009630FD" w:rsidRPr="003300D2">
        <w:rPr>
          <w:rFonts w:ascii="Arial" w:hAnsi="Arial" w:cs="Arial"/>
        </w:rPr>
        <w:t>po tomto zjištění</w:t>
      </w:r>
      <w:r w:rsidR="00F10BBA">
        <w:rPr>
          <w:rFonts w:ascii="Arial" w:hAnsi="Arial" w:cs="Arial"/>
        </w:rPr>
        <w:t xml:space="preserve"> (nedoplatek 1 000 Kč)</w:t>
      </w:r>
      <w:r>
        <w:rPr>
          <w:rFonts w:ascii="Arial" w:hAnsi="Arial" w:cs="Arial"/>
        </w:rPr>
        <w:t>.</w:t>
      </w:r>
    </w:p>
    <w:p w14:paraId="20BBB552" w14:textId="69F4AF3C" w:rsidR="00802D02" w:rsidRDefault="00802D02" w:rsidP="00B1103A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971D5">
        <w:rPr>
          <w:rFonts w:ascii="Arial" w:hAnsi="Arial" w:cs="Arial"/>
        </w:rPr>
        <w:t xml:space="preserve">CÚ pro Plzeňský kraj zjistil peněžní prostředky na účtu dlužníka, exekuční příkaz na přikázání pohledávky z účtu dlužníka nevydal a až po cca 4 měsících přistoupil k exekuci </w:t>
      </w:r>
      <w:r>
        <w:rPr>
          <w:rFonts w:ascii="Arial" w:hAnsi="Arial" w:cs="Arial"/>
        </w:rPr>
        <w:t>srážkami ze mzdy</w:t>
      </w:r>
      <w:r w:rsidR="00F10BBA">
        <w:rPr>
          <w:rFonts w:ascii="Arial" w:hAnsi="Arial" w:cs="Arial"/>
        </w:rPr>
        <w:t xml:space="preserve"> (nedoplatek 5 000 Kč)</w:t>
      </w:r>
      <w:r>
        <w:rPr>
          <w:rFonts w:ascii="Arial" w:hAnsi="Arial" w:cs="Arial"/>
        </w:rPr>
        <w:t>.</w:t>
      </w:r>
    </w:p>
    <w:p w14:paraId="737E5EE3" w14:textId="5FA58A7F" w:rsidR="00802D02" w:rsidRPr="00802D02" w:rsidRDefault="00802D02" w:rsidP="00B1103A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CÚ pro </w:t>
      </w:r>
      <w:r w:rsidRPr="00802D02">
        <w:rPr>
          <w:rFonts w:ascii="Arial" w:hAnsi="Arial" w:cs="Arial"/>
        </w:rPr>
        <w:t>Plzeňský kraj zjistil nemovitý majetek dlužníka (právnické osoby s nedoplatkem 980 000 Kč) v</w:t>
      </w:r>
      <w:r>
        <w:rPr>
          <w:rFonts w:ascii="Arial" w:hAnsi="Arial" w:cs="Arial"/>
        </w:rPr>
        <w:t> katastru nemovitostí, ale o zřízení zástavního práva rozhodl až po cca 23 měsících. Z toho p</w:t>
      </w:r>
      <w:r w:rsidR="00B37FE3">
        <w:rPr>
          <w:rFonts w:ascii="Arial" w:hAnsi="Arial" w:cs="Arial"/>
        </w:rPr>
        <w:t>r</w:t>
      </w:r>
      <w:r>
        <w:rPr>
          <w:rFonts w:ascii="Arial" w:hAnsi="Arial" w:cs="Arial"/>
        </w:rPr>
        <w:t>o dobu cca 22 měsíců CÚ pro Plzeňský kraj nedoložil, že provedl jiné úkony vymáhání než zjišťování informací o stavu peněžních prostředků na účtech u bank.</w:t>
      </w:r>
    </w:p>
    <w:p w14:paraId="05AEE6CD" w14:textId="092E883F" w:rsidR="006D2D87" w:rsidRPr="009F2F32" w:rsidRDefault="00EF072F" w:rsidP="00B1103A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9F2F32">
        <w:rPr>
          <w:rFonts w:ascii="Arial" w:hAnsi="Arial" w:cs="Arial"/>
        </w:rPr>
        <w:t xml:space="preserve">CÚ pro Jihomoravský kraj v případě </w:t>
      </w:r>
      <w:r w:rsidR="002D7CE3">
        <w:rPr>
          <w:rFonts w:ascii="Arial" w:hAnsi="Arial" w:cs="Arial"/>
        </w:rPr>
        <w:t>nedoplatku</w:t>
      </w:r>
      <w:r w:rsidRPr="009F2F32">
        <w:rPr>
          <w:rFonts w:ascii="Arial" w:hAnsi="Arial" w:cs="Arial"/>
        </w:rPr>
        <w:t xml:space="preserve"> v hodnotě 30</w:t>
      </w:r>
      <w:r w:rsidR="00F10BBA">
        <w:rPr>
          <w:rFonts w:ascii="Arial" w:hAnsi="Arial" w:cs="Arial"/>
        </w:rPr>
        <w:t>1</w:t>
      </w:r>
      <w:r w:rsidRPr="009F2F32">
        <w:rPr>
          <w:rFonts w:ascii="Arial" w:hAnsi="Arial" w:cs="Arial"/>
        </w:rPr>
        <w:t xml:space="preserve"> 000 Kč evidovaného za právnickou osobou provedl zjišťování nemovitého majetku </w:t>
      </w:r>
      <w:r w:rsidR="00904762" w:rsidRPr="009F2F32">
        <w:rPr>
          <w:rFonts w:ascii="Arial" w:hAnsi="Arial" w:cs="Arial"/>
        </w:rPr>
        <w:t xml:space="preserve">dlužníka </w:t>
      </w:r>
      <w:r w:rsidRPr="009F2F32">
        <w:rPr>
          <w:rFonts w:ascii="Arial" w:hAnsi="Arial" w:cs="Arial"/>
        </w:rPr>
        <w:t>až cca po dvou letech od zaevidování nedoplatku</w:t>
      </w:r>
      <w:r w:rsidR="009675FD">
        <w:rPr>
          <w:rFonts w:ascii="Arial" w:hAnsi="Arial" w:cs="Arial"/>
        </w:rPr>
        <w:t>.</w:t>
      </w:r>
    </w:p>
    <w:p w14:paraId="2E7DDDD0" w14:textId="22D96395" w:rsidR="009F2F32" w:rsidRPr="00A27D52" w:rsidRDefault="009F2F32" w:rsidP="00B1103A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A27D52">
        <w:rPr>
          <w:rFonts w:ascii="Arial" w:hAnsi="Arial" w:cs="Arial"/>
        </w:rPr>
        <w:t xml:space="preserve">CÚ pro Ústecký kraj v pěti případech u právnických osob </w:t>
      </w:r>
      <w:r w:rsidR="00F10BBA">
        <w:rPr>
          <w:rFonts w:ascii="Arial" w:hAnsi="Arial" w:cs="Arial"/>
        </w:rPr>
        <w:t xml:space="preserve">(nedoplatky ve výši 121 000 Kč, 151 000 Kč, 1 501 000 Kč, 1 201 000 Kč a 201 000 Kč) </w:t>
      </w:r>
      <w:r>
        <w:rPr>
          <w:rFonts w:ascii="Arial" w:hAnsi="Arial" w:cs="Arial"/>
        </w:rPr>
        <w:t xml:space="preserve">nedoložil provedení jiných </w:t>
      </w:r>
      <w:r w:rsidRPr="00A27D52">
        <w:rPr>
          <w:rFonts w:ascii="Arial" w:hAnsi="Arial" w:cs="Arial"/>
        </w:rPr>
        <w:t>úkonů než zjišťování stavu peněžn</w:t>
      </w:r>
      <w:r w:rsidR="00FD5632">
        <w:rPr>
          <w:rFonts w:ascii="Arial" w:hAnsi="Arial" w:cs="Arial"/>
        </w:rPr>
        <w:t>ích prostředků na účtech u bank</w:t>
      </w:r>
      <w:r w:rsidRPr="00A27D52">
        <w:rPr>
          <w:rFonts w:ascii="Arial" w:hAnsi="Arial" w:cs="Arial"/>
        </w:rPr>
        <w:t xml:space="preserve"> </w:t>
      </w:r>
      <w:r w:rsidR="00FD5632">
        <w:rPr>
          <w:rFonts w:ascii="Arial" w:hAnsi="Arial" w:cs="Arial"/>
        </w:rPr>
        <w:t>(</w:t>
      </w:r>
      <w:r w:rsidRPr="00A27D52">
        <w:rPr>
          <w:rFonts w:ascii="Arial" w:hAnsi="Arial" w:cs="Arial"/>
        </w:rPr>
        <w:t>zejména zjišťování movitého a nemovitého majetku dlužníka</w:t>
      </w:r>
      <w:r w:rsidR="00FD5632">
        <w:rPr>
          <w:rFonts w:ascii="Arial" w:hAnsi="Arial" w:cs="Arial"/>
        </w:rPr>
        <w:t>)</w:t>
      </w:r>
      <w:r w:rsidRPr="00A27D52">
        <w:rPr>
          <w:rFonts w:ascii="Arial" w:hAnsi="Arial" w:cs="Arial"/>
        </w:rPr>
        <w:t>.</w:t>
      </w:r>
    </w:p>
    <w:p w14:paraId="45145E86" w14:textId="64396B28" w:rsidR="009F2F32" w:rsidRPr="009F2F32" w:rsidRDefault="009F2F32" w:rsidP="00B1103A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F2F32">
        <w:rPr>
          <w:rFonts w:ascii="Arial" w:hAnsi="Arial" w:cs="Arial"/>
        </w:rPr>
        <w:t>CÚ pro Moravskoslezský kraj v pěti případech (u 2 právnických osob</w:t>
      </w:r>
      <w:r w:rsidR="00F10BBA">
        <w:rPr>
          <w:rFonts w:ascii="Arial" w:hAnsi="Arial" w:cs="Arial"/>
        </w:rPr>
        <w:t xml:space="preserve"> nedoplatky ve výši 21 000 Kč a 51 000 Kč</w:t>
      </w:r>
      <w:r w:rsidRPr="009F2F32">
        <w:rPr>
          <w:rFonts w:ascii="Arial" w:hAnsi="Arial" w:cs="Arial"/>
        </w:rPr>
        <w:t xml:space="preserve"> a 3 fyzických osob</w:t>
      </w:r>
      <w:r w:rsidR="00F10BBA">
        <w:rPr>
          <w:rFonts w:ascii="Arial" w:hAnsi="Arial" w:cs="Arial"/>
        </w:rPr>
        <w:t xml:space="preserve"> nedoplatky vždy ve výši 51 000 Kč</w:t>
      </w:r>
      <w:r w:rsidRPr="009F2F32">
        <w:rPr>
          <w:rFonts w:ascii="Arial" w:hAnsi="Arial" w:cs="Arial"/>
        </w:rPr>
        <w:t>) nedoložil provedení jiných úkonů než zjišťování stavu peněžních prostředků na účtech u bank.</w:t>
      </w:r>
    </w:p>
    <w:p w14:paraId="7C1B525C" w14:textId="77777777" w:rsidR="005C1534" w:rsidRDefault="005C1534" w:rsidP="00B1103A">
      <w:pPr>
        <w:spacing w:after="0" w:line="240" w:lineRule="auto"/>
        <w:jc w:val="both"/>
        <w:rPr>
          <w:rFonts w:ascii="Arial" w:hAnsi="Arial" w:cs="Arial"/>
        </w:rPr>
      </w:pPr>
    </w:p>
    <w:p w14:paraId="62DCB27A" w14:textId="592D85B1" w:rsidR="00414E55" w:rsidRPr="009F2F32" w:rsidRDefault="00B37FE3" w:rsidP="00B110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Kontrolní akcí </w:t>
      </w:r>
      <w:r w:rsidR="00EF072F" w:rsidRPr="009F2F32">
        <w:rPr>
          <w:rFonts w:ascii="Arial" w:hAnsi="Arial" w:cs="Arial"/>
        </w:rPr>
        <w:t xml:space="preserve">NKÚ </w:t>
      </w:r>
      <w:r>
        <w:rPr>
          <w:rFonts w:ascii="Arial" w:hAnsi="Arial" w:cs="Arial"/>
        </w:rPr>
        <w:t xml:space="preserve">byly </w:t>
      </w:r>
      <w:r w:rsidR="00EF072F" w:rsidRPr="009F2F32">
        <w:rPr>
          <w:rFonts w:ascii="Arial" w:hAnsi="Arial" w:cs="Arial"/>
        </w:rPr>
        <w:t xml:space="preserve">dále </w:t>
      </w:r>
      <w:r>
        <w:rPr>
          <w:rFonts w:ascii="Arial" w:hAnsi="Arial" w:cs="Arial"/>
        </w:rPr>
        <w:t>zjištěny tyto skutečnosti</w:t>
      </w:r>
      <w:r w:rsidR="00EF072F" w:rsidRPr="009F2F32">
        <w:rPr>
          <w:rFonts w:ascii="Arial" w:hAnsi="Arial" w:cs="Arial"/>
        </w:rPr>
        <w:t>:</w:t>
      </w:r>
    </w:p>
    <w:p w14:paraId="71A5D9AF" w14:textId="6CC3C2E3" w:rsidR="00EF072F" w:rsidRDefault="00EF072F" w:rsidP="00B1103A">
      <w:pPr>
        <w:pStyle w:val="Odstavecseseznamem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9F2F32">
        <w:rPr>
          <w:rFonts w:ascii="Arial" w:hAnsi="Arial" w:cs="Arial"/>
        </w:rPr>
        <w:t xml:space="preserve">CÚ pro Liberecký kraj zjistil majetek postižitelný exekucí (osobní automobil), </w:t>
      </w:r>
      <w:r w:rsidR="00F8245A" w:rsidRPr="009F2F32">
        <w:rPr>
          <w:rFonts w:ascii="Arial" w:hAnsi="Arial" w:cs="Arial"/>
        </w:rPr>
        <w:t xml:space="preserve">přesto </w:t>
      </w:r>
      <w:r w:rsidR="00110BD1" w:rsidRPr="009F2F32">
        <w:rPr>
          <w:rFonts w:ascii="Arial" w:hAnsi="Arial" w:cs="Arial"/>
        </w:rPr>
        <w:t xml:space="preserve">exekuci </w:t>
      </w:r>
      <w:r w:rsidR="00F8245A" w:rsidRPr="009F2F32">
        <w:rPr>
          <w:rFonts w:ascii="Arial" w:hAnsi="Arial" w:cs="Arial"/>
        </w:rPr>
        <w:t xml:space="preserve">neprovedl a nedoplatek </w:t>
      </w:r>
      <w:r w:rsidR="00F10BBA">
        <w:rPr>
          <w:rFonts w:ascii="Arial" w:hAnsi="Arial" w:cs="Arial"/>
        </w:rPr>
        <w:t xml:space="preserve">ve výši 2 000 Kč </w:t>
      </w:r>
      <w:r w:rsidR="00F8245A" w:rsidRPr="009F2F32">
        <w:rPr>
          <w:rFonts w:ascii="Arial" w:hAnsi="Arial" w:cs="Arial"/>
        </w:rPr>
        <w:t>odepsal pro nedobytnost</w:t>
      </w:r>
      <w:r w:rsidR="00A64FC1">
        <w:rPr>
          <w:rFonts w:ascii="Arial" w:hAnsi="Arial" w:cs="Arial"/>
        </w:rPr>
        <w:t>.</w:t>
      </w:r>
    </w:p>
    <w:p w14:paraId="6AC81823" w14:textId="789DE279" w:rsidR="00802D02" w:rsidRDefault="00802D02" w:rsidP="00B1103A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CÚ pro Plzeňský kraj chybně zaznamenal na osobní daňový účet dlužníka PP ve výši 1 000 Kč a tento nedoplatek po dobu cca 1 roku neoprávněně vymáhal. Exekuce byla částečně zastavena pro neoprávně</w:t>
      </w:r>
      <w:r w:rsidR="00A64FC1">
        <w:rPr>
          <w:rFonts w:ascii="Arial" w:hAnsi="Arial" w:cs="Arial"/>
        </w:rPr>
        <w:t>nost teprve v průběhu kontroly</w:t>
      </w:r>
      <w:r w:rsidR="00FD5632">
        <w:rPr>
          <w:rFonts w:ascii="Arial" w:hAnsi="Arial" w:cs="Arial"/>
        </w:rPr>
        <w:t xml:space="preserve"> NKÚ</w:t>
      </w:r>
      <w:r w:rsidR="00A64FC1">
        <w:rPr>
          <w:rFonts w:ascii="Arial" w:hAnsi="Arial" w:cs="Arial"/>
        </w:rPr>
        <w:t>.</w:t>
      </w:r>
    </w:p>
    <w:p w14:paraId="1B67CEB2" w14:textId="416D9E9F" w:rsidR="00802D02" w:rsidRDefault="00802D02" w:rsidP="00B1103A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CÚ pro Plzeňský kraj ve čtyřech případech prekludovaných nedoplatků </w:t>
      </w:r>
      <w:r w:rsidR="00F10BBA">
        <w:rPr>
          <w:rFonts w:ascii="Arial" w:hAnsi="Arial" w:cs="Arial"/>
        </w:rPr>
        <w:t xml:space="preserve">ve výši 1 000 Kč, 5 000 Kč, 4 000 Kč a 16 000 Kč </w:t>
      </w:r>
      <w:r>
        <w:rPr>
          <w:rFonts w:ascii="Arial" w:hAnsi="Arial" w:cs="Arial"/>
        </w:rPr>
        <w:t>nedoložil, že v době jednoho roku před zánikem nedoplatku provedl úkony s</w:t>
      </w:r>
      <w:r w:rsidR="00A64FC1">
        <w:rPr>
          <w:rFonts w:ascii="Arial" w:hAnsi="Arial" w:cs="Arial"/>
        </w:rPr>
        <w:t>měřující k vymožení nedoplatku.</w:t>
      </w:r>
    </w:p>
    <w:p w14:paraId="2EF0D2FB" w14:textId="35EC3361" w:rsidR="00E24648" w:rsidRPr="00B14562" w:rsidRDefault="00E24648" w:rsidP="00B1103A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14562">
        <w:rPr>
          <w:rFonts w:ascii="Arial" w:hAnsi="Arial" w:cs="Arial"/>
        </w:rPr>
        <w:t>CÚ pro Liberecký kraj v jednom případě v srpnu 2012 zjistil zaměstnavatele dlužníka, avšak nepřistoupil k</w:t>
      </w:r>
      <w:r>
        <w:rPr>
          <w:rFonts w:ascii="Arial" w:hAnsi="Arial" w:cs="Arial"/>
        </w:rPr>
        <w:t xml:space="preserve"> daňové </w:t>
      </w:r>
      <w:r w:rsidRPr="00B14562">
        <w:rPr>
          <w:rFonts w:ascii="Arial" w:hAnsi="Arial" w:cs="Arial"/>
        </w:rPr>
        <w:t>exekuci srážkami ze mzdy</w:t>
      </w:r>
      <w:r w:rsidR="00B37FE3">
        <w:rPr>
          <w:rFonts w:ascii="Arial" w:hAnsi="Arial" w:cs="Arial"/>
        </w:rPr>
        <w:t>,</w:t>
      </w:r>
      <w:r w:rsidRPr="00B14562">
        <w:rPr>
          <w:rFonts w:ascii="Arial" w:hAnsi="Arial" w:cs="Arial"/>
        </w:rPr>
        <w:t xml:space="preserve"> a neprovedl tak před zánikem nedoplatku </w:t>
      </w:r>
      <w:r w:rsidR="0002332B">
        <w:rPr>
          <w:rFonts w:ascii="Arial" w:hAnsi="Arial" w:cs="Arial"/>
        </w:rPr>
        <w:t xml:space="preserve">ve výši 3 000 Kč </w:t>
      </w:r>
      <w:r w:rsidRPr="00B14562">
        <w:rPr>
          <w:rFonts w:ascii="Arial" w:hAnsi="Arial" w:cs="Arial"/>
        </w:rPr>
        <w:t>úkon přerušující běh lhůty pro placení daně. Nedoplatek zanikl ke dni 1. 1. 2013.</w:t>
      </w:r>
    </w:p>
    <w:p w14:paraId="6370F54D" w14:textId="2F209AA0" w:rsidR="00E4262B" w:rsidRDefault="00E24648" w:rsidP="00B1103A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4671BA">
        <w:rPr>
          <w:rFonts w:ascii="Arial" w:hAnsi="Arial" w:cs="Arial"/>
        </w:rPr>
        <w:t>CÚ pro Moravskoslezský kraj v roce 2013 rozhodl o zániku nedoplatku</w:t>
      </w:r>
      <w:r w:rsidR="0002332B">
        <w:rPr>
          <w:rFonts w:ascii="Arial" w:hAnsi="Arial" w:cs="Arial"/>
        </w:rPr>
        <w:t xml:space="preserve"> ve výši 6 000 Kč</w:t>
      </w:r>
      <w:r w:rsidRPr="004671BA">
        <w:rPr>
          <w:rFonts w:ascii="Arial" w:hAnsi="Arial" w:cs="Arial"/>
        </w:rPr>
        <w:t>, přestože v roce 2012 zahájil daňovou exekuci srážkami ze mzdy</w:t>
      </w:r>
      <w:r w:rsidR="00B37FE3">
        <w:rPr>
          <w:rFonts w:ascii="Arial" w:hAnsi="Arial" w:cs="Arial"/>
        </w:rPr>
        <w:t>, čímž</w:t>
      </w:r>
      <w:r w:rsidRPr="004671BA">
        <w:rPr>
          <w:rFonts w:ascii="Arial" w:hAnsi="Arial" w:cs="Arial"/>
        </w:rPr>
        <w:t xml:space="preserve"> provedl úkon přerušující běh lhůty pro placení daně. K opravě chybně prekludované pohledávky došlo v průběhu kontroly</w:t>
      </w:r>
      <w:r w:rsidR="00FD5632">
        <w:rPr>
          <w:rFonts w:ascii="Arial" w:hAnsi="Arial" w:cs="Arial"/>
        </w:rPr>
        <w:t xml:space="preserve"> NKÚ</w:t>
      </w:r>
      <w:r w:rsidRPr="004671BA">
        <w:rPr>
          <w:rFonts w:ascii="Arial" w:hAnsi="Arial" w:cs="Arial"/>
        </w:rPr>
        <w:t>.</w:t>
      </w:r>
    </w:p>
    <w:p w14:paraId="739DB047" w14:textId="77777777" w:rsidR="00E4262B" w:rsidRDefault="00E4262B" w:rsidP="00B1103A">
      <w:pPr>
        <w:spacing w:after="0" w:line="240" w:lineRule="auto"/>
        <w:jc w:val="both"/>
        <w:rPr>
          <w:rFonts w:ascii="Arial" w:hAnsi="Arial" w:cs="Arial"/>
        </w:rPr>
      </w:pPr>
    </w:p>
    <w:p w14:paraId="1219337A" w14:textId="77777777" w:rsidR="00B37FE3" w:rsidRDefault="00B37FE3" w:rsidP="00B1103A">
      <w:pPr>
        <w:spacing w:after="0" w:line="240" w:lineRule="auto"/>
        <w:jc w:val="both"/>
        <w:rPr>
          <w:rFonts w:ascii="Arial" w:hAnsi="Arial" w:cs="Arial"/>
        </w:rPr>
      </w:pPr>
    </w:p>
    <w:p w14:paraId="6BD88B56" w14:textId="77777777" w:rsidR="00B37FE3" w:rsidRPr="00E4262B" w:rsidRDefault="00B37FE3" w:rsidP="00B1103A">
      <w:pPr>
        <w:spacing w:after="0" w:line="240" w:lineRule="auto"/>
        <w:jc w:val="both"/>
        <w:rPr>
          <w:rFonts w:ascii="Arial" w:hAnsi="Arial" w:cs="Arial"/>
        </w:rPr>
      </w:pPr>
    </w:p>
    <w:p w14:paraId="4CB2D7E5" w14:textId="08F30296" w:rsidR="007D7E0E" w:rsidRPr="00B1103A" w:rsidRDefault="005C1534" w:rsidP="005C153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6. </w:t>
      </w:r>
      <w:r w:rsidR="009C66F0" w:rsidRPr="00B1103A">
        <w:rPr>
          <w:rFonts w:ascii="Arial" w:hAnsi="Arial" w:cs="Arial"/>
          <w:b/>
        </w:rPr>
        <w:t>Náklady na výkon dělené správy prováděné Celní správou</w:t>
      </w:r>
      <w:r w:rsidR="00B37FE3">
        <w:rPr>
          <w:rFonts w:ascii="Arial" w:hAnsi="Arial" w:cs="Arial"/>
          <w:b/>
        </w:rPr>
        <w:t xml:space="preserve"> ČR</w:t>
      </w:r>
    </w:p>
    <w:p w14:paraId="3F339ABE" w14:textId="77777777" w:rsidR="005C1534" w:rsidRDefault="005C1534" w:rsidP="00B1103A">
      <w:pPr>
        <w:spacing w:after="0" w:line="240" w:lineRule="auto"/>
        <w:jc w:val="both"/>
        <w:rPr>
          <w:rFonts w:ascii="Arial" w:hAnsi="Arial" w:cs="Arial"/>
        </w:rPr>
      </w:pPr>
    </w:p>
    <w:p w14:paraId="67E4B860" w14:textId="5DEC326F" w:rsidR="00F86CF8" w:rsidRDefault="00F86CF8" w:rsidP="00B1103A">
      <w:pPr>
        <w:spacing w:after="0" w:line="240" w:lineRule="auto"/>
        <w:jc w:val="both"/>
        <w:rPr>
          <w:rFonts w:ascii="Arial" w:hAnsi="Arial" w:cs="Arial"/>
        </w:rPr>
      </w:pPr>
      <w:r w:rsidRPr="00F86CF8">
        <w:rPr>
          <w:rFonts w:ascii="Arial" w:hAnsi="Arial" w:cs="Arial"/>
        </w:rPr>
        <w:t xml:space="preserve">GŘC vyčíslilo mzdové náklady na výkon </w:t>
      </w:r>
      <w:r w:rsidR="00364CBB">
        <w:rPr>
          <w:rFonts w:ascii="Arial" w:hAnsi="Arial" w:cs="Arial"/>
        </w:rPr>
        <w:t>dělené správy</w:t>
      </w:r>
      <w:r w:rsidRPr="00F86CF8">
        <w:rPr>
          <w:rFonts w:ascii="Arial" w:hAnsi="Arial" w:cs="Arial"/>
        </w:rPr>
        <w:t xml:space="preserve">, </w:t>
      </w:r>
      <w:r w:rsidR="00364CBB">
        <w:rPr>
          <w:rFonts w:ascii="Arial" w:hAnsi="Arial" w:cs="Arial"/>
        </w:rPr>
        <w:t>vč. povinného pojistného na sociální</w:t>
      </w:r>
      <w:r w:rsidRPr="00F86CF8">
        <w:rPr>
          <w:rFonts w:ascii="Arial" w:hAnsi="Arial" w:cs="Arial"/>
        </w:rPr>
        <w:t xml:space="preserve"> zabezpečení a všeobecné</w:t>
      </w:r>
      <w:r w:rsidR="00B37FE3">
        <w:rPr>
          <w:rFonts w:ascii="Arial" w:hAnsi="Arial" w:cs="Arial"/>
        </w:rPr>
        <w:t>ho</w:t>
      </w:r>
      <w:r w:rsidRPr="00F86CF8">
        <w:rPr>
          <w:rFonts w:ascii="Arial" w:hAnsi="Arial" w:cs="Arial"/>
        </w:rPr>
        <w:t xml:space="preserve"> zd</w:t>
      </w:r>
      <w:r w:rsidR="00364CBB">
        <w:rPr>
          <w:rFonts w:ascii="Arial" w:hAnsi="Arial" w:cs="Arial"/>
        </w:rPr>
        <w:t>ravotní</w:t>
      </w:r>
      <w:r w:rsidR="00B37FE3">
        <w:rPr>
          <w:rFonts w:ascii="Arial" w:hAnsi="Arial" w:cs="Arial"/>
        </w:rPr>
        <w:t>ho</w:t>
      </w:r>
      <w:r w:rsidR="00364CBB">
        <w:rPr>
          <w:rFonts w:ascii="Arial" w:hAnsi="Arial" w:cs="Arial"/>
        </w:rPr>
        <w:t xml:space="preserve"> pojištění, </w:t>
      </w:r>
      <w:r w:rsidR="005274C8">
        <w:rPr>
          <w:rFonts w:ascii="Arial" w:hAnsi="Arial" w:cs="Arial"/>
        </w:rPr>
        <w:t>a tyto náklady</w:t>
      </w:r>
      <w:r w:rsidR="00364CBB">
        <w:rPr>
          <w:rFonts w:ascii="Arial" w:hAnsi="Arial" w:cs="Arial"/>
        </w:rPr>
        <w:t xml:space="preserve"> činily</w:t>
      </w:r>
      <w:r w:rsidR="005274C8">
        <w:rPr>
          <w:rFonts w:ascii="Arial" w:hAnsi="Arial" w:cs="Arial"/>
        </w:rPr>
        <w:t xml:space="preserve"> </w:t>
      </w:r>
      <w:r w:rsidRPr="00F86CF8">
        <w:rPr>
          <w:rFonts w:ascii="Arial" w:hAnsi="Arial" w:cs="Arial"/>
        </w:rPr>
        <w:t>175 504</w:t>
      </w:r>
      <w:r w:rsidR="00364CBB">
        <w:rPr>
          <w:rFonts w:ascii="Arial" w:hAnsi="Arial" w:cs="Arial"/>
        </w:rPr>
        <w:t> 905 </w:t>
      </w:r>
      <w:r w:rsidRPr="00F86CF8">
        <w:rPr>
          <w:rFonts w:ascii="Arial" w:hAnsi="Arial" w:cs="Arial"/>
        </w:rPr>
        <w:t>Kč</w:t>
      </w:r>
      <w:r w:rsidR="00364CBB" w:rsidRPr="00364CBB">
        <w:rPr>
          <w:rFonts w:ascii="Arial" w:hAnsi="Arial" w:cs="Arial"/>
        </w:rPr>
        <w:t xml:space="preserve"> </w:t>
      </w:r>
      <w:r w:rsidR="00364CBB" w:rsidRPr="00F86CF8">
        <w:rPr>
          <w:rFonts w:ascii="Arial" w:hAnsi="Arial" w:cs="Arial"/>
        </w:rPr>
        <w:t>v</w:t>
      </w:r>
      <w:r w:rsidR="005274C8">
        <w:rPr>
          <w:rFonts w:ascii="Arial" w:hAnsi="Arial" w:cs="Arial"/>
        </w:rPr>
        <w:t> </w:t>
      </w:r>
      <w:r w:rsidR="00364CBB" w:rsidRPr="00F86CF8">
        <w:rPr>
          <w:rFonts w:ascii="Arial" w:hAnsi="Arial" w:cs="Arial"/>
        </w:rPr>
        <w:t>roce 2011</w:t>
      </w:r>
      <w:r w:rsidR="00364CBB">
        <w:rPr>
          <w:rFonts w:ascii="Arial" w:hAnsi="Arial" w:cs="Arial"/>
        </w:rPr>
        <w:t xml:space="preserve"> a </w:t>
      </w:r>
      <w:r w:rsidRPr="00F86CF8">
        <w:rPr>
          <w:rFonts w:ascii="Arial" w:hAnsi="Arial" w:cs="Arial"/>
        </w:rPr>
        <w:t>173 198 847 Kč</w:t>
      </w:r>
      <w:r w:rsidR="00364CBB" w:rsidRPr="00364CBB">
        <w:rPr>
          <w:rFonts w:ascii="Arial" w:hAnsi="Arial" w:cs="Arial"/>
        </w:rPr>
        <w:t xml:space="preserve"> </w:t>
      </w:r>
      <w:r w:rsidR="00364CBB" w:rsidRPr="00F86CF8">
        <w:rPr>
          <w:rFonts w:ascii="Arial" w:hAnsi="Arial" w:cs="Arial"/>
        </w:rPr>
        <w:t>v roce 2012</w:t>
      </w:r>
      <w:r w:rsidR="00364CBB">
        <w:rPr>
          <w:rFonts w:ascii="Arial" w:hAnsi="Arial" w:cs="Arial"/>
        </w:rPr>
        <w:t xml:space="preserve">. </w:t>
      </w:r>
      <w:r w:rsidRPr="00F86CF8">
        <w:rPr>
          <w:rFonts w:ascii="Arial" w:hAnsi="Arial" w:cs="Arial"/>
        </w:rPr>
        <w:t xml:space="preserve">Průměrný </w:t>
      </w:r>
      <w:r w:rsidR="002D7CE3">
        <w:rPr>
          <w:rFonts w:ascii="Arial" w:hAnsi="Arial" w:cs="Arial"/>
        </w:rPr>
        <w:t xml:space="preserve">přepočtený </w:t>
      </w:r>
      <w:r w:rsidRPr="00F86CF8">
        <w:rPr>
          <w:rFonts w:ascii="Arial" w:hAnsi="Arial" w:cs="Arial"/>
        </w:rPr>
        <w:t xml:space="preserve">počet zaměstnanců CS, kteří vykonávali </w:t>
      </w:r>
      <w:r w:rsidR="00364CBB">
        <w:rPr>
          <w:rFonts w:ascii="Arial" w:hAnsi="Arial" w:cs="Arial"/>
        </w:rPr>
        <w:t>dělenou správu,</w:t>
      </w:r>
      <w:r w:rsidRPr="00F86CF8">
        <w:rPr>
          <w:rFonts w:ascii="Arial" w:hAnsi="Arial" w:cs="Arial"/>
        </w:rPr>
        <w:t xml:space="preserve"> činil </w:t>
      </w:r>
      <w:r w:rsidR="00364CBB" w:rsidRPr="00F86CF8">
        <w:rPr>
          <w:rFonts w:ascii="Arial" w:hAnsi="Arial" w:cs="Arial"/>
        </w:rPr>
        <w:t>467,75</w:t>
      </w:r>
      <w:r w:rsidR="00364CBB">
        <w:rPr>
          <w:rFonts w:ascii="Arial" w:hAnsi="Arial" w:cs="Arial"/>
        </w:rPr>
        <w:t xml:space="preserve"> </w:t>
      </w:r>
      <w:r w:rsidRPr="00F86CF8">
        <w:rPr>
          <w:rFonts w:ascii="Arial" w:hAnsi="Arial" w:cs="Arial"/>
        </w:rPr>
        <w:t>v roce 2011</w:t>
      </w:r>
      <w:r w:rsidR="00364CBB">
        <w:rPr>
          <w:rFonts w:ascii="Arial" w:hAnsi="Arial" w:cs="Arial"/>
        </w:rPr>
        <w:t xml:space="preserve"> a</w:t>
      </w:r>
      <w:r w:rsidRPr="00F86CF8">
        <w:rPr>
          <w:rFonts w:ascii="Arial" w:hAnsi="Arial" w:cs="Arial"/>
        </w:rPr>
        <w:t xml:space="preserve"> </w:t>
      </w:r>
      <w:r w:rsidR="00364CBB" w:rsidRPr="00F86CF8">
        <w:rPr>
          <w:rFonts w:ascii="Arial" w:hAnsi="Arial" w:cs="Arial"/>
        </w:rPr>
        <w:t>463,42</w:t>
      </w:r>
      <w:r w:rsidR="00364CBB">
        <w:rPr>
          <w:rFonts w:ascii="Arial" w:hAnsi="Arial" w:cs="Arial"/>
        </w:rPr>
        <w:t xml:space="preserve"> v roce 2012</w:t>
      </w:r>
      <w:r w:rsidRPr="00F86CF8">
        <w:rPr>
          <w:rFonts w:ascii="Arial" w:hAnsi="Arial" w:cs="Arial"/>
        </w:rPr>
        <w:t>.</w:t>
      </w:r>
    </w:p>
    <w:p w14:paraId="3E8AD53A" w14:textId="77777777" w:rsidR="005C1534" w:rsidRPr="00F86CF8" w:rsidRDefault="005C1534" w:rsidP="00B1103A">
      <w:pPr>
        <w:spacing w:after="0" w:line="240" w:lineRule="auto"/>
        <w:jc w:val="both"/>
        <w:rPr>
          <w:rFonts w:ascii="Arial" w:hAnsi="Arial" w:cs="Arial"/>
        </w:rPr>
      </w:pPr>
    </w:p>
    <w:p w14:paraId="4C8221C0" w14:textId="68D0E768" w:rsidR="00F86CF8" w:rsidRDefault="00F86CF8" w:rsidP="00B1103A">
      <w:pPr>
        <w:spacing w:after="0" w:line="240" w:lineRule="auto"/>
        <w:jc w:val="both"/>
        <w:rPr>
          <w:rFonts w:ascii="Arial" w:hAnsi="Arial" w:cs="Arial"/>
        </w:rPr>
      </w:pPr>
      <w:r w:rsidRPr="00F86CF8">
        <w:rPr>
          <w:rFonts w:ascii="Arial" w:hAnsi="Arial" w:cs="Arial"/>
        </w:rPr>
        <w:t>GŘC dále vyčíslilo kapitálové výdaje související s pořízením a vývojem softwar</w:t>
      </w:r>
      <w:r w:rsidR="005274C8">
        <w:rPr>
          <w:rFonts w:ascii="Arial" w:hAnsi="Arial" w:cs="Arial"/>
        </w:rPr>
        <w:t>u</w:t>
      </w:r>
      <w:r w:rsidRPr="00F86CF8">
        <w:rPr>
          <w:rFonts w:ascii="Arial" w:hAnsi="Arial" w:cs="Arial"/>
        </w:rPr>
        <w:t xml:space="preserve"> pro výkon DS, které činily v letech 2005–2012 celkem 4 594 000 Kč, a dále běžné výdaje na technickou podporu softwar</w:t>
      </w:r>
      <w:r w:rsidR="005274C8">
        <w:rPr>
          <w:rFonts w:ascii="Arial" w:hAnsi="Arial" w:cs="Arial"/>
        </w:rPr>
        <w:t>u</w:t>
      </w:r>
      <w:r w:rsidRPr="00F86CF8">
        <w:rPr>
          <w:rFonts w:ascii="Arial" w:hAnsi="Arial" w:cs="Arial"/>
        </w:rPr>
        <w:t>, které činily v letech 2006–2012 celkem 16 514 551,60 Kč.</w:t>
      </w:r>
    </w:p>
    <w:p w14:paraId="6F22E2D7" w14:textId="77777777" w:rsidR="005C1534" w:rsidRPr="00F86CF8" w:rsidRDefault="005C1534" w:rsidP="00B1103A">
      <w:pPr>
        <w:spacing w:after="0" w:line="240" w:lineRule="auto"/>
        <w:jc w:val="both"/>
        <w:rPr>
          <w:rFonts w:ascii="Arial" w:hAnsi="Arial" w:cs="Arial"/>
        </w:rPr>
      </w:pPr>
    </w:p>
    <w:p w14:paraId="766A0518" w14:textId="77777777" w:rsidR="00364CBB" w:rsidRDefault="00364CBB" w:rsidP="00B110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Jiné</w:t>
      </w:r>
      <w:r w:rsidR="00F86CF8" w:rsidRPr="00F86CF8">
        <w:rPr>
          <w:rFonts w:ascii="Arial" w:hAnsi="Arial" w:cs="Arial"/>
        </w:rPr>
        <w:t xml:space="preserve"> náklady související s výkonem dělené správy GŘC nevyčíslilo. GŘC uvedlo, že současný ekonomický informační systém neumožňuje sledování nákladů ani běžných výdajů v členění dle jednotlivých agend,</w:t>
      </w:r>
      <w:r>
        <w:rPr>
          <w:rFonts w:ascii="Arial" w:hAnsi="Arial" w:cs="Arial"/>
        </w:rPr>
        <w:t xml:space="preserve"> případně jednotlivých oddělení</w:t>
      </w:r>
      <w:r w:rsidR="00F86CF8" w:rsidRPr="00F86CF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8654AF7" w14:textId="77777777" w:rsidR="005C1534" w:rsidRDefault="005C1534" w:rsidP="00B1103A">
      <w:pPr>
        <w:spacing w:after="0" w:line="240" w:lineRule="auto"/>
        <w:jc w:val="both"/>
        <w:rPr>
          <w:rFonts w:ascii="Arial" w:hAnsi="Arial" w:cs="Arial"/>
        </w:rPr>
      </w:pPr>
    </w:p>
    <w:p w14:paraId="6CA6E488" w14:textId="546B3ACB" w:rsidR="00F86CF8" w:rsidRPr="00F86CF8" w:rsidRDefault="00F86CF8" w:rsidP="00B1103A">
      <w:pPr>
        <w:spacing w:after="0" w:line="240" w:lineRule="auto"/>
        <w:jc w:val="both"/>
        <w:rPr>
          <w:rFonts w:ascii="Arial" w:hAnsi="Arial" w:cs="Arial"/>
        </w:rPr>
      </w:pPr>
      <w:r w:rsidRPr="00F86CF8">
        <w:rPr>
          <w:rFonts w:ascii="Arial" w:hAnsi="Arial" w:cs="Arial"/>
        </w:rPr>
        <w:t xml:space="preserve">GŘC </w:t>
      </w:r>
      <w:r w:rsidR="00364CBB">
        <w:rPr>
          <w:rFonts w:ascii="Arial" w:hAnsi="Arial" w:cs="Arial"/>
        </w:rPr>
        <w:t xml:space="preserve">uvedlo, že nákladovost </w:t>
      </w:r>
      <w:r w:rsidRPr="00F86CF8">
        <w:rPr>
          <w:rFonts w:ascii="Arial" w:hAnsi="Arial" w:cs="Arial"/>
        </w:rPr>
        <w:t xml:space="preserve">související s výkonem dělené správy </w:t>
      </w:r>
      <w:r w:rsidR="00364CBB">
        <w:rPr>
          <w:rFonts w:ascii="Arial" w:hAnsi="Arial" w:cs="Arial"/>
        </w:rPr>
        <w:t xml:space="preserve">doposud </w:t>
      </w:r>
      <w:r w:rsidRPr="00F86CF8">
        <w:rPr>
          <w:rFonts w:ascii="Arial" w:hAnsi="Arial" w:cs="Arial"/>
        </w:rPr>
        <w:t xml:space="preserve">samostatně </w:t>
      </w:r>
      <w:r w:rsidR="00364CBB">
        <w:rPr>
          <w:rFonts w:ascii="Arial" w:hAnsi="Arial" w:cs="Arial"/>
        </w:rPr>
        <w:t>nesledovalo</w:t>
      </w:r>
      <w:r w:rsidRPr="00F86CF8">
        <w:rPr>
          <w:rFonts w:ascii="Arial" w:hAnsi="Arial" w:cs="Arial"/>
        </w:rPr>
        <w:t>. GŘC př</w:t>
      </w:r>
      <w:r w:rsidR="0036654E">
        <w:rPr>
          <w:rFonts w:ascii="Arial" w:hAnsi="Arial" w:cs="Arial"/>
        </w:rPr>
        <w:t>ipravuje sledování nákladovosti</w:t>
      </w:r>
      <w:r w:rsidRPr="00F86CF8">
        <w:rPr>
          <w:rFonts w:ascii="Arial" w:hAnsi="Arial" w:cs="Arial"/>
        </w:rPr>
        <w:t xml:space="preserve"> </w:t>
      </w:r>
      <w:r w:rsidR="0036654E">
        <w:rPr>
          <w:rFonts w:ascii="Arial" w:hAnsi="Arial" w:cs="Arial"/>
        </w:rPr>
        <w:t>se stanovením</w:t>
      </w:r>
      <w:r w:rsidRPr="00F86CF8">
        <w:rPr>
          <w:rFonts w:ascii="Arial" w:hAnsi="Arial" w:cs="Arial"/>
        </w:rPr>
        <w:t xml:space="preserve"> </w:t>
      </w:r>
      <w:r w:rsidR="0036654E">
        <w:rPr>
          <w:rFonts w:ascii="Arial" w:hAnsi="Arial" w:cs="Arial"/>
        </w:rPr>
        <w:t>samostatných</w:t>
      </w:r>
      <w:r w:rsidR="0036654E" w:rsidRPr="00F86CF8">
        <w:rPr>
          <w:rFonts w:ascii="Arial" w:hAnsi="Arial" w:cs="Arial"/>
        </w:rPr>
        <w:t xml:space="preserve"> </w:t>
      </w:r>
      <w:r w:rsidR="0036654E">
        <w:rPr>
          <w:rFonts w:ascii="Arial" w:hAnsi="Arial" w:cs="Arial"/>
        </w:rPr>
        <w:t>ukazatelů</w:t>
      </w:r>
      <w:r w:rsidRPr="00F86CF8">
        <w:rPr>
          <w:rFonts w:ascii="Arial" w:hAnsi="Arial" w:cs="Arial"/>
        </w:rPr>
        <w:t xml:space="preserve"> pro </w:t>
      </w:r>
      <w:r w:rsidR="0036654E">
        <w:rPr>
          <w:rFonts w:ascii="Arial" w:hAnsi="Arial" w:cs="Arial"/>
        </w:rPr>
        <w:t xml:space="preserve">zajištění </w:t>
      </w:r>
      <w:r w:rsidR="00364CBB">
        <w:rPr>
          <w:rFonts w:ascii="Arial" w:hAnsi="Arial" w:cs="Arial"/>
        </w:rPr>
        <w:t>výkon</w:t>
      </w:r>
      <w:r w:rsidR="0036654E">
        <w:rPr>
          <w:rFonts w:ascii="Arial" w:hAnsi="Arial" w:cs="Arial"/>
        </w:rPr>
        <w:t>u</w:t>
      </w:r>
      <w:r w:rsidR="00364CBB">
        <w:rPr>
          <w:rFonts w:ascii="Arial" w:hAnsi="Arial" w:cs="Arial"/>
        </w:rPr>
        <w:t xml:space="preserve"> dělené správy</w:t>
      </w:r>
      <w:r w:rsidR="00BC337F">
        <w:rPr>
          <w:rFonts w:ascii="Arial" w:hAnsi="Arial" w:cs="Arial"/>
        </w:rPr>
        <w:t>.</w:t>
      </w:r>
    </w:p>
    <w:p w14:paraId="37977E77" w14:textId="77777777" w:rsidR="007D7E0E" w:rsidRDefault="007D7E0E" w:rsidP="00B1103A">
      <w:pPr>
        <w:spacing w:after="0" w:line="240" w:lineRule="auto"/>
        <w:jc w:val="both"/>
        <w:rPr>
          <w:rFonts w:ascii="Arial" w:hAnsi="Arial" w:cs="Arial"/>
        </w:rPr>
      </w:pPr>
    </w:p>
    <w:p w14:paraId="217E94FD" w14:textId="77777777" w:rsidR="00CA7984" w:rsidRPr="007D7E0E" w:rsidRDefault="00CA7984" w:rsidP="00B1103A">
      <w:pPr>
        <w:spacing w:after="0" w:line="240" w:lineRule="auto"/>
        <w:jc w:val="both"/>
        <w:rPr>
          <w:rFonts w:ascii="Arial" w:hAnsi="Arial" w:cs="Arial"/>
        </w:rPr>
      </w:pPr>
    </w:p>
    <w:p w14:paraId="123E0DCA" w14:textId="77369645" w:rsidR="000B46D7" w:rsidRPr="002D31DD" w:rsidRDefault="00BA3310" w:rsidP="007665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D31DD">
        <w:rPr>
          <w:rFonts w:ascii="Arial" w:hAnsi="Arial" w:cs="Arial"/>
          <w:b/>
          <w:sz w:val="24"/>
          <w:szCs w:val="24"/>
        </w:rPr>
        <w:t xml:space="preserve">III. </w:t>
      </w:r>
      <w:r w:rsidR="00F4086E">
        <w:rPr>
          <w:rFonts w:ascii="Arial" w:hAnsi="Arial" w:cs="Arial"/>
          <w:b/>
          <w:sz w:val="24"/>
          <w:szCs w:val="24"/>
        </w:rPr>
        <w:t xml:space="preserve">Shrnutí, </w:t>
      </w:r>
      <w:r w:rsidR="00FA3A86" w:rsidRPr="002D31DD">
        <w:rPr>
          <w:rFonts w:ascii="Arial" w:hAnsi="Arial" w:cs="Arial"/>
          <w:b/>
          <w:sz w:val="24"/>
          <w:szCs w:val="24"/>
        </w:rPr>
        <w:t>v</w:t>
      </w:r>
      <w:r w:rsidR="00743EF0" w:rsidRPr="002D31DD">
        <w:rPr>
          <w:rFonts w:ascii="Arial" w:hAnsi="Arial" w:cs="Arial"/>
          <w:b/>
          <w:sz w:val="24"/>
          <w:szCs w:val="24"/>
        </w:rPr>
        <w:t>yhodnocení</w:t>
      </w:r>
      <w:r w:rsidR="00F4086E">
        <w:rPr>
          <w:rFonts w:ascii="Arial" w:hAnsi="Arial" w:cs="Arial"/>
          <w:b/>
          <w:sz w:val="24"/>
          <w:szCs w:val="24"/>
        </w:rPr>
        <w:t xml:space="preserve"> a doporučení</w:t>
      </w:r>
    </w:p>
    <w:p w14:paraId="123E0DCB" w14:textId="77777777" w:rsidR="00E6100A" w:rsidRPr="00E6100A" w:rsidRDefault="00E6100A" w:rsidP="00766597">
      <w:pPr>
        <w:spacing w:after="0" w:line="240" w:lineRule="auto"/>
        <w:jc w:val="center"/>
        <w:rPr>
          <w:rFonts w:ascii="Arial" w:hAnsi="Arial" w:cs="Arial"/>
          <w:b/>
        </w:rPr>
      </w:pPr>
    </w:p>
    <w:p w14:paraId="123E0DDE" w14:textId="10436C3E" w:rsidR="004447E0" w:rsidRDefault="003738C8" w:rsidP="00B1103A">
      <w:pPr>
        <w:spacing w:after="0" w:line="240" w:lineRule="auto"/>
        <w:jc w:val="both"/>
        <w:rPr>
          <w:rFonts w:ascii="Arial" w:hAnsi="Arial" w:cs="Arial"/>
        </w:rPr>
      </w:pPr>
      <w:r w:rsidRPr="00E61E19">
        <w:rPr>
          <w:rFonts w:ascii="Arial" w:hAnsi="Arial" w:cs="Arial"/>
        </w:rPr>
        <w:t>V</w:t>
      </w:r>
      <w:r w:rsidR="0059400D">
        <w:rPr>
          <w:rFonts w:ascii="Arial" w:hAnsi="Arial" w:cs="Arial"/>
        </w:rPr>
        <w:t> dělené správě</w:t>
      </w:r>
      <w:r w:rsidR="004C34BF">
        <w:rPr>
          <w:rFonts w:ascii="Arial" w:hAnsi="Arial" w:cs="Arial"/>
        </w:rPr>
        <w:t xml:space="preserve"> v </w:t>
      </w:r>
      <w:r w:rsidRPr="00E61E19">
        <w:rPr>
          <w:rFonts w:ascii="Arial" w:hAnsi="Arial" w:cs="Arial"/>
        </w:rPr>
        <w:t>případě ukladatelů PP, kterými jsou obce, je problematická otázka příslušnosti k vybírání a vymáhání PP. Vzniká otázka, zda je ke správě place</w:t>
      </w:r>
      <w:r w:rsidR="0059400D">
        <w:rPr>
          <w:rFonts w:ascii="Arial" w:hAnsi="Arial" w:cs="Arial"/>
        </w:rPr>
        <w:t>ní (vymáhání) PP příslušná obec</w:t>
      </w:r>
      <w:r w:rsidR="005274C8">
        <w:rPr>
          <w:rFonts w:ascii="Arial" w:hAnsi="Arial" w:cs="Arial"/>
        </w:rPr>
        <w:t>,</w:t>
      </w:r>
      <w:r w:rsidRPr="00E61E19">
        <w:rPr>
          <w:rFonts w:ascii="Arial" w:hAnsi="Arial" w:cs="Arial"/>
        </w:rPr>
        <w:t xml:space="preserve"> nebo obecný správce daně (CÚ). </w:t>
      </w:r>
      <w:r w:rsidRPr="00743F08">
        <w:rPr>
          <w:rFonts w:ascii="Arial" w:hAnsi="Arial" w:cs="Arial"/>
          <w:b/>
        </w:rPr>
        <w:t>Určení, zda je konkrétní PP předmětem dělené správy</w:t>
      </w:r>
      <w:r w:rsidR="005274C8">
        <w:rPr>
          <w:rFonts w:ascii="Arial" w:hAnsi="Arial" w:cs="Arial"/>
          <w:b/>
        </w:rPr>
        <w:t>,</w:t>
      </w:r>
      <w:r w:rsidRPr="00743F08">
        <w:rPr>
          <w:rFonts w:ascii="Arial" w:hAnsi="Arial" w:cs="Arial"/>
          <w:b/>
        </w:rPr>
        <w:t xml:space="preserve"> či nikoliv</w:t>
      </w:r>
      <w:r w:rsidR="009675FD" w:rsidRPr="00743F08">
        <w:rPr>
          <w:rFonts w:ascii="Arial" w:hAnsi="Arial" w:cs="Arial"/>
          <w:b/>
        </w:rPr>
        <w:t>,</w:t>
      </w:r>
      <w:r w:rsidRPr="00743F08">
        <w:rPr>
          <w:rFonts w:ascii="Arial" w:hAnsi="Arial" w:cs="Arial"/>
          <w:b/>
        </w:rPr>
        <w:t xml:space="preserve"> je zásadní</w:t>
      </w:r>
      <w:r w:rsidR="0040618A" w:rsidRPr="00743F08">
        <w:rPr>
          <w:rFonts w:ascii="Arial" w:hAnsi="Arial" w:cs="Arial"/>
          <w:b/>
        </w:rPr>
        <w:t>,</w:t>
      </w:r>
      <w:r w:rsidRPr="00743F08">
        <w:rPr>
          <w:rFonts w:ascii="Arial" w:hAnsi="Arial" w:cs="Arial"/>
          <w:b/>
        </w:rPr>
        <w:t xml:space="preserve"> neboť zákonodárce stanovil pro výkon dělené správy určitá pravidla</w:t>
      </w:r>
      <w:r w:rsidRPr="00B1103A">
        <w:rPr>
          <w:rFonts w:ascii="Arial" w:hAnsi="Arial" w:cs="Arial"/>
          <w:b/>
        </w:rPr>
        <w:t>,</w:t>
      </w:r>
      <w:r w:rsidRPr="00E61E19">
        <w:rPr>
          <w:rFonts w:ascii="Arial" w:hAnsi="Arial" w:cs="Arial"/>
        </w:rPr>
        <w:t xml:space="preserve"> která je nutné dodržovat za účelem realizace efektivního výkonu správy placení PP.</w:t>
      </w:r>
      <w:r w:rsidR="00E61E19" w:rsidRPr="00E61E19">
        <w:rPr>
          <w:rFonts w:ascii="Arial" w:hAnsi="Arial" w:cs="Arial"/>
        </w:rPr>
        <w:t xml:space="preserve"> Kontrola NKÚ zjistila, že v některých případech </w:t>
      </w:r>
      <w:r w:rsidR="005274C8" w:rsidRPr="00743F08">
        <w:rPr>
          <w:rFonts w:ascii="Arial" w:hAnsi="Arial" w:cs="Arial"/>
          <w:b/>
        </w:rPr>
        <w:t xml:space="preserve">CÚ </w:t>
      </w:r>
      <w:r w:rsidR="005274C8">
        <w:rPr>
          <w:rFonts w:ascii="Arial" w:hAnsi="Arial" w:cs="Arial"/>
          <w:b/>
        </w:rPr>
        <w:t xml:space="preserve">a obce jakožto </w:t>
      </w:r>
      <w:r w:rsidR="00E61E19" w:rsidRPr="00743F08">
        <w:rPr>
          <w:rFonts w:ascii="Arial" w:hAnsi="Arial" w:cs="Arial"/>
          <w:b/>
        </w:rPr>
        <w:t>ukladatelé</w:t>
      </w:r>
      <w:r w:rsidR="005274C8">
        <w:rPr>
          <w:rFonts w:ascii="Arial" w:hAnsi="Arial" w:cs="Arial"/>
          <w:b/>
        </w:rPr>
        <w:t xml:space="preserve"> </w:t>
      </w:r>
      <w:r w:rsidR="00E61E19" w:rsidRPr="00743F08">
        <w:rPr>
          <w:rFonts w:ascii="Arial" w:hAnsi="Arial" w:cs="Arial"/>
          <w:b/>
        </w:rPr>
        <w:t>nepostupovaly jednotně při posuzování, zda je konkrétní PP předmětem dělené správy</w:t>
      </w:r>
      <w:r w:rsidR="005274C8">
        <w:rPr>
          <w:rFonts w:ascii="Arial" w:hAnsi="Arial" w:cs="Arial"/>
          <w:b/>
        </w:rPr>
        <w:t>,</w:t>
      </w:r>
      <w:r w:rsidR="00E61E19" w:rsidRPr="00743F08">
        <w:rPr>
          <w:rFonts w:ascii="Arial" w:hAnsi="Arial" w:cs="Arial"/>
          <w:b/>
        </w:rPr>
        <w:t xml:space="preserve"> či nikoliv</w:t>
      </w:r>
      <w:r w:rsidR="00E61E19" w:rsidRPr="00B1103A">
        <w:rPr>
          <w:rFonts w:ascii="Arial" w:hAnsi="Arial" w:cs="Arial"/>
          <w:b/>
        </w:rPr>
        <w:t>.</w:t>
      </w:r>
    </w:p>
    <w:p w14:paraId="50F9BF1F" w14:textId="77777777" w:rsidR="005C1534" w:rsidRDefault="005C1534" w:rsidP="00B1103A">
      <w:pPr>
        <w:spacing w:after="0" w:line="240" w:lineRule="auto"/>
        <w:jc w:val="both"/>
        <w:rPr>
          <w:rFonts w:ascii="Arial" w:hAnsi="Arial" w:cs="Arial"/>
        </w:rPr>
      </w:pPr>
    </w:p>
    <w:p w14:paraId="67BC17F5" w14:textId="1802F96E" w:rsidR="003F60B0" w:rsidRDefault="005E68B8" w:rsidP="00B1103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Evidence peněžitých plnění u ukladatel</w:t>
      </w:r>
      <w:r w:rsidR="00C644ED">
        <w:rPr>
          <w:rFonts w:ascii="Arial" w:hAnsi="Arial" w:cs="Arial"/>
        </w:rPr>
        <w:t>ů těchto plnění nepodléhá žádné</w:t>
      </w:r>
      <w:r>
        <w:rPr>
          <w:rFonts w:ascii="Arial" w:hAnsi="Arial" w:cs="Arial"/>
        </w:rPr>
        <w:t xml:space="preserve"> </w:t>
      </w:r>
      <w:r w:rsidR="00C644ED">
        <w:rPr>
          <w:rFonts w:ascii="Arial" w:hAnsi="Arial" w:cs="Arial"/>
        </w:rPr>
        <w:t>právní úpravě</w:t>
      </w:r>
      <w:r w:rsidR="005274C8">
        <w:rPr>
          <w:rFonts w:ascii="Arial" w:hAnsi="Arial" w:cs="Arial"/>
        </w:rPr>
        <w:t>,</w:t>
      </w:r>
      <w:r w:rsidR="00C644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zákonná úprava </w:t>
      </w:r>
      <w:r w:rsidR="0038645B">
        <w:rPr>
          <w:rFonts w:ascii="Arial" w:hAnsi="Arial" w:cs="Arial"/>
        </w:rPr>
        <w:t>po</w:t>
      </w:r>
      <w:r w:rsidR="00C644ED">
        <w:rPr>
          <w:rFonts w:ascii="Arial" w:hAnsi="Arial" w:cs="Arial"/>
        </w:rPr>
        <w:t>dle DŘ se nepoužije</w:t>
      </w:r>
      <w:r>
        <w:rPr>
          <w:rFonts w:ascii="Arial" w:hAnsi="Arial" w:cs="Arial"/>
        </w:rPr>
        <w:t>.</w:t>
      </w:r>
      <w:r w:rsidRPr="00592F1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Kontrola NKÚ zjistila nedostatky v evidenci PP, které spočívaly například v duplicitně vykazovaných PP nebo zjištění, že PP vykazované jako předané obecnému správci daně ve skutečnosti předáno nebylo.</w:t>
      </w:r>
    </w:p>
    <w:p w14:paraId="1825D67D" w14:textId="77777777" w:rsidR="005C1534" w:rsidRDefault="005C1534" w:rsidP="00B1103A">
      <w:pPr>
        <w:spacing w:after="0" w:line="240" w:lineRule="auto"/>
        <w:jc w:val="both"/>
        <w:rPr>
          <w:rFonts w:ascii="Arial" w:hAnsi="Arial" w:cs="Arial"/>
          <w:bCs/>
        </w:rPr>
      </w:pPr>
    </w:p>
    <w:p w14:paraId="0B573D0C" w14:textId="60AD4988" w:rsidR="003F60B0" w:rsidRDefault="003F60B0" w:rsidP="00B1103A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Kontrola NKÚ zjistila nedostatky při účtování o PP. </w:t>
      </w:r>
      <w:r w:rsidRPr="008A20C7">
        <w:rPr>
          <w:rFonts w:ascii="Arial" w:hAnsi="Arial" w:cs="Arial"/>
          <w:bCs/>
        </w:rPr>
        <w:t xml:space="preserve">SVS </w:t>
      </w:r>
      <w:r>
        <w:rPr>
          <w:rFonts w:ascii="Arial" w:hAnsi="Arial" w:cs="Arial"/>
          <w:bCs/>
        </w:rPr>
        <w:t xml:space="preserve">například </w:t>
      </w:r>
      <w:r w:rsidRPr="008A20C7">
        <w:rPr>
          <w:rFonts w:ascii="Arial" w:hAnsi="Arial" w:cs="Arial"/>
          <w:bCs/>
        </w:rPr>
        <w:t>neúčtovala o všech PP, která uložila</w:t>
      </w:r>
      <w:r>
        <w:rPr>
          <w:rFonts w:ascii="Arial" w:hAnsi="Arial" w:cs="Arial"/>
          <w:bCs/>
        </w:rPr>
        <w:t>, a její účetnictví tak nebylo úplné a správné</w:t>
      </w:r>
      <w:r w:rsidRPr="008A20C7">
        <w:rPr>
          <w:rFonts w:ascii="Arial" w:hAnsi="Arial" w:cs="Arial"/>
          <w:bCs/>
        </w:rPr>
        <w:t xml:space="preserve">. </w:t>
      </w:r>
      <w:r w:rsidR="00114FF6" w:rsidRPr="00743F08">
        <w:rPr>
          <w:rFonts w:ascii="Arial" w:hAnsi="Arial" w:cs="Arial"/>
          <w:b/>
          <w:bCs/>
        </w:rPr>
        <w:t>Z kontrolovaného vzorku v celkové výši 2 137 123,59 Kč SVS neúčtovala o PP ve výši 1 392 582,75 Kč, což představovalo 65,16 % hodnoty kontrolovaného vzorku.</w:t>
      </w:r>
    </w:p>
    <w:p w14:paraId="7EA24529" w14:textId="77777777" w:rsidR="005C1534" w:rsidRDefault="005C1534" w:rsidP="00B1103A">
      <w:pPr>
        <w:spacing w:after="0" w:line="240" w:lineRule="auto"/>
        <w:jc w:val="both"/>
        <w:rPr>
          <w:rFonts w:ascii="Arial" w:hAnsi="Arial" w:cs="Arial"/>
          <w:bCs/>
        </w:rPr>
      </w:pPr>
    </w:p>
    <w:p w14:paraId="1A7FCD64" w14:textId="560ADC6E" w:rsidR="003F60B0" w:rsidRDefault="00F94054" w:rsidP="00B1103A">
      <w:pPr>
        <w:spacing w:after="0" w:line="240" w:lineRule="auto"/>
        <w:jc w:val="both"/>
        <w:rPr>
          <w:rFonts w:ascii="Arial" w:hAnsi="Arial" w:cs="Arial"/>
          <w:bCs/>
        </w:rPr>
      </w:pPr>
      <w:r w:rsidRPr="00F94054">
        <w:rPr>
          <w:rFonts w:ascii="Arial" w:hAnsi="Arial" w:cs="Arial"/>
          <w:bCs/>
        </w:rPr>
        <w:t xml:space="preserve">Zákonná úprava podmínek výkonu dělené správy </w:t>
      </w:r>
      <w:r>
        <w:rPr>
          <w:rFonts w:ascii="Arial" w:hAnsi="Arial" w:cs="Arial"/>
          <w:bCs/>
        </w:rPr>
        <w:t xml:space="preserve">obsažená v DŘ </w:t>
      </w:r>
      <w:r w:rsidRPr="00F94054">
        <w:rPr>
          <w:rFonts w:ascii="Arial" w:hAnsi="Arial" w:cs="Arial"/>
          <w:bCs/>
        </w:rPr>
        <w:t xml:space="preserve">je problematická. </w:t>
      </w:r>
      <w:r w:rsidRPr="00071192">
        <w:rPr>
          <w:rFonts w:ascii="Arial" w:hAnsi="Arial" w:cs="Arial"/>
          <w:b/>
          <w:bCs/>
        </w:rPr>
        <w:t>V případě předávání správy vymáhání PP není podle ustanovení § 162 odst. 2 DŘ jednoznačné, zda zákonodárce stanovil pro předávání nezbytných údajů o PP pořádkovou lhůtu 30 dnů</w:t>
      </w:r>
      <w:r w:rsidR="005274C8">
        <w:rPr>
          <w:rFonts w:ascii="Arial" w:hAnsi="Arial" w:cs="Arial"/>
          <w:b/>
          <w:bCs/>
        </w:rPr>
        <w:t>,</w:t>
      </w:r>
      <w:r w:rsidRPr="00071192">
        <w:rPr>
          <w:rFonts w:ascii="Arial" w:hAnsi="Arial" w:cs="Arial"/>
          <w:b/>
          <w:bCs/>
        </w:rPr>
        <w:t xml:space="preserve"> či nikoliv.</w:t>
      </w:r>
      <w:r>
        <w:rPr>
          <w:rFonts w:ascii="Arial" w:hAnsi="Arial" w:cs="Arial"/>
          <w:bCs/>
        </w:rPr>
        <w:t xml:space="preserve"> </w:t>
      </w:r>
      <w:r w:rsidR="009D004E" w:rsidRPr="009D004E">
        <w:rPr>
          <w:rFonts w:ascii="Arial" w:hAnsi="Arial" w:cs="Arial"/>
        </w:rPr>
        <w:t xml:space="preserve">Někteří ukladatelé a část odborné veřejnosti vykládají </w:t>
      </w:r>
      <w:r w:rsidR="005274C8">
        <w:rPr>
          <w:rFonts w:ascii="Arial" w:hAnsi="Arial" w:cs="Arial"/>
        </w:rPr>
        <w:t>toto</w:t>
      </w:r>
      <w:r w:rsidR="005274C8" w:rsidRPr="009D004E">
        <w:rPr>
          <w:rFonts w:ascii="Arial" w:hAnsi="Arial" w:cs="Arial"/>
        </w:rPr>
        <w:t xml:space="preserve"> </w:t>
      </w:r>
      <w:r w:rsidR="009D004E" w:rsidRPr="009D004E">
        <w:rPr>
          <w:rFonts w:ascii="Arial" w:hAnsi="Arial" w:cs="Arial"/>
        </w:rPr>
        <w:t>ustanovení zákona tak, že pořádková lhůta není zákonem stanovena.</w:t>
      </w:r>
    </w:p>
    <w:p w14:paraId="3244283C" w14:textId="77777777" w:rsidR="005C1534" w:rsidRDefault="005C1534" w:rsidP="00B1103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5DA0CCD" w14:textId="41409694" w:rsidR="00F94054" w:rsidRDefault="00F94054" w:rsidP="00B1103A">
      <w:pPr>
        <w:spacing w:after="0" w:line="240" w:lineRule="auto"/>
        <w:jc w:val="both"/>
        <w:rPr>
          <w:rFonts w:ascii="Arial" w:hAnsi="Arial" w:cs="Arial"/>
          <w:bCs/>
        </w:rPr>
      </w:pPr>
      <w:r w:rsidRPr="00071192">
        <w:rPr>
          <w:rFonts w:ascii="Arial" w:hAnsi="Arial" w:cs="Arial"/>
          <w:b/>
          <w:bCs/>
        </w:rPr>
        <w:t xml:space="preserve">Ukladatelé předávali údaje o PP obecnému správci daně se značným </w:t>
      </w:r>
      <w:r w:rsidR="001C20B9" w:rsidRPr="00071192">
        <w:rPr>
          <w:rFonts w:ascii="Arial" w:hAnsi="Arial" w:cs="Arial"/>
          <w:b/>
          <w:bCs/>
        </w:rPr>
        <w:t>zpožděním</w:t>
      </w:r>
      <w:r w:rsidRPr="00B1103A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Cs/>
        </w:rPr>
        <w:t xml:space="preserve"> Z kontrolovaného vzorku </w:t>
      </w:r>
      <w:r w:rsidR="00D22012">
        <w:rPr>
          <w:rFonts w:ascii="Arial" w:hAnsi="Arial" w:cs="Arial"/>
        </w:rPr>
        <w:t>v hodnotě 16 605 910,79 Kč</w:t>
      </w:r>
      <w:r w:rsidR="00D2201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nepředali ukladatelé údaje o PP v 72,88 % případů </w:t>
      </w:r>
      <w:r w:rsidR="00D22012">
        <w:rPr>
          <w:rFonts w:ascii="Arial" w:hAnsi="Arial" w:cs="Arial"/>
        </w:rPr>
        <w:t>v hodnotě 9 930 861,32 Kč</w:t>
      </w:r>
      <w:r w:rsidR="00D2201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do 30 dnů ode dne </w:t>
      </w:r>
      <w:r w:rsidR="00934968">
        <w:rPr>
          <w:rFonts w:ascii="Arial" w:hAnsi="Arial" w:cs="Arial"/>
          <w:bCs/>
        </w:rPr>
        <w:t xml:space="preserve">nabytí </w:t>
      </w:r>
      <w:r>
        <w:rPr>
          <w:rFonts w:ascii="Arial" w:hAnsi="Arial" w:cs="Arial"/>
          <w:bCs/>
        </w:rPr>
        <w:t xml:space="preserve">právní moci rozhodnutí </w:t>
      </w:r>
      <w:r w:rsidR="004F32FF">
        <w:rPr>
          <w:rFonts w:ascii="Arial" w:hAnsi="Arial" w:cs="Arial"/>
          <w:bCs/>
        </w:rPr>
        <w:t xml:space="preserve">tak, jak stanoví DŘ </w:t>
      </w:r>
      <w:r w:rsidR="001C20B9">
        <w:rPr>
          <w:rFonts w:ascii="Arial" w:hAnsi="Arial" w:cs="Arial"/>
          <w:bCs/>
        </w:rPr>
        <w:t>(předání správy placení)</w:t>
      </w:r>
      <w:r w:rsidR="001800D5">
        <w:rPr>
          <w:rFonts w:ascii="Arial" w:hAnsi="Arial" w:cs="Arial"/>
          <w:bCs/>
        </w:rPr>
        <w:t>,</w:t>
      </w:r>
      <w:r w:rsidR="001C20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či </w:t>
      </w:r>
      <w:r w:rsidR="001800D5">
        <w:rPr>
          <w:rFonts w:ascii="Arial" w:hAnsi="Arial" w:cs="Arial"/>
          <w:bCs/>
        </w:rPr>
        <w:t xml:space="preserve">do 30 dnů </w:t>
      </w:r>
      <w:r w:rsidR="001C20B9">
        <w:rPr>
          <w:rFonts w:ascii="Arial" w:hAnsi="Arial" w:cs="Arial"/>
          <w:bCs/>
        </w:rPr>
        <w:t xml:space="preserve">po marném uplynutí lhůty splatnosti (předání správy vymáhání). Výjimkou nebyly případy předávání údajů o PP rok či dva </w:t>
      </w:r>
      <w:r w:rsidR="00BB4E63">
        <w:rPr>
          <w:rFonts w:ascii="Arial" w:hAnsi="Arial" w:cs="Arial"/>
          <w:bCs/>
        </w:rPr>
        <w:t>od</w:t>
      </w:r>
      <w:r w:rsidR="001C20B9">
        <w:rPr>
          <w:rFonts w:ascii="Arial" w:hAnsi="Arial" w:cs="Arial"/>
          <w:bCs/>
        </w:rPr>
        <w:t xml:space="preserve"> uložení platební povinnosti.</w:t>
      </w:r>
    </w:p>
    <w:p w14:paraId="7BC866AD" w14:textId="77777777" w:rsidR="005C1534" w:rsidRPr="00F94054" w:rsidRDefault="005C1534" w:rsidP="00B1103A">
      <w:pPr>
        <w:spacing w:after="0" w:line="240" w:lineRule="auto"/>
        <w:jc w:val="both"/>
        <w:rPr>
          <w:rFonts w:ascii="Arial" w:hAnsi="Arial" w:cs="Arial"/>
          <w:bCs/>
        </w:rPr>
      </w:pPr>
    </w:p>
    <w:p w14:paraId="1B3B9F7F" w14:textId="4F3E4B77" w:rsidR="005E68B8" w:rsidRDefault="00A161DD" w:rsidP="00EB43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NKÚ identifikoval </w:t>
      </w:r>
      <w:r w:rsidRPr="00071192">
        <w:rPr>
          <w:rFonts w:ascii="Arial" w:hAnsi="Arial" w:cs="Arial"/>
          <w:b/>
        </w:rPr>
        <w:t>problémy v případech, kdy</w:t>
      </w:r>
      <w:r w:rsidRPr="00071192">
        <w:rPr>
          <w:rFonts w:ascii="Arial" w:hAnsi="Arial" w:cs="Arial"/>
          <w:b/>
          <w:bCs/>
        </w:rPr>
        <w:t xml:space="preserve"> ukladatel předal správu placení či správu vymáhání PP obecnému správci daně a poté dlužník uhradil PP ukladateli</w:t>
      </w:r>
      <w:r w:rsidRPr="00BC10F9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SVS například v některých případech </w:t>
      </w:r>
      <w:r>
        <w:rPr>
          <w:rFonts w:ascii="Arial" w:hAnsi="Arial" w:cs="Arial"/>
        </w:rPr>
        <w:t>vracela úhradu PP dlužníkovi, aniž by o této skutečnosti informovala příslušný CÚ.</w:t>
      </w:r>
    </w:p>
    <w:p w14:paraId="5217F5BB" w14:textId="77777777" w:rsidR="005C1534" w:rsidRDefault="005C1534" w:rsidP="00B1103A">
      <w:pPr>
        <w:spacing w:after="0" w:line="240" w:lineRule="auto"/>
        <w:jc w:val="both"/>
        <w:rPr>
          <w:rFonts w:ascii="Arial" w:hAnsi="Arial" w:cs="Arial"/>
          <w:b/>
        </w:rPr>
      </w:pPr>
    </w:p>
    <w:p w14:paraId="5FEEC006" w14:textId="79B740BF" w:rsidR="0072741F" w:rsidRPr="006A4BBF" w:rsidRDefault="00D17BD7" w:rsidP="00B1103A">
      <w:pPr>
        <w:spacing w:after="0" w:line="240" w:lineRule="auto"/>
        <w:jc w:val="both"/>
        <w:rPr>
          <w:rFonts w:ascii="Arial" w:hAnsi="Arial" w:cs="Arial"/>
        </w:rPr>
      </w:pPr>
      <w:r w:rsidRPr="00071192">
        <w:rPr>
          <w:rFonts w:ascii="Arial" w:hAnsi="Arial" w:cs="Arial"/>
          <w:b/>
        </w:rPr>
        <w:t xml:space="preserve">Pro postup, kdy obce žádají o provedení exekuce obecného správce daně ve smyslu § 106 </w:t>
      </w:r>
      <w:r w:rsidR="0059400D">
        <w:rPr>
          <w:rFonts w:ascii="Arial" w:hAnsi="Arial" w:cs="Arial"/>
          <w:b/>
        </w:rPr>
        <w:t xml:space="preserve">odst. 2 </w:t>
      </w:r>
      <w:r w:rsidRPr="00071192">
        <w:rPr>
          <w:rFonts w:ascii="Arial" w:hAnsi="Arial" w:cs="Arial"/>
          <w:b/>
        </w:rPr>
        <w:t>SŘ (postup mimo dělenou správu)</w:t>
      </w:r>
      <w:r w:rsidR="009675FD" w:rsidRPr="00071192">
        <w:rPr>
          <w:rFonts w:ascii="Arial" w:hAnsi="Arial" w:cs="Arial"/>
          <w:b/>
        </w:rPr>
        <w:t>,</w:t>
      </w:r>
      <w:r w:rsidRPr="00071192">
        <w:rPr>
          <w:rFonts w:ascii="Arial" w:hAnsi="Arial" w:cs="Arial"/>
          <w:b/>
        </w:rPr>
        <w:t xml:space="preserve"> neexistují žádná zákonná </w:t>
      </w:r>
      <w:r w:rsidRPr="00F4086E">
        <w:rPr>
          <w:rFonts w:ascii="Arial" w:hAnsi="Arial" w:cs="Arial"/>
          <w:b/>
        </w:rPr>
        <w:t>pravidla</w:t>
      </w:r>
      <w:r w:rsidR="0088662F">
        <w:rPr>
          <w:rFonts w:ascii="Arial" w:hAnsi="Arial" w:cs="Arial"/>
          <w:b/>
        </w:rPr>
        <w:t>. Obce žádaly</w:t>
      </w:r>
      <w:r w:rsidRPr="00F4086E">
        <w:rPr>
          <w:rFonts w:ascii="Arial" w:hAnsi="Arial" w:cs="Arial"/>
          <w:b/>
        </w:rPr>
        <w:t xml:space="preserve"> CS o vymáhání prakticky nedobytných pohledávek či </w:t>
      </w:r>
      <w:r w:rsidR="006A4BBF" w:rsidRPr="00F4086E">
        <w:rPr>
          <w:rFonts w:ascii="Arial" w:hAnsi="Arial" w:cs="Arial"/>
          <w:b/>
        </w:rPr>
        <w:t xml:space="preserve">nedoplatků </w:t>
      </w:r>
      <w:r w:rsidRPr="00F4086E">
        <w:rPr>
          <w:rFonts w:ascii="Arial" w:hAnsi="Arial" w:cs="Arial"/>
          <w:b/>
        </w:rPr>
        <w:t>zanedbatelné hodnoty v řádech stovek korun.</w:t>
      </w:r>
      <w:r w:rsidRPr="006A4BBF">
        <w:rPr>
          <w:rFonts w:ascii="Arial" w:hAnsi="Arial" w:cs="Arial"/>
        </w:rPr>
        <w:t xml:space="preserve"> </w:t>
      </w:r>
      <w:r w:rsidR="00624B6B">
        <w:rPr>
          <w:rFonts w:ascii="Arial" w:hAnsi="Arial" w:cs="Arial"/>
        </w:rPr>
        <w:t>Obce často žádaly</w:t>
      </w:r>
      <w:r w:rsidR="006A4BBF" w:rsidRPr="006A4BBF">
        <w:rPr>
          <w:rFonts w:ascii="Arial" w:hAnsi="Arial" w:cs="Arial"/>
        </w:rPr>
        <w:t xml:space="preserve"> CS o vymáhání </w:t>
      </w:r>
      <w:r w:rsidR="00CF74D4">
        <w:rPr>
          <w:rFonts w:ascii="Arial" w:hAnsi="Arial" w:cs="Arial"/>
        </w:rPr>
        <w:t>nedoplatků až několik</w:t>
      </w:r>
      <w:r w:rsidR="006A4BBF" w:rsidRPr="006A4BBF">
        <w:rPr>
          <w:rFonts w:ascii="Arial" w:hAnsi="Arial" w:cs="Arial"/>
        </w:rPr>
        <w:t xml:space="preserve"> let</w:t>
      </w:r>
      <w:r w:rsidR="00CF74D4">
        <w:rPr>
          <w:rFonts w:ascii="Arial" w:hAnsi="Arial" w:cs="Arial"/>
        </w:rPr>
        <w:t xml:space="preserve"> po uplynutí lhůty splatnosti PP</w:t>
      </w:r>
      <w:r w:rsidR="006A4BBF" w:rsidRPr="006A4BBF">
        <w:rPr>
          <w:rFonts w:ascii="Arial" w:hAnsi="Arial" w:cs="Arial"/>
        </w:rPr>
        <w:t>. Kontrolované obce neinformovaly CÚ o krocích, které samy učinily k vybrání nebo vymožení daňových nedoplatků</w:t>
      </w:r>
      <w:r w:rsidR="0059400D">
        <w:rPr>
          <w:rFonts w:ascii="Arial" w:hAnsi="Arial" w:cs="Arial"/>
        </w:rPr>
        <w:t>, a </w:t>
      </w:r>
      <w:r w:rsidR="006A4BBF" w:rsidRPr="006A4BBF">
        <w:rPr>
          <w:rFonts w:ascii="Arial" w:hAnsi="Arial" w:cs="Arial"/>
        </w:rPr>
        <w:t>v některých případech nepředaly PP s potř</w:t>
      </w:r>
      <w:r w:rsidR="00B24997">
        <w:rPr>
          <w:rFonts w:ascii="Arial" w:hAnsi="Arial" w:cs="Arial"/>
        </w:rPr>
        <w:t>ebnými formálními náležitostmi.</w:t>
      </w:r>
    </w:p>
    <w:p w14:paraId="7C3ADC93" w14:textId="77777777" w:rsidR="005C1534" w:rsidRDefault="005C1534" w:rsidP="00B1103A">
      <w:pPr>
        <w:spacing w:after="0" w:line="240" w:lineRule="auto"/>
        <w:jc w:val="both"/>
        <w:rPr>
          <w:rFonts w:ascii="Arial" w:hAnsi="Arial" w:cs="Arial"/>
        </w:rPr>
      </w:pPr>
    </w:p>
    <w:p w14:paraId="05337CB4" w14:textId="52DB3E11" w:rsidR="00FC5415" w:rsidRDefault="0059400D" w:rsidP="00B110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057E1" w:rsidRPr="009057E1">
        <w:rPr>
          <w:rFonts w:ascii="Arial" w:hAnsi="Arial" w:cs="Arial"/>
        </w:rPr>
        <w:t xml:space="preserve"> provedení exekuce </w:t>
      </w:r>
      <w:r w:rsidRPr="009057E1">
        <w:rPr>
          <w:rFonts w:ascii="Arial" w:hAnsi="Arial" w:cs="Arial"/>
        </w:rPr>
        <w:t xml:space="preserve">žádají </w:t>
      </w:r>
      <w:r w:rsidR="006911CF">
        <w:rPr>
          <w:rFonts w:ascii="Arial" w:hAnsi="Arial" w:cs="Arial"/>
        </w:rPr>
        <w:t>c</w:t>
      </w:r>
      <w:r w:rsidRPr="009057E1">
        <w:rPr>
          <w:rFonts w:ascii="Arial" w:hAnsi="Arial" w:cs="Arial"/>
        </w:rPr>
        <w:t xml:space="preserve">elní úřady </w:t>
      </w:r>
      <w:r w:rsidR="009057E1" w:rsidRPr="009057E1">
        <w:rPr>
          <w:rFonts w:ascii="Arial" w:hAnsi="Arial" w:cs="Arial"/>
        </w:rPr>
        <w:t xml:space="preserve">i obce s rozšířenou působností, u kterých lze předpokládat existenci vlastního aparátu k realizaci správy daní a provádění vymáhání daňových nedoplatků. Od 1. 1. 2013 již soudy neprovádí výkon rozhodnutí, která lze vykonat </w:t>
      </w:r>
      <w:r w:rsidR="006A4BBF">
        <w:rPr>
          <w:rFonts w:ascii="Arial" w:hAnsi="Arial" w:cs="Arial"/>
        </w:rPr>
        <w:t>po</w:t>
      </w:r>
      <w:r w:rsidR="009057E1" w:rsidRPr="009057E1">
        <w:rPr>
          <w:rFonts w:ascii="Arial" w:hAnsi="Arial" w:cs="Arial"/>
        </w:rPr>
        <w:t>dle SŘ či DŘ. V souvislosti s</w:t>
      </w:r>
      <w:r w:rsidR="006A4BBF">
        <w:rPr>
          <w:rFonts w:ascii="Arial" w:hAnsi="Arial" w:cs="Arial"/>
        </w:rPr>
        <w:t xml:space="preserve"> výše</w:t>
      </w:r>
      <w:r w:rsidR="009057E1" w:rsidRPr="009057E1">
        <w:rPr>
          <w:rFonts w:ascii="Arial" w:hAnsi="Arial" w:cs="Arial"/>
        </w:rPr>
        <w:t xml:space="preserve"> uvedenými skutečnostmi</w:t>
      </w:r>
      <w:r w:rsidR="006A4BBF">
        <w:rPr>
          <w:rFonts w:ascii="Arial" w:hAnsi="Arial" w:cs="Arial"/>
        </w:rPr>
        <w:t>, týkající</w:t>
      </w:r>
      <w:r w:rsidR="009675FD">
        <w:rPr>
          <w:rFonts w:ascii="Arial" w:hAnsi="Arial" w:cs="Arial"/>
        </w:rPr>
        <w:t>mi</w:t>
      </w:r>
      <w:r w:rsidR="00CF4191">
        <w:rPr>
          <w:rFonts w:ascii="Arial" w:hAnsi="Arial" w:cs="Arial"/>
        </w:rPr>
        <w:t xml:space="preserve"> se žádostí o </w:t>
      </w:r>
      <w:r w:rsidR="006A4BBF">
        <w:rPr>
          <w:rFonts w:ascii="Arial" w:hAnsi="Arial" w:cs="Arial"/>
        </w:rPr>
        <w:t xml:space="preserve">provedení exekuce podle § 106 </w:t>
      </w:r>
      <w:r w:rsidR="006911CF">
        <w:rPr>
          <w:rFonts w:ascii="Arial" w:hAnsi="Arial" w:cs="Arial"/>
        </w:rPr>
        <w:t xml:space="preserve">odst. 2 </w:t>
      </w:r>
      <w:r w:rsidR="006A4BBF">
        <w:rPr>
          <w:rFonts w:ascii="Arial" w:hAnsi="Arial" w:cs="Arial"/>
        </w:rPr>
        <w:t>SŘ</w:t>
      </w:r>
      <w:r w:rsidR="009675FD">
        <w:rPr>
          <w:rFonts w:ascii="Arial" w:hAnsi="Arial" w:cs="Arial"/>
        </w:rPr>
        <w:t>,</w:t>
      </w:r>
      <w:r w:rsidR="009057E1" w:rsidRPr="009057E1">
        <w:rPr>
          <w:rFonts w:ascii="Arial" w:hAnsi="Arial" w:cs="Arial"/>
        </w:rPr>
        <w:t xml:space="preserve"> existuje riziko, že CS významně naroste agenda PP, která podléhají exekuci</w:t>
      </w:r>
      <w:r w:rsidR="00FD0636">
        <w:rPr>
          <w:rFonts w:ascii="Arial" w:hAnsi="Arial" w:cs="Arial"/>
        </w:rPr>
        <w:t>,</w:t>
      </w:r>
      <w:r w:rsidR="009057E1" w:rsidRPr="009057E1">
        <w:rPr>
          <w:rFonts w:ascii="Arial" w:hAnsi="Arial" w:cs="Arial"/>
        </w:rPr>
        <w:t xml:space="preserve"> a že se tato agenda bude převážně týkat obtížně vymahatelných PP (nedobytných pohledáv</w:t>
      </w:r>
      <w:r w:rsidR="00FD0636">
        <w:rPr>
          <w:rFonts w:ascii="Arial" w:hAnsi="Arial" w:cs="Arial"/>
        </w:rPr>
        <w:t>ek) či PP zanedbatelné hodnoty.</w:t>
      </w:r>
    </w:p>
    <w:p w14:paraId="792CE4D7" w14:textId="77777777" w:rsidR="005C1534" w:rsidRDefault="005C1534" w:rsidP="00B1103A">
      <w:pPr>
        <w:spacing w:after="0" w:line="240" w:lineRule="auto"/>
        <w:jc w:val="both"/>
        <w:rPr>
          <w:rFonts w:ascii="Arial" w:hAnsi="Arial" w:cs="Arial"/>
        </w:rPr>
      </w:pPr>
    </w:p>
    <w:p w14:paraId="40B4EEE7" w14:textId="2B651DE2" w:rsidR="00EF24AD" w:rsidRDefault="00EF24AD" w:rsidP="00B1103A">
      <w:pPr>
        <w:spacing w:after="0" w:line="240" w:lineRule="auto"/>
        <w:jc w:val="both"/>
        <w:rPr>
          <w:rFonts w:ascii="Arial" w:hAnsi="Arial" w:cs="Arial"/>
        </w:rPr>
      </w:pPr>
      <w:r w:rsidRPr="00F4086E">
        <w:rPr>
          <w:rFonts w:ascii="Arial" w:hAnsi="Arial" w:cs="Arial"/>
          <w:b/>
        </w:rPr>
        <w:t>CÚ neprovedly při vymáhání nedoplatků</w:t>
      </w:r>
      <w:r>
        <w:rPr>
          <w:rFonts w:ascii="Arial" w:hAnsi="Arial" w:cs="Arial"/>
        </w:rPr>
        <w:t xml:space="preserve"> </w:t>
      </w:r>
      <w:r w:rsidRPr="00F4086E">
        <w:rPr>
          <w:rFonts w:ascii="Arial" w:hAnsi="Arial" w:cs="Arial"/>
          <w:b/>
        </w:rPr>
        <w:t xml:space="preserve">v 35,82 % kontrolovaných případů </w:t>
      </w:r>
      <w:r w:rsidR="00A354DD" w:rsidRPr="00F4086E">
        <w:rPr>
          <w:rFonts w:ascii="Arial" w:hAnsi="Arial" w:cs="Arial"/>
          <w:b/>
        </w:rPr>
        <w:t xml:space="preserve">v hodnotě </w:t>
      </w:r>
      <w:r w:rsidR="005C039F" w:rsidRPr="00F4086E">
        <w:rPr>
          <w:rFonts w:ascii="Arial" w:hAnsi="Arial" w:cs="Arial"/>
          <w:b/>
        </w:rPr>
        <w:t xml:space="preserve">5 056 507,00 Kč </w:t>
      </w:r>
      <w:r w:rsidRPr="00F4086E">
        <w:rPr>
          <w:rFonts w:ascii="Arial" w:hAnsi="Arial" w:cs="Arial"/>
          <w:b/>
        </w:rPr>
        <w:t xml:space="preserve">veškeré přiměřené úkony, resp. nedoložily, že provedly veškeré přiměřené úkony, které by vedly k úspěšnému vymáhání </w:t>
      </w:r>
      <w:r w:rsidR="005C039F" w:rsidRPr="00F4086E">
        <w:rPr>
          <w:rFonts w:ascii="Arial" w:hAnsi="Arial" w:cs="Arial"/>
          <w:b/>
        </w:rPr>
        <w:t>nedoplatků</w:t>
      </w:r>
      <w:r w:rsidRPr="00F4086E">
        <w:rPr>
          <w:rFonts w:ascii="Arial" w:hAnsi="Arial" w:cs="Arial"/>
          <w:b/>
        </w:rPr>
        <w:t>, nebo že provedly tyto úkony v přiměřených lhůtách</w:t>
      </w:r>
      <w:r w:rsidRPr="00B1103A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CÚ například neprovedl exekuci, když zjistil exekuovatelný majetek dlužníka, nebo provedl exekuci až s</w:t>
      </w:r>
      <w:r w:rsidR="005A1553">
        <w:rPr>
          <w:rFonts w:ascii="Arial" w:hAnsi="Arial" w:cs="Arial"/>
        </w:rPr>
        <w:t xml:space="preserve"> významnou </w:t>
      </w:r>
      <w:r>
        <w:rPr>
          <w:rFonts w:ascii="Arial" w:hAnsi="Arial" w:cs="Arial"/>
        </w:rPr>
        <w:t>časovou prodlevou od zjištění majetku dlužníka, což mohlo být ve svém důsledku důvodem neúspěšného vymáhání nedoplatku.</w:t>
      </w:r>
    </w:p>
    <w:p w14:paraId="4A540C75" w14:textId="77777777" w:rsidR="005C1534" w:rsidRPr="009057E1" w:rsidRDefault="005C1534" w:rsidP="00B1103A">
      <w:pPr>
        <w:spacing w:after="0" w:line="240" w:lineRule="auto"/>
        <w:jc w:val="both"/>
        <w:rPr>
          <w:rFonts w:ascii="Arial" w:hAnsi="Arial" w:cs="Arial"/>
        </w:rPr>
      </w:pPr>
    </w:p>
    <w:p w14:paraId="3B604407" w14:textId="77777777" w:rsidR="002D7CE3" w:rsidRDefault="002D7CE3" w:rsidP="00B1103A">
      <w:pPr>
        <w:spacing w:after="0" w:line="240" w:lineRule="auto"/>
        <w:jc w:val="both"/>
        <w:rPr>
          <w:rFonts w:ascii="Arial" w:hAnsi="Arial" w:cs="Arial"/>
        </w:rPr>
      </w:pPr>
      <w:r w:rsidRPr="002D7CE3">
        <w:rPr>
          <w:rFonts w:ascii="Arial" w:hAnsi="Arial" w:cs="Arial"/>
        </w:rPr>
        <w:t>GŘC nesledovalo a nevyhodnocovalo nákladovost a nedoložilo žádné dokumenty, ve kterých by se zabývalo analýzou nákladů na zabezpečení fungování systému dělené správy.</w:t>
      </w:r>
    </w:p>
    <w:p w14:paraId="156EC431" w14:textId="77777777" w:rsidR="005C1534" w:rsidRPr="002D7CE3" w:rsidRDefault="005C1534" w:rsidP="00B1103A">
      <w:pPr>
        <w:spacing w:after="0" w:line="240" w:lineRule="auto"/>
        <w:jc w:val="both"/>
        <w:rPr>
          <w:rFonts w:ascii="Arial" w:hAnsi="Arial" w:cs="Arial"/>
        </w:rPr>
      </w:pPr>
    </w:p>
    <w:p w14:paraId="1E9283E4" w14:textId="43DE50C1" w:rsidR="009057E1" w:rsidRPr="006D6599" w:rsidRDefault="009D004E" w:rsidP="00B1103A">
      <w:pPr>
        <w:spacing w:after="0" w:line="240" w:lineRule="auto"/>
        <w:jc w:val="both"/>
        <w:rPr>
          <w:rFonts w:ascii="Arial" w:hAnsi="Arial" w:cs="Arial"/>
          <w:b/>
        </w:rPr>
      </w:pPr>
      <w:r w:rsidRPr="006D6599">
        <w:rPr>
          <w:rFonts w:ascii="Arial" w:hAnsi="Arial" w:cs="Arial"/>
          <w:b/>
        </w:rPr>
        <w:t>NKÚ kontrolou výkonu dělené správy a realizace žádostí obcí o provedení exekuce obecným správcem daně zjistil skutečnosti, které nepřispívají k efektivnímu uplatňování práv státu při výběru a vymáhání daňových nedoplatků</w:t>
      </w:r>
      <w:r w:rsidR="005274C8">
        <w:rPr>
          <w:rFonts w:ascii="Arial" w:hAnsi="Arial" w:cs="Arial"/>
          <w:b/>
        </w:rPr>
        <w:t>,</w:t>
      </w:r>
      <w:r w:rsidRPr="006D6599">
        <w:rPr>
          <w:rFonts w:ascii="Arial" w:hAnsi="Arial" w:cs="Arial"/>
          <w:b/>
        </w:rPr>
        <w:t xml:space="preserve"> a některé z nich zároveň zvyšují administrativní náročnost při správě placení PP.</w:t>
      </w:r>
      <w:r w:rsidR="006D6599" w:rsidRPr="006D6599">
        <w:rPr>
          <w:rFonts w:ascii="Arial" w:hAnsi="Arial" w:cs="Arial"/>
          <w:b/>
        </w:rPr>
        <w:t xml:space="preserve"> </w:t>
      </w:r>
      <w:r w:rsidR="00071192" w:rsidRPr="006D6599">
        <w:rPr>
          <w:rFonts w:ascii="Arial" w:hAnsi="Arial" w:cs="Arial"/>
          <w:b/>
        </w:rPr>
        <w:t xml:space="preserve">NKÚ doporučuje </w:t>
      </w:r>
      <w:r w:rsidR="00BB4E63" w:rsidRPr="006D6599">
        <w:rPr>
          <w:rFonts w:ascii="Arial" w:hAnsi="Arial" w:cs="Arial"/>
          <w:b/>
        </w:rPr>
        <w:t>zvážit:</w:t>
      </w:r>
    </w:p>
    <w:p w14:paraId="52C7592E" w14:textId="0BF449C5" w:rsidR="00A8455E" w:rsidRDefault="00BB4E63" w:rsidP="00B1103A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legislativní úpravu ustanovení § 162 odst. 2 DŘ </w:t>
      </w:r>
      <w:r w:rsidR="00756FD8">
        <w:rPr>
          <w:rFonts w:ascii="Arial" w:hAnsi="Arial" w:cs="Arial"/>
        </w:rPr>
        <w:t xml:space="preserve">s ohledem na </w:t>
      </w:r>
      <w:r>
        <w:rPr>
          <w:rFonts w:ascii="Arial" w:hAnsi="Arial" w:cs="Arial"/>
        </w:rPr>
        <w:t>lhůt</w:t>
      </w:r>
      <w:r w:rsidR="00756FD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 předávání údajů o platebních povinnostech</w:t>
      </w:r>
      <w:r w:rsidR="005274C8">
        <w:rPr>
          <w:rFonts w:ascii="Arial" w:hAnsi="Arial" w:cs="Arial"/>
        </w:rPr>
        <w:t>, a to</w:t>
      </w:r>
      <w:r>
        <w:rPr>
          <w:rFonts w:ascii="Arial" w:hAnsi="Arial" w:cs="Arial"/>
        </w:rPr>
        <w:t xml:space="preserve"> z důvodu zajištění jednoznačného výkladu </w:t>
      </w:r>
      <w:r w:rsidR="005274C8">
        <w:rPr>
          <w:rFonts w:ascii="Arial" w:hAnsi="Arial" w:cs="Arial"/>
        </w:rPr>
        <w:t>tohoto</w:t>
      </w:r>
      <w:r>
        <w:rPr>
          <w:rFonts w:ascii="Arial" w:hAnsi="Arial" w:cs="Arial"/>
        </w:rPr>
        <w:t xml:space="preserve"> ustanovení a jednotného postupu ukladatelů PP</w:t>
      </w:r>
      <w:r w:rsidR="00261A6C">
        <w:rPr>
          <w:rFonts w:ascii="Arial" w:hAnsi="Arial" w:cs="Arial"/>
        </w:rPr>
        <w:t>,</w:t>
      </w:r>
    </w:p>
    <w:p w14:paraId="44B5204A" w14:textId="7FC01D41" w:rsidR="00A8455E" w:rsidRDefault="00BB4E63" w:rsidP="00B1103A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legislativní úpravu žádostí</w:t>
      </w:r>
      <w:r w:rsidR="00A8455E">
        <w:rPr>
          <w:rFonts w:ascii="Arial" w:hAnsi="Arial" w:cs="Arial"/>
        </w:rPr>
        <w:t xml:space="preserve"> obcí o provedení exekuce</w:t>
      </w:r>
      <w:r>
        <w:rPr>
          <w:rFonts w:ascii="Arial" w:hAnsi="Arial" w:cs="Arial"/>
        </w:rPr>
        <w:t xml:space="preserve"> podle § 106 odst. 2 SŘ</w:t>
      </w:r>
      <w:r w:rsidR="00261A6C">
        <w:rPr>
          <w:rFonts w:ascii="Arial" w:hAnsi="Arial" w:cs="Arial"/>
        </w:rPr>
        <w:t>,</w:t>
      </w:r>
    </w:p>
    <w:p w14:paraId="65C3E833" w14:textId="03EB6161" w:rsidR="00BB4E63" w:rsidRDefault="00BB4E63" w:rsidP="00B1103A">
      <w:pPr>
        <w:pStyle w:val="Odstavecseseznamem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legislativní úpravu zákonů stanov</w:t>
      </w:r>
      <w:r w:rsidR="00756FD8">
        <w:rPr>
          <w:rFonts w:ascii="Arial" w:hAnsi="Arial" w:cs="Arial"/>
        </w:rPr>
        <w:t>ujících</w:t>
      </w:r>
      <w:r>
        <w:rPr>
          <w:rFonts w:ascii="Arial" w:hAnsi="Arial" w:cs="Arial"/>
        </w:rPr>
        <w:t xml:space="preserve"> příslušnost orgánů veřejné moci k vybírání a</w:t>
      </w:r>
      <w:r w:rsidR="008C54C9">
        <w:rPr>
          <w:rFonts w:ascii="Arial" w:hAnsi="Arial" w:cs="Arial"/>
        </w:rPr>
        <w:t> </w:t>
      </w:r>
      <w:r>
        <w:rPr>
          <w:rFonts w:ascii="Arial" w:hAnsi="Arial" w:cs="Arial"/>
        </w:rPr>
        <w:t>vymáhání PP, a to ve prospěch jednoznačně</w:t>
      </w:r>
      <w:r w:rsidR="00002F3F">
        <w:rPr>
          <w:rFonts w:ascii="Arial" w:hAnsi="Arial" w:cs="Arial"/>
        </w:rPr>
        <w:t xml:space="preserve"> a opodstatněně</w:t>
      </w:r>
      <w:r>
        <w:rPr>
          <w:rFonts w:ascii="Arial" w:hAnsi="Arial" w:cs="Arial"/>
        </w:rPr>
        <w:t xml:space="preserve"> stanovených kompetencí orgánů veřejné moci</w:t>
      </w:r>
      <w:r w:rsidR="00261A6C">
        <w:rPr>
          <w:rFonts w:ascii="Arial" w:hAnsi="Arial" w:cs="Arial"/>
        </w:rPr>
        <w:t>.</w:t>
      </w:r>
    </w:p>
    <w:p w14:paraId="08310F86" w14:textId="77777777" w:rsidR="005C1534" w:rsidRDefault="005C1534" w:rsidP="005C1534">
      <w:pPr>
        <w:spacing w:after="0"/>
        <w:rPr>
          <w:rFonts w:ascii="Arial" w:hAnsi="Arial" w:cs="Arial"/>
        </w:rPr>
      </w:pPr>
    </w:p>
    <w:p w14:paraId="0876B053" w14:textId="23A4E348" w:rsidR="005C1534" w:rsidRDefault="005C1534" w:rsidP="005C15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93EEB0" w14:textId="77777777" w:rsidR="005F01CE" w:rsidRDefault="005F01CE" w:rsidP="005C1534">
      <w:pPr>
        <w:spacing w:after="0" w:line="240" w:lineRule="auto"/>
        <w:jc w:val="both"/>
        <w:rPr>
          <w:rFonts w:ascii="Arial" w:hAnsi="Arial" w:cs="Arial"/>
        </w:rPr>
      </w:pPr>
    </w:p>
    <w:p w14:paraId="453A457C" w14:textId="713FBD62" w:rsidR="0029455D" w:rsidRPr="00B1103A" w:rsidRDefault="0029455D" w:rsidP="005C15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1103A">
        <w:rPr>
          <w:rFonts w:ascii="Arial" w:hAnsi="Arial" w:cs="Arial"/>
          <w:b/>
          <w:sz w:val="24"/>
          <w:szCs w:val="24"/>
        </w:rPr>
        <w:t xml:space="preserve">Seznam </w:t>
      </w:r>
      <w:r w:rsidR="00C90A85" w:rsidRPr="00B1103A">
        <w:rPr>
          <w:rFonts w:ascii="Arial" w:hAnsi="Arial" w:cs="Arial"/>
          <w:b/>
          <w:sz w:val="24"/>
          <w:szCs w:val="24"/>
        </w:rPr>
        <w:t xml:space="preserve">vybraných </w:t>
      </w:r>
      <w:r w:rsidRPr="00B1103A">
        <w:rPr>
          <w:rFonts w:ascii="Arial" w:hAnsi="Arial" w:cs="Arial"/>
          <w:b/>
          <w:sz w:val="24"/>
          <w:szCs w:val="24"/>
        </w:rPr>
        <w:t>zkratek:</w:t>
      </w:r>
    </w:p>
    <w:p w14:paraId="5D2D2C05" w14:textId="77777777" w:rsidR="005C1534" w:rsidRDefault="005C1534" w:rsidP="0029455D">
      <w:pPr>
        <w:spacing w:after="120" w:line="240" w:lineRule="auto"/>
        <w:jc w:val="both"/>
        <w:rPr>
          <w:rFonts w:ascii="Arial" w:hAnsi="Arial" w:cs="Arial"/>
        </w:rPr>
      </w:pPr>
    </w:p>
    <w:p w14:paraId="67887B9D" w14:textId="2D7F1244" w:rsidR="0029455D" w:rsidRDefault="0029455D" w:rsidP="004A49F7">
      <w:pPr>
        <w:tabs>
          <w:tab w:val="left" w:pos="993"/>
          <w:tab w:val="left" w:pos="15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CS</w:t>
      </w:r>
      <w:r>
        <w:rPr>
          <w:rFonts w:ascii="Arial" w:hAnsi="Arial" w:cs="Arial"/>
        </w:rPr>
        <w:tab/>
      </w:r>
      <w:r w:rsidR="004A49F7">
        <w:rPr>
          <w:rFonts w:ascii="Arial" w:hAnsi="Arial" w:cs="Arial"/>
        </w:rPr>
        <w:t>–</w:t>
      </w:r>
      <w:r w:rsidR="004A49F7">
        <w:rPr>
          <w:rFonts w:ascii="Arial" w:hAnsi="Arial" w:cs="Arial"/>
        </w:rPr>
        <w:tab/>
      </w:r>
      <w:r>
        <w:rPr>
          <w:rFonts w:ascii="Arial" w:hAnsi="Arial" w:cs="Arial"/>
        </w:rPr>
        <w:t>Celní správa České republiky</w:t>
      </w:r>
    </w:p>
    <w:p w14:paraId="79FB2081" w14:textId="3EDE54F5" w:rsidR="0029455D" w:rsidRDefault="0029455D" w:rsidP="004A49F7">
      <w:pPr>
        <w:tabs>
          <w:tab w:val="left" w:pos="993"/>
          <w:tab w:val="left" w:pos="15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CÚ</w:t>
      </w:r>
      <w:r>
        <w:rPr>
          <w:rFonts w:ascii="Arial" w:hAnsi="Arial" w:cs="Arial"/>
        </w:rPr>
        <w:tab/>
      </w:r>
      <w:r w:rsidR="004A49F7">
        <w:rPr>
          <w:rFonts w:ascii="Arial" w:hAnsi="Arial" w:cs="Arial"/>
        </w:rPr>
        <w:t>–</w:t>
      </w:r>
      <w:r w:rsidR="004A49F7">
        <w:rPr>
          <w:rFonts w:ascii="Arial" w:hAnsi="Arial" w:cs="Arial"/>
        </w:rPr>
        <w:tab/>
      </w:r>
      <w:r>
        <w:rPr>
          <w:rFonts w:ascii="Arial" w:hAnsi="Arial" w:cs="Arial"/>
        </w:rPr>
        <w:t>celní úřad</w:t>
      </w:r>
      <w:r w:rsidR="00862367" w:rsidRPr="00B1103A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862367">
        <w:rPr>
          <w:rFonts w:ascii="Arial" w:hAnsi="Arial" w:cs="Arial"/>
        </w:rPr>
        <w:t>/</w:t>
      </w:r>
      <w:r w:rsidR="00862367" w:rsidRPr="00B1103A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862367">
        <w:rPr>
          <w:rFonts w:ascii="Arial" w:hAnsi="Arial" w:cs="Arial"/>
        </w:rPr>
        <w:t>celní úřady</w:t>
      </w:r>
    </w:p>
    <w:p w14:paraId="321AF956" w14:textId="2C01EBFA" w:rsidR="0029455D" w:rsidRDefault="0029455D" w:rsidP="004A49F7">
      <w:pPr>
        <w:tabs>
          <w:tab w:val="left" w:pos="993"/>
          <w:tab w:val="left" w:pos="15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ČOI</w:t>
      </w:r>
      <w:r>
        <w:rPr>
          <w:rFonts w:ascii="Arial" w:hAnsi="Arial" w:cs="Arial"/>
        </w:rPr>
        <w:tab/>
      </w:r>
      <w:r w:rsidR="004A49F7">
        <w:rPr>
          <w:rFonts w:ascii="Arial" w:hAnsi="Arial" w:cs="Arial"/>
        </w:rPr>
        <w:t>–</w:t>
      </w:r>
      <w:r w:rsidR="004A49F7">
        <w:rPr>
          <w:rFonts w:ascii="Arial" w:hAnsi="Arial" w:cs="Arial"/>
        </w:rPr>
        <w:tab/>
      </w:r>
      <w:r>
        <w:rPr>
          <w:rFonts w:ascii="Arial" w:hAnsi="Arial" w:cs="Arial"/>
        </w:rPr>
        <w:t>Česká obchodní inspekce</w:t>
      </w:r>
    </w:p>
    <w:p w14:paraId="4FDC377A" w14:textId="3CB903D6" w:rsidR="0029455D" w:rsidRDefault="0029455D" w:rsidP="004A49F7">
      <w:pPr>
        <w:tabs>
          <w:tab w:val="left" w:pos="993"/>
          <w:tab w:val="left" w:pos="15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DŘ</w:t>
      </w:r>
      <w:r>
        <w:rPr>
          <w:rFonts w:ascii="Arial" w:hAnsi="Arial" w:cs="Arial"/>
        </w:rPr>
        <w:tab/>
      </w:r>
      <w:r w:rsidR="004A49F7">
        <w:rPr>
          <w:rFonts w:ascii="Arial" w:hAnsi="Arial" w:cs="Arial"/>
        </w:rPr>
        <w:t>–</w:t>
      </w:r>
      <w:r w:rsidR="004A49F7">
        <w:rPr>
          <w:rFonts w:ascii="Arial" w:hAnsi="Arial" w:cs="Arial"/>
        </w:rPr>
        <w:tab/>
      </w:r>
      <w:r>
        <w:rPr>
          <w:rFonts w:ascii="Arial" w:hAnsi="Arial" w:cs="Arial"/>
        </w:rPr>
        <w:t>zákon č. 280/2009 Sb., daňový řád</w:t>
      </w:r>
    </w:p>
    <w:p w14:paraId="4E4917FD" w14:textId="2466DB9C" w:rsidR="0029455D" w:rsidRDefault="0029455D" w:rsidP="004A49F7">
      <w:pPr>
        <w:tabs>
          <w:tab w:val="left" w:pos="993"/>
          <w:tab w:val="left" w:pos="15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DS</w:t>
      </w:r>
      <w:r>
        <w:rPr>
          <w:rFonts w:ascii="Arial" w:hAnsi="Arial" w:cs="Arial"/>
        </w:rPr>
        <w:tab/>
      </w:r>
      <w:r w:rsidR="004A49F7">
        <w:rPr>
          <w:rFonts w:ascii="Arial" w:hAnsi="Arial" w:cs="Arial"/>
        </w:rPr>
        <w:t>–</w:t>
      </w:r>
      <w:r w:rsidR="004A49F7">
        <w:rPr>
          <w:rFonts w:ascii="Arial" w:hAnsi="Arial" w:cs="Arial"/>
        </w:rPr>
        <w:tab/>
      </w:r>
      <w:r>
        <w:rPr>
          <w:rFonts w:ascii="Arial" w:hAnsi="Arial" w:cs="Arial"/>
        </w:rPr>
        <w:t>dělená správa</w:t>
      </w:r>
    </w:p>
    <w:p w14:paraId="652A287D" w14:textId="3C1254EB" w:rsidR="0029455D" w:rsidRDefault="0029455D" w:rsidP="004A49F7">
      <w:pPr>
        <w:tabs>
          <w:tab w:val="left" w:pos="993"/>
          <w:tab w:val="left" w:pos="15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GŘC</w:t>
      </w:r>
      <w:r>
        <w:rPr>
          <w:rFonts w:ascii="Arial" w:hAnsi="Arial" w:cs="Arial"/>
        </w:rPr>
        <w:tab/>
      </w:r>
      <w:r w:rsidR="004A49F7">
        <w:rPr>
          <w:rFonts w:ascii="Arial" w:hAnsi="Arial" w:cs="Arial"/>
        </w:rPr>
        <w:t>–</w:t>
      </w:r>
      <w:r w:rsidR="004A49F7">
        <w:rPr>
          <w:rFonts w:ascii="Arial" w:hAnsi="Arial" w:cs="Arial"/>
        </w:rPr>
        <w:tab/>
      </w:r>
      <w:r>
        <w:rPr>
          <w:rFonts w:ascii="Arial" w:hAnsi="Arial" w:cs="Arial"/>
        </w:rPr>
        <w:t>Generální ředitelství cel</w:t>
      </w:r>
    </w:p>
    <w:p w14:paraId="67750CD6" w14:textId="40AE130E" w:rsidR="00862367" w:rsidRDefault="00862367" w:rsidP="004A49F7">
      <w:pPr>
        <w:tabs>
          <w:tab w:val="left" w:pos="993"/>
          <w:tab w:val="left" w:pos="15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</w:t>
      </w:r>
      <w:r>
        <w:rPr>
          <w:rFonts w:ascii="Arial" w:hAnsi="Arial" w:cs="Arial"/>
        </w:rPr>
        <w:tab/>
        <w:t>–</w:t>
      </w:r>
      <w:r>
        <w:rPr>
          <w:rFonts w:ascii="Arial" w:hAnsi="Arial" w:cs="Arial"/>
        </w:rPr>
        <w:tab/>
        <w:t>kontrolní akce</w:t>
      </w:r>
    </w:p>
    <w:p w14:paraId="1D602C9D" w14:textId="78D8940F" w:rsidR="0029455D" w:rsidRDefault="0029455D" w:rsidP="004A49F7">
      <w:pPr>
        <w:tabs>
          <w:tab w:val="left" w:pos="993"/>
          <w:tab w:val="left" w:pos="15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PP</w:t>
      </w:r>
      <w:r>
        <w:rPr>
          <w:rFonts w:ascii="Arial" w:hAnsi="Arial" w:cs="Arial"/>
        </w:rPr>
        <w:tab/>
      </w:r>
      <w:r w:rsidR="004A49F7">
        <w:rPr>
          <w:rFonts w:ascii="Arial" w:hAnsi="Arial" w:cs="Arial"/>
        </w:rPr>
        <w:t>–</w:t>
      </w:r>
      <w:r w:rsidR="004A49F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peněžité </w:t>
      </w:r>
      <w:r w:rsidR="004E002B">
        <w:rPr>
          <w:rFonts w:ascii="Arial" w:hAnsi="Arial" w:cs="Arial"/>
        </w:rPr>
        <w:t xml:space="preserve">(peněžitá) </w:t>
      </w:r>
      <w:r>
        <w:rPr>
          <w:rFonts w:ascii="Arial" w:hAnsi="Arial" w:cs="Arial"/>
        </w:rPr>
        <w:t>plnění</w:t>
      </w:r>
    </w:p>
    <w:p w14:paraId="0D9C376A" w14:textId="648B2429" w:rsidR="0029455D" w:rsidRDefault="0029455D" w:rsidP="004A49F7">
      <w:pPr>
        <w:tabs>
          <w:tab w:val="left" w:pos="993"/>
          <w:tab w:val="left" w:pos="15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SŘ</w:t>
      </w:r>
      <w:r>
        <w:rPr>
          <w:rFonts w:ascii="Arial" w:hAnsi="Arial" w:cs="Arial"/>
        </w:rPr>
        <w:tab/>
      </w:r>
      <w:r w:rsidR="004A49F7">
        <w:rPr>
          <w:rFonts w:ascii="Arial" w:hAnsi="Arial" w:cs="Arial"/>
        </w:rPr>
        <w:t>–</w:t>
      </w:r>
      <w:r w:rsidR="004A49F7">
        <w:rPr>
          <w:rFonts w:ascii="Arial" w:hAnsi="Arial" w:cs="Arial"/>
        </w:rPr>
        <w:tab/>
      </w:r>
      <w:r>
        <w:rPr>
          <w:rFonts w:ascii="Arial" w:hAnsi="Arial" w:cs="Arial"/>
        </w:rPr>
        <w:t>zákon č. 500/2004 Sb., správní řád</w:t>
      </w:r>
    </w:p>
    <w:p w14:paraId="7B30A748" w14:textId="4B375537" w:rsidR="0029455D" w:rsidRPr="0029455D" w:rsidRDefault="0029455D" w:rsidP="004A49F7">
      <w:pPr>
        <w:tabs>
          <w:tab w:val="left" w:pos="993"/>
          <w:tab w:val="left" w:pos="15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SVS</w:t>
      </w:r>
      <w:r>
        <w:rPr>
          <w:rFonts w:ascii="Arial" w:hAnsi="Arial" w:cs="Arial"/>
        </w:rPr>
        <w:tab/>
      </w:r>
      <w:r w:rsidR="004A49F7">
        <w:rPr>
          <w:rFonts w:ascii="Arial" w:hAnsi="Arial" w:cs="Arial"/>
        </w:rPr>
        <w:t>–</w:t>
      </w:r>
      <w:r w:rsidR="004A49F7">
        <w:rPr>
          <w:rFonts w:ascii="Arial" w:hAnsi="Arial" w:cs="Arial"/>
        </w:rPr>
        <w:tab/>
      </w:r>
      <w:r>
        <w:rPr>
          <w:rFonts w:ascii="Arial" w:hAnsi="Arial" w:cs="Arial"/>
        </w:rPr>
        <w:t>Státní veterinární správa</w:t>
      </w:r>
    </w:p>
    <w:sectPr w:rsidR="0029455D" w:rsidRPr="0029455D" w:rsidSect="00A41C38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FBD67" w14:textId="77777777" w:rsidR="008C54C9" w:rsidRDefault="008C54C9" w:rsidP="003D409D">
      <w:pPr>
        <w:spacing w:after="0" w:line="240" w:lineRule="auto"/>
      </w:pPr>
      <w:r>
        <w:separator/>
      </w:r>
    </w:p>
  </w:endnote>
  <w:endnote w:type="continuationSeparator" w:id="0">
    <w:p w14:paraId="42AF570E" w14:textId="77777777" w:rsidR="008C54C9" w:rsidRDefault="008C54C9" w:rsidP="003D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36555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3E0DE5" w14:textId="77777777" w:rsidR="008C54C9" w:rsidRPr="007C31C0" w:rsidRDefault="008C54C9">
        <w:pPr>
          <w:pStyle w:val="Zpat"/>
          <w:jc w:val="center"/>
          <w:rPr>
            <w:rFonts w:ascii="Arial" w:hAnsi="Arial" w:cs="Arial"/>
          </w:rPr>
        </w:pPr>
        <w:r w:rsidRPr="007C31C0">
          <w:rPr>
            <w:rFonts w:ascii="Arial" w:hAnsi="Arial" w:cs="Arial"/>
          </w:rPr>
          <w:fldChar w:fldCharType="begin"/>
        </w:r>
        <w:r w:rsidRPr="007C31C0">
          <w:rPr>
            <w:rFonts w:ascii="Arial" w:hAnsi="Arial" w:cs="Arial"/>
          </w:rPr>
          <w:instrText>PAGE   \* MERGEFORMAT</w:instrText>
        </w:r>
        <w:r w:rsidRPr="007C31C0">
          <w:rPr>
            <w:rFonts w:ascii="Arial" w:hAnsi="Arial" w:cs="Arial"/>
          </w:rPr>
          <w:fldChar w:fldCharType="separate"/>
        </w:r>
        <w:r w:rsidR="000229F6">
          <w:rPr>
            <w:rFonts w:ascii="Arial" w:hAnsi="Arial" w:cs="Arial"/>
            <w:noProof/>
          </w:rPr>
          <w:t>4</w:t>
        </w:r>
        <w:r w:rsidRPr="007C31C0">
          <w:rPr>
            <w:rFonts w:ascii="Arial" w:hAnsi="Arial" w:cs="Arial"/>
            <w:noProof/>
          </w:rPr>
          <w:fldChar w:fldCharType="end"/>
        </w:r>
      </w:p>
    </w:sdtContent>
  </w:sdt>
  <w:p w14:paraId="123E0DE6" w14:textId="77777777" w:rsidR="008C54C9" w:rsidRDefault="008C54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52B16" w14:textId="77777777" w:rsidR="008C54C9" w:rsidRDefault="008C54C9" w:rsidP="003D409D">
      <w:pPr>
        <w:spacing w:after="0" w:line="240" w:lineRule="auto"/>
      </w:pPr>
      <w:r>
        <w:separator/>
      </w:r>
    </w:p>
  </w:footnote>
  <w:footnote w:type="continuationSeparator" w:id="0">
    <w:p w14:paraId="68F005CC" w14:textId="77777777" w:rsidR="008C54C9" w:rsidRDefault="008C54C9" w:rsidP="003D409D">
      <w:pPr>
        <w:spacing w:after="0" w:line="240" w:lineRule="auto"/>
      </w:pPr>
      <w:r>
        <w:continuationSeparator/>
      </w:r>
    </w:p>
  </w:footnote>
  <w:footnote w:id="1">
    <w:p w14:paraId="540469F1" w14:textId="5FA3C5AE" w:rsidR="008C54C9" w:rsidRPr="00B24997" w:rsidRDefault="008C54C9" w:rsidP="00512AF1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B24997">
        <w:rPr>
          <w:rStyle w:val="Znakapoznpodarou"/>
          <w:rFonts w:ascii="Arial" w:hAnsi="Arial" w:cs="Arial"/>
          <w:sz w:val="18"/>
          <w:szCs w:val="18"/>
        </w:rPr>
        <w:footnoteRef/>
      </w:r>
      <w:r w:rsidRPr="00B24997">
        <w:rPr>
          <w:rFonts w:ascii="Arial" w:hAnsi="Arial" w:cs="Arial"/>
          <w:sz w:val="18"/>
          <w:szCs w:val="18"/>
        </w:rPr>
        <w:t xml:space="preserve"> </w:t>
      </w:r>
      <w:r w:rsidRPr="00B24997">
        <w:rPr>
          <w:rFonts w:ascii="Arial" w:hAnsi="Arial" w:cs="Arial"/>
          <w:sz w:val="18"/>
          <w:szCs w:val="18"/>
        </w:rPr>
        <w:tab/>
        <w:t>Exekuci provádí místně příslušný obecný správce daně na základě žádosti obecního úřadu ve smyslu § 106 odst. 2 z</w:t>
      </w:r>
      <w:r w:rsidRPr="00B24997">
        <w:rPr>
          <w:rStyle w:val="Znakapoznpodarou"/>
          <w:rFonts w:ascii="Arial" w:hAnsi="Arial" w:cs="Arial"/>
          <w:sz w:val="18"/>
          <w:szCs w:val="18"/>
          <w:vertAlign w:val="baseline"/>
        </w:rPr>
        <w:t>ákona č. </w:t>
      </w:r>
      <w:r w:rsidRPr="00B24997">
        <w:rPr>
          <w:rFonts w:ascii="Arial" w:hAnsi="Arial" w:cs="Arial"/>
          <w:sz w:val="18"/>
          <w:szCs w:val="18"/>
        </w:rPr>
        <w:t>500</w:t>
      </w:r>
      <w:r w:rsidRPr="00B24997">
        <w:rPr>
          <w:rStyle w:val="Znakapoznpodarou"/>
          <w:rFonts w:ascii="Arial" w:hAnsi="Arial" w:cs="Arial"/>
          <w:sz w:val="18"/>
          <w:szCs w:val="18"/>
          <w:vertAlign w:val="baseline"/>
        </w:rPr>
        <w:t>/20</w:t>
      </w:r>
      <w:r w:rsidRPr="00B24997">
        <w:rPr>
          <w:rFonts w:ascii="Arial" w:hAnsi="Arial" w:cs="Arial"/>
          <w:sz w:val="18"/>
          <w:szCs w:val="18"/>
        </w:rPr>
        <w:t>04</w:t>
      </w:r>
      <w:r w:rsidRPr="00B24997">
        <w:rPr>
          <w:rStyle w:val="Znakapoznpodarou"/>
          <w:rFonts w:ascii="Arial" w:hAnsi="Arial" w:cs="Arial"/>
          <w:sz w:val="18"/>
          <w:szCs w:val="18"/>
          <w:vertAlign w:val="baseline"/>
        </w:rPr>
        <w:t> Sb</w:t>
      </w:r>
      <w:r w:rsidRPr="00B24997">
        <w:rPr>
          <w:rFonts w:ascii="Arial" w:hAnsi="Arial" w:cs="Arial"/>
          <w:sz w:val="18"/>
          <w:szCs w:val="18"/>
        </w:rPr>
        <w:t>.</w:t>
      </w:r>
    </w:p>
  </w:footnote>
  <w:footnote w:id="2">
    <w:p w14:paraId="4A108040" w14:textId="4FCE11E8" w:rsidR="008C54C9" w:rsidRPr="00705BE5" w:rsidRDefault="008C54C9" w:rsidP="00B24997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705BE5">
        <w:rPr>
          <w:rStyle w:val="Znakapoznpodarou"/>
          <w:rFonts w:ascii="Arial" w:hAnsi="Arial" w:cs="Arial"/>
          <w:sz w:val="18"/>
          <w:szCs w:val="18"/>
        </w:rPr>
        <w:footnoteRef/>
      </w:r>
      <w:r w:rsidRPr="00705BE5">
        <w:rPr>
          <w:rFonts w:ascii="Arial" w:hAnsi="Arial" w:cs="Arial"/>
          <w:sz w:val="18"/>
          <w:szCs w:val="18"/>
        </w:rPr>
        <w:t xml:space="preserve"> </w:t>
      </w:r>
      <w:r w:rsidRPr="00705BE5">
        <w:rPr>
          <w:rFonts w:ascii="Arial" w:hAnsi="Arial" w:cs="Arial"/>
          <w:sz w:val="18"/>
          <w:szCs w:val="18"/>
        </w:rPr>
        <w:tab/>
      </w:r>
      <w:r w:rsidRPr="00705BE5">
        <w:rPr>
          <w:rFonts w:ascii="Arial" w:hAnsi="Arial" w:cs="Arial"/>
          <w:i/>
          <w:sz w:val="18"/>
          <w:szCs w:val="18"/>
        </w:rPr>
        <w:t>Správa placení</w:t>
      </w:r>
      <w:r w:rsidRPr="00705BE5">
        <w:rPr>
          <w:rFonts w:ascii="Arial" w:hAnsi="Arial" w:cs="Arial"/>
          <w:sz w:val="18"/>
          <w:szCs w:val="18"/>
        </w:rPr>
        <w:t xml:space="preserve"> zahrnuje vybírání PP (přijetí dobrovolné úhrady) a </w:t>
      </w:r>
      <w:r w:rsidRPr="00705BE5">
        <w:rPr>
          <w:rFonts w:ascii="Arial" w:hAnsi="Arial" w:cs="Arial"/>
          <w:i/>
          <w:sz w:val="18"/>
          <w:szCs w:val="18"/>
        </w:rPr>
        <w:t>správu vymáhání</w:t>
      </w:r>
      <w:r w:rsidRPr="00705BE5">
        <w:rPr>
          <w:rFonts w:ascii="Arial" w:hAnsi="Arial" w:cs="Arial"/>
          <w:sz w:val="18"/>
          <w:szCs w:val="18"/>
        </w:rPr>
        <w:t xml:space="preserve"> PP.</w:t>
      </w:r>
    </w:p>
  </w:footnote>
  <w:footnote w:id="3">
    <w:p w14:paraId="1FC6E0C9" w14:textId="767CD183" w:rsidR="008C54C9" w:rsidRPr="005C1534" w:rsidRDefault="008C54C9" w:rsidP="001F4F1C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B60A9B">
        <w:rPr>
          <w:rStyle w:val="Znakapoznpodarou"/>
          <w:rFonts w:ascii="Arial" w:hAnsi="Arial" w:cs="Arial"/>
          <w:sz w:val="18"/>
          <w:szCs w:val="18"/>
        </w:rPr>
        <w:footnoteRef/>
      </w:r>
      <w:r w:rsidRPr="00B60A9B">
        <w:rPr>
          <w:rFonts w:ascii="Arial" w:hAnsi="Arial" w:cs="Arial"/>
          <w:sz w:val="18"/>
          <w:szCs w:val="18"/>
        </w:rPr>
        <w:t xml:space="preserve"> </w:t>
      </w:r>
      <w:r w:rsidRPr="00B60A9B">
        <w:rPr>
          <w:rFonts w:ascii="Arial" w:hAnsi="Arial" w:cs="Arial"/>
          <w:sz w:val="18"/>
          <w:szCs w:val="18"/>
        </w:rPr>
        <w:tab/>
      </w:r>
      <w:r w:rsidRPr="00705BE5">
        <w:rPr>
          <w:rFonts w:ascii="Arial" w:hAnsi="Arial" w:cs="Arial"/>
          <w:sz w:val="18"/>
          <w:szCs w:val="18"/>
        </w:rPr>
        <w:t>Pro dělenou správu peněžitých plnění je příznačné, že orgán veřejné moci rozhodne ve správním, nikoliv daňovém řízení o uložení peněžitého plnění. Teprve při zajišťování správy placení či správy vymáhání se na uložené peněžité plnění nahlíží jako na daň a při vybírání a vymáhání postupuje příslušný orgán podle DŘ (</w:t>
      </w:r>
      <w:r w:rsidRPr="005C1534">
        <w:rPr>
          <w:rFonts w:ascii="Arial" w:hAnsi="Arial" w:cs="Arial"/>
          <w:sz w:val="18"/>
          <w:szCs w:val="18"/>
        </w:rPr>
        <w:t>takový orgán je v postavení správce daně).</w:t>
      </w:r>
    </w:p>
  </w:footnote>
  <w:footnote w:id="4">
    <w:p w14:paraId="1A06E968" w14:textId="5F0F3426" w:rsidR="008C54C9" w:rsidRPr="00705BE5" w:rsidRDefault="008C54C9" w:rsidP="00BF0989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B60A9B">
        <w:rPr>
          <w:rStyle w:val="Znakapoznpodarou"/>
          <w:rFonts w:ascii="Arial" w:hAnsi="Arial" w:cs="Arial"/>
          <w:sz w:val="18"/>
          <w:szCs w:val="18"/>
        </w:rPr>
        <w:footnoteRef/>
      </w:r>
      <w:r w:rsidRPr="00B60A9B">
        <w:rPr>
          <w:rFonts w:ascii="Arial" w:hAnsi="Arial" w:cs="Arial"/>
          <w:sz w:val="18"/>
          <w:szCs w:val="18"/>
        </w:rPr>
        <w:t xml:space="preserve"> </w:t>
      </w:r>
      <w:r w:rsidRPr="00B60A9B">
        <w:rPr>
          <w:rFonts w:ascii="Arial" w:hAnsi="Arial" w:cs="Arial"/>
          <w:sz w:val="18"/>
          <w:szCs w:val="18"/>
        </w:rPr>
        <w:tab/>
      </w:r>
      <w:r w:rsidRPr="00705BE5">
        <w:rPr>
          <w:rFonts w:ascii="Arial" w:hAnsi="Arial" w:cs="Arial"/>
          <w:sz w:val="18"/>
          <w:szCs w:val="18"/>
        </w:rPr>
        <w:t xml:space="preserve">Viz </w:t>
      </w:r>
      <w:r w:rsidRPr="00B60A9B">
        <w:rPr>
          <w:rFonts w:ascii="Arial" w:hAnsi="Arial" w:cs="Arial"/>
          <w:i/>
          <w:sz w:val="18"/>
          <w:szCs w:val="18"/>
        </w:rPr>
        <w:t>Informace o činnosti Celní správy České republiky za rok 2012</w:t>
      </w:r>
      <w:r w:rsidRPr="00705BE5">
        <w:rPr>
          <w:rFonts w:ascii="Arial" w:hAnsi="Arial" w:cs="Arial"/>
          <w:sz w:val="18"/>
          <w:szCs w:val="18"/>
        </w:rPr>
        <w:t>.</w:t>
      </w:r>
    </w:p>
  </w:footnote>
  <w:footnote w:id="5">
    <w:p w14:paraId="23684DDE" w14:textId="00902EB9" w:rsidR="008C54C9" w:rsidRPr="00B60A9B" w:rsidRDefault="008C54C9" w:rsidP="00CF527E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B60A9B">
        <w:rPr>
          <w:rStyle w:val="Znakapoznpodarou"/>
          <w:rFonts w:ascii="Arial" w:hAnsi="Arial" w:cs="Arial"/>
          <w:sz w:val="18"/>
          <w:szCs w:val="18"/>
        </w:rPr>
        <w:footnoteRef/>
      </w:r>
      <w:r w:rsidRPr="00B60A9B">
        <w:rPr>
          <w:rFonts w:ascii="Arial" w:hAnsi="Arial" w:cs="Arial"/>
          <w:sz w:val="18"/>
          <w:szCs w:val="18"/>
        </w:rPr>
        <w:t xml:space="preserve"> </w:t>
      </w:r>
      <w:r w:rsidRPr="00B60A9B">
        <w:rPr>
          <w:rFonts w:ascii="Arial" w:hAnsi="Arial" w:cs="Arial"/>
          <w:sz w:val="18"/>
          <w:szCs w:val="18"/>
        </w:rPr>
        <w:tab/>
      </w:r>
      <w:r w:rsidRPr="00705BE5">
        <w:rPr>
          <w:rFonts w:ascii="Arial" w:hAnsi="Arial" w:cs="Arial"/>
          <w:sz w:val="18"/>
          <w:szCs w:val="18"/>
        </w:rPr>
        <w:t>Statistické informace poskytlo GŘC ve svém vyjádření na základě žádosti NKÚ</w:t>
      </w:r>
      <w:r>
        <w:rPr>
          <w:rFonts w:ascii="Arial" w:hAnsi="Arial" w:cs="Arial"/>
          <w:sz w:val="18"/>
          <w:szCs w:val="18"/>
        </w:rPr>
        <w:t xml:space="preserve"> </w:t>
      </w:r>
      <w:r w:rsidRPr="00705BE5">
        <w:rPr>
          <w:rFonts w:ascii="Arial" w:hAnsi="Arial" w:cs="Arial"/>
          <w:sz w:val="18"/>
          <w:szCs w:val="18"/>
        </w:rPr>
        <w:t xml:space="preserve">o informace. Statistika vybraných a vymožených PP byla </w:t>
      </w:r>
      <w:r w:rsidRPr="005C1534">
        <w:rPr>
          <w:rFonts w:ascii="Arial" w:hAnsi="Arial" w:cs="Arial"/>
          <w:sz w:val="18"/>
          <w:szCs w:val="18"/>
        </w:rPr>
        <w:t>zjištěna k datu provádění kontroly, konkrétně k 20. 11. 2013. Informační systém GŘC u</w:t>
      </w:r>
      <w:r w:rsidRPr="002D558D">
        <w:rPr>
          <w:rFonts w:ascii="Arial" w:hAnsi="Arial" w:cs="Arial"/>
          <w:sz w:val="18"/>
          <w:szCs w:val="18"/>
        </w:rPr>
        <w:t>možňuje získat data</w:t>
      </w:r>
      <w:r>
        <w:rPr>
          <w:rFonts w:ascii="Arial" w:hAnsi="Arial" w:cs="Arial"/>
          <w:sz w:val="18"/>
          <w:szCs w:val="18"/>
        </w:rPr>
        <w:t xml:space="preserve"> o</w:t>
      </w:r>
      <w:r w:rsidRPr="002D558D">
        <w:rPr>
          <w:rFonts w:ascii="Arial" w:hAnsi="Arial" w:cs="Arial"/>
          <w:sz w:val="18"/>
          <w:szCs w:val="18"/>
        </w:rPr>
        <w:t xml:space="preserve"> vybraných a vymožených PP pouze k aktuálnímu datu. </w:t>
      </w:r>
    </w:p>
  </w:footnote>
  <w:footnote w:id="6">
    <w:p w14:paraId="294A0F01" w14:textId="2709CBE7" w:rsidR="008C54C9" w:rsidRPr="00CA43F0" w:rsidRDefault="008C54C9" w:rsidP="000C1EA7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CA43F0">
        <w:rPr>
          <w:rStyle w:val="Znakapoznpodarou"/>
          <w:rFonts w:ascii="Arial" w:hAnsi="Arial" w:cs="Arial"/>
          <w:sz w:val="18"/>
          <w:szCs w:val="18"/>
        </w:rPr>
        <w:footnoteRef/>
      </w:r>
      <w:r w:rsidRPr="00CA43F0">
        <w:rPr>
          <w:rFonts w:ascii="Arial" w:hAnsi="Arial" w:cs="Arial"/>
          <w:sz w:val="18"/>
          <w:szCs w:val="18"/>
        </w:rPr>
        <w:t xml:space="preserve"> </w:t>
      </w:r>
      <w:r w:rsidRPr="00CA43F0">
        <w:rPr>
          <w:rFonts w:ascii="Arial" w:hAnsi="Arial" w:cs="Arial"/>
          <w:sz w:val="18"/>
          <w:szCs w:val="18"/>
        </w:rPr>
        <w:tab/>
        <w:t>Kompetence CÚ k výkonu dělené správy byla v kontrolovaném období upravena ustanovením § 5 odst. 4 písm. m) zákona č. 185/2004 Sb., podle kterého CÚ zajišťoval placení PP podle § 2 písm. d), nestanovil-li zvláštní právní předpis jinak; od 1. 1. 2013 je obecná příslušnost ke správě placení PP stanovena § 8 odst. 2 písm. a) zákona č. 17/2012 Sb.</w:t>
      </w:r>
    </w:p>
  </w:footnote>
  <w:footnote w:id="7">
    <w:p w14:paraId="406E0675" w14:textId="4EC9F6CC" w:rsidR="008C54C9" w:rsidRPr="00CA43F0" w:rsidRDefault="008C54C9" w:rsidP="00EA5F01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CA43F0">
        <w:rPr>
          <w:rStyle w:val="Znakapoznpodarou"/>
          <w:rFonts w:ascii="Arial" w:hAnsi="Arial" w:cs="Arial"/>
          <w:sz w:val="18"/>
          <w:szCs w:val="18"/>
        </w:rPr>
        <w:footnoteRef/>
      </w:r>
      <w:r w:rsidRPr="00CA43F0">
        <w:rPr>
          <w:rFonts w:ascii="Arial" w:hAnsi="Arial" w:cs="Arial"/>
          <w:sz w:val="18"/>
          <w:szCs w:val="18"/>
        </w:rPr>
        <w:t xml:space="preserve"> </w:t>
      </w:r>
      <w:r w:rsidRPr="00CA43F0">
        <w:rPr>
          <w:rFonts w:ascii="Arial" w:hAnsi="Arial" w:cs="Arial"/>
          <w:sz w:val="18"/>
          <w:szCs w:val="18"/>
        </w:rPr>
        <w:tab/>
        <w:t>Krajsk</w:t>
      </w:r>
      <w:r>
        <w:rPr>
          <w:rFonts w:ascii="Arial" w:hAnsi="Arial" w:cs="Arial"/>
          <w:sz w:val="18"/>
          <w:szCs w:val="18"/>
        </w:rPr>
        <w:t>é</w:t>
      </w:r>
      <w:r w:rsidRPr="00CA43F0">
        <w:rPr>
          <w:rFonts w:ascii="Arial" w:hAnsi="Arial" w:cs="Arial"/>
          <w:sz w:val="18"/>
          <w:szCs w:val="18"/>
        </w:rPr>
        <w:t xml:space="preserve"> veterinární správ</w:t>
      </w:r>
      <w:r>
        <w:rPr>
          <w:rFonts w:ascii="Arial" w:hAnsi="Arial" w:cs="Arial"/>
          <w:sz w:val="18"/>
          <w:szCs w:val="18"/>
        </w:rPr>
        <w:t>y</w:t>
      </w:r>
      <w:r w:rsidRPr="00CA43F0">
        <w:rPr>
          <w:rFonts w:ascii="Arial" w:hAnsi="Arial" w:cs="Arial"/>
          <w:sz w:val="18"/>
          <w:szCs w:val="18"/>
        </w:rPr>
        <w:t xml:space="preserve"> pro Ústecký kraj, Liberecký kraj a Jihomoravský kraj</w:t>
      </w:r>
      <w:r>
        <w:rPr>
          <w:rFonts w:ascii="Arial" w:hAnsi="Arial" w:cs="Arial"/>
          <w:sz w:val="18"/>
          <w:szCs w:val="18"/>
        </w:rPr>
        <w:t>.</w:t>
      </w:r>
    </w:p>
  </w:footnote>
  <w:footnote w:id="8">
    <w:p w14:paraId="27FF00FE" w14:textId="0532B35A" w:rsidR="008C54C9" w:rsidRPr="00625BAB" w:rsidRDefault="008C54C9" w:rsidP="00625BAB">
      <w:pPr>
        <w:pStyle w:val="Default"/>
        <w:ind w:left="284" w:hanging="284"/>
        <w:rPr>
          <w:sz w:val="18"/>
          <w:szCs w:val="18"/>
        </w:rPr>
      </w:pPr>
      <w:r w:rsidRPr="00625BAB">
        <w:rPr>
          <w:rStyle w:val="Znakapoznpodarou"/>
          <w:sz w:val="18"/>
          <w:szCs w:val="18"/>
        </w:rPr>
        <w:footnoteRef/>
      </w:r>
      <w:r w:rsidRPr="00625BAB">
        <w:rPr>
          <w:sz w:val="18"/>
          <w:szCs w:val="18"/>
        </w:rPr>
        <w:t xml:space="preserve"> </w:t>
      </w:r>
      <w:r w:rsidRPr="00625BAB">
        <w:rPr>
          <w:sz w:val="18"/>
          <w:szCs w:val="18"/>
        </w:rPr>
        <w:tab/>
        <w:t xml:space="preserve">S ohledem na gramatický právní výklad by pro skutečnost, že § 162 odst. 2 </w:t>
      </w:r>
      <w:r>
        <w:rPr>
          <w:sz w:val="18"/>
          <w:szCs w:val="18"/>
        </w:rPr>
        <w:t xml:space="preserve">DŘ </w:t>
      </w:r>
      <w:r w:rsidRPr="00625BAB">
        <w:rPr>
          <w:sz w:val="18"/>
          <w:szCs w:val="18"/>
        </w:rPr>
        <w:t xml:space="preserve">lhůtu stanoví, svědčilo, pokud </w:t>
      </w:r>
      <w:r>
        <w:rPr>
          <w:sz w:val="18"/>
          <w:szCs w:val="18"/>
        </w:rPr>
        <w:t xml:space="preserve">by </w:t>
      </w:r>
      <w:r w:rsidRPr="00625BAB">
        <w:rPr>
          <w:sz w:val="18"/>
          <w:szCs w:val="18"/>
        </w:rPr>
        <w:t>vět</w:t>
      </w:r>
      <w:r>
        <w:rPr>
          <w:sz w:val="18"/>
          <w:szCs w:val="18"/>
        </w:rPr>
        <w:t>a</w:t>
      </w:r>
      <w:r w:rsidRPr="00625BAB">
        <w:rPr>
          <w:sz w:val="18"/>
          <w:szCs w:val="18"/>
        </w:rPr>
        <w:t xml:space="preserve"> „</w:t>
      </w:r>
      <w:r w:rsidRPr="00B1103A">
        <w:rPr>
          <w:i/>
          <w:sz w:val="18"/>
          <w:szCs w:val="18"/>
        </w:rPr>
        <w:t>které nebylo dobrovolně uhrazeno</w:t>
      </w:r>
      <w:r w:rsidRPr="00625BAB">
        <w:rPr>
          <w:sz w:val="18"/>
          <w:szCs w:val="18"/>
        </w:rPr>
        <w:t>“ byla oddělena čárkami z obou stran.</w:t>
      </w:r>
    </w:p>
  </w:footnote>
  <w:footnote w:id="9">
    <w:p w14:paraId="7A31FFDF" w14:textId="051733CE" w:rsidR="008C54C9" w:rsidRPr="00584B66" w:rsidRDefault="008C54C9" w:rsidP="003C6081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1238BC">
        <w:rPr>
          <w:rStyle w:val="Znakapoznpodarou"/>
          <w:rFonts w:ascii="Arial" w:hAnsi="Arial" w:cs="Arial"/>
          <w:sz w:val="18"/>
          <w:szCs w:val="18"/>
        </w:rPr>
        <w:footnoteRef/>
      </w:r>
      <w:r w:rsidRPr="001238BC">
        <w:rPr>
          <w:rFonts w:ascii="Arial" w:hAnsi="Arial" w:cs="Arial"/>
          <w:sz w:val="18"/>
          <w:szCs w:val="18"/>
        </w:rPr>
        <w:t xml:space="preserve"> </w:t>
      </w:r>
      <w:r w:rsidRPr="001238BC">
        <w:rPr>
          <w:rFonts w:ascii="Arial" w:hAnsi="Arial" w:cs="Arial"/>
          <w:sz w:val="18"/>
          <w:szCs w:val="18"/>
        </w:rPr>
        <w:tab/>
        <w:t xml:space="preserve">Z důvodu vyhodnocení kontrolované problematiky NKÚ zjišťoval, v jaké době po uplynutí lhůty splatnosti PP předávali ukladatelé správu vymáhání celním úřadům. NKÚ </w:t>
      </w:r>
      <w:r>
        <w:rPr>
          <w:rFonts w:ascii="Arial" w:hAnsi="Arial" w:cs="Arial"/>
          <w:sz w:val="18"/>
          <w:szCs w:val="18"/>
        </w:rPr>
        <w:t>tedy zjišťoval</w:t>
      </w:r>
      <w:r w:rsidRPr="001238BC">
        <w:rPr>
          <w:rFonts w:ascii="Arial" w:hAnsi="Arial" w:cs="Arial"/>
          <w:sz w:val="18"/>
          <w:szCs w:val="18"/>
        </w:rPr>
        <w:t>, z</w:t>
      </w:r>
      <w:r>
        <w:rPr>
          <w:rFonts w:ascii="Arial" w:hAnsi="Arial" w:cs="Arial"/>
          <w:sz w:val="18"/>
          <w:szCs w:val="18"/>
        </w:rPr>
        <w:t>da ukladatelé předávali údaje o </w:t>
      </w:r>
      <w:r w:rsidRPr="001238BC">
        <w:rPr>
          <w:rFonts w:ascii="Arial" w:hAnsi="Arial" w:cs="Arial"/>
          <w:sz w:val="18"/>
          <w:szCs w:val="18"/>
        </w:rPr>
        <w:t>PP do 30 dn</w:t>
      </w:r>
      <w:r>
        <w:rPr>
          <w:rFonts w:ascii="Arial" w:hAnsi="Arial" w:cs="Arial"/>
          <w:sz w:val="18"/>
          <w:szCs w:val="18"/>
        </w:rPr>
        <w:t xml:space="preserve">ů po marném </w:t>
      </w:r>
      <w:r w:rsidRPr="001238BC">
        <w:rPr>
          <w:rFonts w:ascii="Arial" w:hAnsi="Arial" w:cs="Arial"/>
          <w:sz w:val="18"/>
          <w:szCs w:val="18"/>
        </w:rPr>
        <w:t xml:space="preserve">uplynutí </w:t>
      </w:r>
      <w:r>
        <w:rPr>
          <w:rFonts w:ascii="Arial" w:hAnsi="Arial" w:cs="Arial"/>
          <w:sz w:val="18"/>
          <w:szCs w:val="18"/>
        </w:rPr>
        <w:t xml:space="preserve">lhůty </w:t>
      </w:r>
      <w:r w:rsidRPr="001238BC">
        <w:rPr>
          <w:rFonts w:ascii="Arial" w:hAnsi="Arial" w:cs="Arial"/>
          <w:sz w:val="18"/>
          <w:szCs w:val="18"/>
        </w:rPr>
        <w:t>splatnosti PP (</w:t>
      </w:r>
      <w:r>
        <w:rPr>
          <w:rFonts w:ascii="Arial" w:hAnsi="Arial" w:cs="Arial"/>
          <w:sz w:val="18"/>
          <w:szCs w:val="18"/>
        </w:rPr>
        <w:t>tzv. „sledovaná</w:t>
      </w:r>
      <w:r w:rsidRPr="001238BC">
        <w:rPr>
          <w:rFonts w:ascii="Arial" w:hAnsi="Arial" w:cs="Arial"/>
          <w:sz w:val="18"/>
          <w:szCs w:val="18"/>
        </w:rPr>
        <w:t xml:space="preserve"> doba</w:t>
      </w:r>
      <w:r>
        <w:rPr>
          <w:rFonts w:ascii="Arial" w:hAnsi="Arial" w:cs="Arial"/>
          <w:sz w:val="18"/>
          <w:szCs w:val="18"/>
        </w:rPr>
        <w:t>“</w:t>
      </w:r>
      <w:r w:rsidRPr="001238BC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. Uvedené zjišťování bylo prováděno s přihlédnutím k předpokladu, že záměrem zákonodárce bylo nastavení lhůty pro </w:t>
      </w:r>
      <w:r w:rsidRPr="00584B66">
        <w:rPr>
          <w:rFonts w:ascii="Arial" w:hAnsi="Arial" w:cs="Arial"/>
          <w:sz w:val="18"/>
          <w:szCs w:val="18"/>
        </w:rPr>
        <w:t xml:space="preserve">předávání </w:t>
      </w:r>
      <w:r>
        <w:rPr>
          <w:rFonts w:ascii="Arial" w:hAnsi="Arial" w:cs="Arial"/>
          <w:sz w:val="18"/>
          <w:szCs w:val="18"/>
        </w:rPr>
        <w:t>PP i </w:t>
      </w:r>
      <w:r w:rsidRPr="00584B66">
        <w:rPr>
          <w:rFonts w:ascii="Arial" w:hAnsi="Arial" w:cs="Arial"/>
          <w:sz w:val="18"/>
          <w:szCs w:val="18"/>
        </w:rPr>
        <w:t>v případ</w:t>
      </w:r>
      <w:r>
        <w:rPr>
          <w:rFonts w:ascii="Arial" w:hAnsi="Arial" w:cs="Arial"/>
          <w:sz w:val="18"/>
          <w:szCs w:val="18"/>
        </w:rPr>
        <w:t>ech</w:t>
      </w:r>
      <w:r w:rsidRPr="00584B66">
        <w:rPr>
          <w:rFonts w:ascii="Arial" w:hAnsi="Arial" w:cs="Arial"/>
          <w:sz w:val="18"/>
          <w:szCs w:val="18"/>
        </w:rPr>
        <w:t xml:space="preserve"> předávání správy vymáhání PP (ustanovení § 162 odst. 2 DŘ).</w:t>
      </w:r>
    </w:p>
  </w:footnote>
  <w:footnote w:id="10">
    <w:p w14:paraId="54EE7175" w14:textId="0C2F5E19" w:rsidR="008C54C9" w:rsidRPr="00553586" w:rsidRDefault="008C54C9" w:rsidP="006A2AD9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B1103A">
        <w:rPr>
          <w:rStyle w:val="Znakapoznpodarou"/>
          <w:rFonts w:ascii="Arial" w:hAnsi="Arial" w:cs="Arial"/>
          <w:sz w:val="18"/>
          <w:szCs w:val="18"/>
        </w:rPr>
        <w:footnoteRef/>
      </w:r>
      <w:r w:rsidRPr="00B1103A">
        <w:rPr>
          <w:rFonts w:ascii="Arial" w:hAnsi="Arial" w:cs="Arial"/>
          <w:sz w:val="18"/>
          <w:szCs w:val="18"/>
        </w:rPr>
        <w:t xml:space="preserve"> </w:t>
      </w:r>
      <w:r>
        <w:tab/>
      </w:r>
      <w:r>
        <w:rPr>
          <w:rFonts w:ascii="Arial" w:hAnsi="Arial" w:cs="Arial"/>
          <w:sz w:val="18"/>
          <w:szCs w:val="18"/>
        </w:rPr>
        <w:t>Stav peněžitých plnění byl posuzován jednotně k datu 20. 11. 2013. Rozdíl mezi celkovou hodnotou výše zaevidovaných PP a součtem sum vybraných PP, vymožených PP a nedoplatků z kontrolovaného vzorku činil 525 850 Kč a byl způsoben zejména v důsledku vydaných rozhodnutí o opravných prostředcích.</w:t>
      </w:r>
    </w:p>
  </w:footnote>
  <w:footnote w:id="11">
    <w:p w14:paraId="7759A306" w14:textId="340A45E1" w:rsidR="008C54C9" w:rsidRPr="00483F1F" w:rsidRDefault="008C54C9" w:rsidP="006A2AD9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B1103A">
        <w:rPr>
          <w:rStyle w:val="Znakapoznpodarou"/>
          <w:rFonts w:ascii="Arial" w:hAnsi="Arial" w:cs="Arial"/>
          <w:sz w:val="18"/>
          <w:szCs w:val="18"/>
        </w:rPr>
        <w:footnoteRef/>
      </w:r>
      <w:r w:rsidRPr="00B1103A">
        <w:rPr>
          <w:rFonts w:ascii="Arial" w:hAnsi="Arial" w:cs="Arial"/>
          <w:sz w:val="18"/>
          <w:szCs w:val="18"/>
        </w:rPr>
        <w:t xml:space="preserve"> </w:t>
      </w:r>
      <w:r w:rsidRPr="00B1103A">
        <w:rPr>
          <w:rFonts w:ascii="Arial" w:hAnsi="Arial" w:cs="Arial"/>
          <w:sz w:val="18"/>
          <w:szCs w:val="18"/>
        </w:rPr>
        <w:tab/>
      </w:r>
      <w:r w:rsidRPr="00483F1F">
        <w:rPr>
          <w:rFonts w:ascii="Arial" w:hAnsi="Arial" w:cs="Arial"/>
          <w:sz w:val="18"/>
          <w:szCs w:val="18"/>
        </w:rPr>
        <w:t>NKÚ zjiš</w:t>
      </w:r>
      <w:r>
        <w:rPr>
          <w:rFonts w:ascii="Arial" w:hAnsi="Arial" w:cs="Arial"/>
          <w:sz w:val="18"/>
          <w:szCs w:val="18"/>
        </w:rPr>
        <w:t xml:space="preserve">ťoval úkony CÚ směřující k vymožení nedoplatku. Jednalo se zejména o zjišťování stavu peněžních prostředků na účtech dlužníka, zjišťování zaměstnavatele dlužníka (exekuce srážkami ze mzdy), zjišťování movitých a nemovitých věcí postižitelných exekucí apod. Za nepřiměřené NKÚ považoval, pokud CÚ nevyužil veškeré možné prostředky k zjištění majetku dlužníka nebo pokud CÚ nepřistoupil k exekuci bezodkladně poté, co majetek postižitelný exekucí zjistil. Dále bylo za nepřiměřené </w:t>
      </w:r>
      <w:r w:rsidRPr="0083349A">
        <w:rPr>
          <w:rFonts w:ascii="Arial" w:hAnsi="Arial" w:cs="Arial"/>
          <w:sz w:val="18"/>
          <w:szCs w:val="18"/>
        </w:rPr>
        <w:t xml:space="preserve">považováno, pokud byl CÚ při vymáhání konkrétního nedoplatku nečinný déle než 1 rok nebo </w:t>
      </w:r>
      <w:r>
        <w:rPr>
          <w:rFonts w:ascii="Arial" w:hAnsi="Arial" w:cs="Arial"/>
          <w:sz w:val="18"/>
          <w:szCs w:val="18"/>
        </w:rPr>
        <w:t>pokud</w:t>
      </w:r>
      <w:r w:rsidRPr="0083349A">
        <w:rPr>
          <w:rFonts w:ascii="Arial" w:hAnsi="Arial" w:cs="Arial"/>
          <w:sz w:val="18"/>
          <w:szCs w:val="18"/>
        </w:rPr>
        <w:t xml:space="preserve"> neprovedl žádný úkon směřující k vybrání/vymožení nedoplatku v době tří měsíců od zaevidování splatného PP.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0BBB"/>
    <w:multiLevelType w:val="hybridMultilevel"/>
    <w:tmpl w:val="0EE4A502"/>
    <w:lvl w:ilvl="0" w:tplc="EDFC796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806C6"/>
    <w:multiLevelType w:val="hybridMultilevel"/>
    <w:tmpl w:val="B5A651B8"/>
    <w:lvl w:ilvl="0" w:tplc="EDFC796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F6A70"/>
    <w:multiLevelType w:val="hybridMultilevel"/>
    <w:tmpl w:val="04045C30"/>
    <w:lvl w:ilvl="0" w:tplc="D590792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8756D47"/>
    <w:multiLevelType w:val="hybridMultilevel"/>
    <w:tmpl w:val="1BA61A6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66D23"/>
    <w:multiLevelType w:val="hybridMultilevel"/>
    <w:tmpl w:val="6FBAA3C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C3EA9"/>
    <w:multiLevelType w:val="hybridMultilevel"/>
    <w:tmpl w:val="2B4A16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E1B29"/>
    <w:multiLevelType w:val="hybridMultilevel"/>
    <w:tmpl w:val="4596D94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85B39B8"/>
    <w:multiLevelType w:val="hybridMultilevel"/>
    <w:tmpl w:val="107018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A156A"/>
    <w:multiLevelType w:val="hybridMultilevel"/>
    <w:tmpl w:val="104A61E6"/>
    <w:lvl w:ilvl="0" w:tplc="0786215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E4B3D"/>
    <w:multiLevelType w:val="hybridMultilevel"/>
    <w:tmpl w:val="1D56B4E4"/>
    <w:lvl w:ilvl="0" w:tplc="8AD6C9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B4642"/>
    <w:multiLevelType w:val="hybridMultilevel"/>
    <w:tmpl w:val="2578F1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D7583"/>
    <w:multiLevelType w:val="hybridMultilevel"/>
    <w:tmpl w:val="F5F0BC8E"/>
    <w:lvl w:ilvl="0" w:tplc="31226A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F2E5B"/>
    <w:multiLevelType w:val="hybridMultilevel"/>
    <w:tmpl w:val="5148C51A"/>
    <w:lvl w:ilvl="0" w:tplc="7938B9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B40BB5"/>
    <w:multiLevelType w:val="hybridMultilevel"/>
    <w:tmpl w:val="AB9C17BC"/>
    <w:lvl w:ilvl="0" w:tplc="D59079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7657C"/>
    <w:multiLevelType w:val="hybridMultilevel"/>
    <w:tmpl w:val="18FC04CE"/>
    <w:lvl w:ilvl="0" w:tplc="6D98C9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274AC"/>
    <w:multiLevelType w:val="hybridMultilevel"/>
    <w:tmpl w:val="C69001CC"/>
    <w:lvl w:ilvl="0" w:tplc="040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4836B33"/>
    <w:multiLevelType w:val="hybridMultilevel"/>
    <w:tmpl w:val="9788E47C"/>
    <w:lvl w:ilvl="0" w:tplc="31226A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D10D3F"/>
    <w:multiLevelType w:val="hybridMultilevel"/>
    <w:tmpl w:val="F3DAAB4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6718A"/>
    <w:multiLevelType w:val="hybridMultilevel"/>
    <w:tmpl w:val="12C8F0A8"/>
    <w:lvl w:ilvl="0" w:tplc="D59079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F50647"/>
    <w:multiLevelType w:val="hybridMultilevel"/>
    <w:tmpl w:val="25AA3A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EA7673"/>
    <w:multiLevelType w:val="hybridMultilevel"/>
    <w:tmpl w:val="B1C0BB6E"/>
    <w:lvl w:ilvl="0" w:tplc="31226AFE">
      <w:start w:val="5"/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2CC09F3"/>
    <w:multiLevelType w:val="hybridMultilevel"/>
    <w:tmpl w:val="3DFA22C4"/>
    <w:lvl w:ilvl="0" w:tplc="C10699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397637"/>
    <w:multiLevelType w:val="hybridMultilevel"/>
    <w:tmpl w:val="BB02D1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D6A52"/>
    <w:multiLevelType w:val="hybridMultilevel"/>
    <w:tmpl w:val="7CAE7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5493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2624F5"/>
    <w:multiLevelType w:val="hybridMultilevel"/>
    <w:tmpl w:val="ADEA8ED8"/>
    <w:lvl w:ilvl="0" w:tplc="D7D2122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74DB7"/>
    <w:multiLevelType w:val="hybridMultilevel"/>
    <w:tmpl w:val="01160B9E"/>
    <w:lvl w:ilvl="0" w:tplc="14ECEC1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3"/>
  </w:num>
  <w:num w:numId="4">
    <w:abstractNumId w:val="10"/>
  </w:num>
  <w:num w:numId="5">
    <w:abstractNumId w:val="4"/>
  </w:num>
  <w:num w:numId="6">
    <w:abstractNumId w:val="5"/>
  </w:num>
  <w:num w:numId="7">
    <w:abstractNumId w:val="17"/>
  </w:num>
  <w:num w:numId="8">
    <w:abstractNumId w:val="25"/>
  </w:num>
  <w:num w:numId="9">
    <w:abstractNumId w:val="6"/>
  </w:num>
  <w:num w:numId="10">
    <w:abstractNumId w:val="3"/>
  </w:num>
  <w:num w:numId="11">
    <w:abstractNumId w:val="11"/>
  </w:num>
  <w:num w:numId="12">
    <w:abstractNumId w:val="15"/>
  </w:num>
  <w:num w:numId="13">
    <w:abstractNumId w:val="20"/>
  </w:num>
  <w:num w:numId="14">
    <w:abstractNumId w:val="16"/>
  </w:num>
  <w:num w:numId="15">
    <w:abstractNumId w:val="7"/>
  </w:num>
  <w:num w:numId="16">
    <w:abstractNumId w:val="22"/>
  </w:num>
  <w:num w:numId="17">
    <w:abstractNumId w:val="8"/>
  </w:num>
  <w:num w:numId="18">
    <w:abstractNumId w:val="26"/>
  </w:num>
  <w:num w:numId="19">
    <w:abstractNumId w:val="23"/>
  </w:num>
  <w:num w:numId="20">
    <w:abstractNumId w:val="14"/>
  </w:num>
  <w:num w:numId="21">
    <w:abstractNumId w:val="0"/>
  </w:num>
  <w:num w:numId="22">
    <w:abstractNumId w:val="1"/>
  </w:num>
  <w:num w:numId="23">
    <w:abstractNumId w:val="12"/>
  </w:num>
  <w:num w:numId="24">
    <w:abstractNumId w:val="9"/>
  </w:num>
  <w:num w:numId="25">
    <w:abstractNumId w:val="21"/>
  </w:num>
  <w:num w:numId="26">
    <w:abstractNumId w:val="1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9D"/>
    <w:rsid w:val="00002F3F"/>
    <w:rsid w:val="000043A1"/>
    <w:rsid w:val="0000473F"/>
    <w:rsid w:val="0001523F"/>
    <w:rsid w:val="00016C68"/>
    <w:rsid w:val="000229F6"/>
    <w:rsid w:val="0002332B"/>
    <w:rsid w:val="00027950"/>
    <w:rsid w:val="00030012"/>
    <w:rsid w:val="000313AC"/>
    <w:rsid w:val="00031BA0"/>
    <w:rsid w:val="000368B2"/>
    <w:rsid w:val="00041668"/>
    <w:rsid w:val="00043432"/>
    <w:rsid w:val="00054735"/>
    <w:rsid w:val="00055F00"/>
    <w:rsid w:val="00063390"/>
    <w:rsid w:val="00063A66"/>
    <w:rsid w:val="000674A7"/>
    <w:rsid w:val="00070222"/>
    <w:rsid w:val="00071192"/>
    <w:rsid w:val="00077DDD"/>
    <w:rsid w:val="00080FC5"/>
    <w:rsid w:val="00082343"/>
    <w:rsid w:val="0009222E"/>
    <w:rsid w:val="00096643"/>
    <w:rsid w:val="000A3370"/>
    <w:rsid w:val="000B07D9"/>
    <w:rsid w:val="000B46D7"/>
    <w:rsid w:val="000B4964"/>
    <w:rsid w:val="000B4D8F"/>
    <w:rsid w:val="000B64BE"/>
    <w:rsid w:val="000B79DD"/>
    <w:rsid w:val="000C1EA7"/>
    <w:rsid w:val="000C6720"/>
    <w:rsid w:val="000D20AC"/>
    <w:rsid w:val="000D2672"/>
    <w:rsid w:val="000E6CA2"/>
    <w:rsid w:val="000F438D"/>
    <w:rsid w:val="000F56BD"/>
    <w:rsid w:val="001018EC"/>
    <w:rsid w:val="001019F0"/>
    <w:rsid w:val="00101E54"/>
    <w:rsid w:val="00101F29"/>
    <w:rsid w:val="001035FF"/>
    <w:rsid w:val="00103E88"/>
    <w:rsid w:val="00107B79"/>
    <w:rsid w:val="00110BD1"/>
    <w:rsid w:val="001114D6"/>
    <w:rsid w:val="00114AF5"/>
    <w:rsid w:val="00114FF6"/>
    <w:rsid w:val="001238BC"/>
    <w:rsid w:val="00131547"/>
    <w:rsid w:val="00132FDE"/>
    <w:rsid w:val="00134916"/>
    <w:rsid w:val="001514F7"/>
    <w:rsid w:val="00157721"/>
    <w:rsid w:val="00163C90"/>
    <w:rsid w:val="00163FBE"/>
    <w:rsid w:val="0016771C"/>
    <w:rsid w:val="00170022"/>
    <w:rsid w:val="00171E31"/>
    <w:rsid w:val="001800D5"/>
    <w:rsid w:val="00180F37"/>
    <w:rsid w:val="00182F4C"/>
    <w:rsid w:val="00185985"/>
    <w:rsid w:val="00187B11"/>
    <w:rsid w:val="00196DE8"/>
    <w:rsid w:val="001B421A"/>
    <w:rsid w:val="001B51B8"/>
    <w:rsid w:val="001C20B9"/>
    <w:rsid w:val="001C4449"/>
    <w:rsid w:val="001D156C"/>
    <w:rsid w:val="001D3795"/>
    <w:rsid w:val="001D37CE"/>
    <w:rsid w:val="001D55B9"/>
    <w:rsid w:val="001D65DA"/>
    <w:rsid w:val="001E0D96"/>
    <w:rsid w:val="001E10CB"/>
    <w:rsid w:val="001F4F1C"/>
    <w:rsid w:val="002025BC"/>
    <w:rsid w:val="0020403F"/>
    <w:rsid w:val="0021363C"/>
    <w:rsid w:val="0021722D"/>
    <w:rsid w:val="0022363E"/>
    <w:rsid w:val="002261D7"/>
    <w:rsid w:val="00241D28"/>
    <w:rsid w:val="00241E72"/>
    <w:rsid w:val="002464ED"/>
    <w:rsid w:val="00250331"/>
    <w:rsid w:val="0026008A"/>
    <w:rsid w:val="00261A6C"/>
    <w:rsid w:val="00262689"/>
    <w:rsid w:val="00266F0E"/>
    <w:rsid w:val="00272A18"/>
    <w:rsid w:val="00274387"/>
    <w:rsid w:val="0027745F"/>
    <w:rsid w:val="00277951"/>
    <w:rsid w:val="00280B5A"/>
    <w:rsid w:val="00282A57"/>
    <w:rsid w:val="002851A1"/>
    <w:rsid w:val="002900D4"/>
    <w:rsid w:val="002912F2"/>
    <w:rsid w:val="0029180E"/>
    <w:rsid w:val="00294267"/>
    <w:rsid w:val="0029455D"/>
    <w:rsid w:val="002945A5"/>
    <w:rsid w:val="0029746C"/>
    <w:rsid w:val="002A06F8"/>
    <w:rsid w:val="002A1784"/>
    <w:rsid w:val="002A7A17"/>
    <w:rsid w:val="002B5CDB"/>
    <w:rsid w:val="002D1F8C"/>
    <w:rsid w:val="002D31DD"/>
    <w:rsid w:val="002D3FAD"/>
    <w:rsid w:val="002D558D"/>
    <w:rsid w:val="002D7CE3"/>
    <w:rsid w:val="002E0EDC"/>
    <w:rsid w:val="002F13D5"/>
    <w:rsid w:val="002F1A3D"/>
    <w:rsid w:val="002F2E3C"/>
    <w:rsid w:val="002F3D6F"/>
    <w:rsid w:val="002F5E53"/>
    <w:rsid w:val="002F6FA4"/>
    <w:rsid w:val="003006B7"/>
    <w:rsid w:val="003100DB"/>
    <w:rsid w:val="0032290D"/>
    <w:rsid w:val="003258B6"/>
    <w:rsid w:val="00327009"/>
    <w:rsid w:val="00337426"/>
    <w:rsid w:val="00337E46"/>
    <w:rsid w:val="00340BC0"/>
    <w:rsid w:val="00342F26"/>
    <w:rsid w:val="00345BDB"/>
    <w:rsid w:val="00354CA2"/>
    <w:rsid w:val="00354DB8"/>
    <w:rsid w:val="00355803"/>
    <w:rsid w:val="003639BA"/>
    <w:rsid w:val="00364CBB"/>
    <w:rsid w:val="003655B2"/>
    <w:rsid w:val="0036654E"/>
    <w:rsid w:val="003738C8"/>
    <w:rsid w:val="00375261"/>
    <w:rsid w:val="0037538A"/>
    <w:rsid w:val="003841C3"/>
    <w:rsid w:val="00385B1A"/>
    <w:rsid w:val="0038645B"/>
    <w:rsid w:val="00391749"/>
    <w:rsid w:val="00392964"/>
    <w:rsid w:val="0039614E"/>
    <w:rsid w:val="003A5023"/>
    <w:rsid w:val="003B0001"/>
    <w:rsid w:val="003B4661"/>
    <w:rsid w:val="003C1A30"/>
    <w:rsid w:val="003C5EC3"/>
    <w:rsid w:val="003C6081"/>
    <w:rsid w:val="003D409D"/>
    <w:rsid w:val="003D73B9"/>
    <w:rsid w:val="003E2E06"/>
    <w:rsid w:val="003E6AF3"/>
    <w:rsid w:val="003E714B"/>
    <w:rsid w:val="003E7DF0"/>
    <w:rsid w:val="003F5587"/>
    <w:rsid w:val="003F6001"/>
    <w:rsid w:val="003F60B0"/>
    <w:rsid w:val="003F7EFB"/>
    <w:rsid w:val="00402AC6"/>
    <w:rsid w:val="00403DB8"/>
    <w:rsid w:val="00405340"/>
    <w:rsid w:val="0040618A"/>
    <w:rsid w:val="004139F5"/>
    <w:rsid w:val="00414583"/>
    <w:rsid w:val="00414E55"/>
    <w:rsid w:val="00416018"/>
    <w:rsid w:val="00423476"/>
    <w:rsid w:val="004310B7"/>
    <w:rsid w:val="004310F7"/>
    <w:rsid w:val="0043505C"/>
    <w:rsid w:val="00435099"/>
    <w:rsid w:val="00441429"/>
    <w:rsid w:val="004447E0"/>
    <w:rsid w:val="00454C7B"/>
    <w:rsid w:val="004554B1"/>
    <w:rsid w:val="0046135C"/>
    <w:rsid w:val="00461BD9"/>
    <w:rsid w:val="00461E67"/>
    <w:rsid w:val="00471FB1"/>
    <w:rsid w:val="00474AE1"/>
    <w:rsid w:val="00476B75"/>
    <w:rsid w:val="00483F1F"/>
    <w:rsid w:val="00493175"/>
    <w:rsid w:val="004A0739"/>
    <w:rsid w:val="004A49F7"/>
    <w:rsid w:val="004A5811"/>
    <w:rsid w:val="004A6644"/>
    <w:rsid w:val="004C0B4E"/>
    <w:rsid w:val="004C34BF"/>
    <w:rsid w:val="004D287A"/>
    <w:rsid w:val="004D5935"/>
    <w:rsid w:val="004E002B"/>
    <w:rsid w:val="004E10BE"/>
    <w:rsid w:val="004E682A"/>
    <w:rsid w:val="004F32FF"/>
    <w:rsid w:val="0050529D"/>
    <w:rsid w:val="0050547A"/>
    <w:rsid w:val="00512471"/>
    <w:rsid w:val="00512AF1"/>
    <w:rsid w:val="00516BD0"/>
    <w:rsid w:val="005254B0"/>
    <w:rsid w:val="00526451"/>
    <w:rsid w:val="005273FE"/>
    <w:rsid w:val="005274C8"/>
    <w:rsid w:val="00530C26"/>
    <w:rsid w:val="00533ADB"/>
    <w:rsid w:val="00535550"/>
    <w:rsid w:val="00552D67"/>
    <w:rsid w:val="00553586"/>
    <w:rsid w:val="00557ACF"/>
    <w:rsid w:val="00563315"/>
    <w:rsid w:val="00563600"/>
    <w:rsid w:val="00565C0E"/>
    <w:rsid w:val="00565E62"/>
    <w:rsid w:val="005700D8"/>
    <w:rsid w:val="00571E0E"/>
    <w:rsid w:val="0057252B"/>
    <w:rsid w:val="00573885"/>
    <w:rsid w:val="00581AD9"/>
    <w:rsid w:val="00584B66"/>
    <w:rsid w:val="00592F16"/>
    <w:rsid w:val="0059400D"/>
    <w:rsid w:val="00596579"/>
    <w:rsid w:val="005A1553"/>
    <w:rsid w:val="005A3D60"/>
    <w:rsid w:val="005A5A48"/>
    <w:rsid w:val="005A6A43"/>
    <w:rsid w:val="005B2F6C"/>
    <w:rsid w:val="005B5008"/>
    <w:rsid w:val="005C039F"/>
    <w:rsid w:val="005C1534"/>
    <w:rsid w:val="005C5868"/>
    <w:rsid w:val="005D0DD5"/>
    <w:rsid w:val="005E0332"/>
    <w:rsid w:val="005E2EE1"/>
    <w:rsid w:val="005E3D09"/>
    <w:rsid w:val="005E68B8"/>
    <w:rsid w:val="005F01CE"/>
    <w:rsid w:val="005F6F15"/>
    <w:rsid w:val="005F797B"/>
    <w:rsid w:val="006063BD"/>
    <w:rsid w:val="00607F59"/>
    <w:rsid w:val="00617290"/>
    <w:rsid w:val="00620A88"/>
    <w:rsid w:val="00624B6B"/>
    <w:rsid w:val="00625BAB"/>
    <w:rsid w:val="0064076A"/>
    <w:rsid w:val="00646F42"/>
    <w:rsid w:val="0065670C"/>
    <w:rsid w:val="00661C9C"/>
    <w:rsid w:val="00662154"/>
    <w:rsid w:val="00663270"/>
    <w:rsid w:val="00667CF0"/>
    <w:rsid w:val="006722F4"/>
    <w:rsid w:val="00674591"/>
    <w:rsid w:val="00681E6C"/>
    <w:rsid w:val="00684F5B"/>
    <w:rsid w:val="006911CF"/>
    <w:rsid w:val="006A11AD"/>
    <w:rsid w:val="006A2AD9"/>
    <w:rsid w:val="006A3444"/>
    <w:rsid w:val="006A4BBF"/>
    <w:rsid w:val="006A5F8D"/>
    <w:rsid w:val="006A79D0"/>
    <w:rsid w:val="006B1004"/>
    <w:rsid w:val="006B5FC0"/>
    <w:rsid w:val="006C0155"/>
    <w:rsid w:val="006D0A77"/>
    <w:rsid w:val="006D0FA2"/>
    <w:rsid w:val="006D1758"/>
    <w:rsid w:val="006D2D87"/>
    <w:rsid w:val="006D6599"/>
    <w:rsid w:val="006D699B"/>
    <w:rsid w:val="006D6E39"/>
    <w:rsid w:val="006D77B7"/>
    <w:rsid w:val="006E22E5"/>
    <w:rsid w:val="006F143F"/>
    <w:rsid w:val="006F3E10"/>
    <w:rsid w:val="006F5921"/>
    <w:rsid w:val="006F73D8"/>
    <w:rsid w:val="007020B2"/>
    <w:rsid w:val="00705BE5"/>
    <w:rsid w:val="00706FC0"/>
    <w:rsid w:val="00715114"/>
    <w:rsid w:val="007201BD"/>
    <w:rsid w:val="007211D1"/>
    <w:rsid w:val="00721398"/>
    <w:rsid w:val="00724F80"/>
    <w:rsid w:val="00725BE3"/>
    <w:rsid w:val="0072741F"/>
    <w:rsid w:val="0073256C"/>
    <w:rsid w:val="00734131"/>
    <w:rsid w:val="00737289"/>
    <w:rsid w:val="00741BEB"/>
    <w:rsid w:val="0074221C"/>
    <w:rsid w:val="007422EB"/>
    <w:rsid w:val="00743EF0"/>
    <w:rsid w:val="00743F08"/>
    <w:rsid w:val="00744021"/>
    <w:rsid w:val="00744630"/>
    <w:rsid w:val="00744F2D"/>
    <w:rsid w:val="0075270B"/>
    <w:rsid w:val="00756FD8"/>
    <w:rsid w:val="007616E6"/>
    <w:rsid w:val="00763668"/>
    <w:rsid w:val="00765562"/>
    <w:rsid w:val="00766597"/>
    <w:rsid w:val="00776285"/>
    <w:rsid w:val="00777C9E"/>
    <w:rsid w:val="00784862"/>
    <w:rsid w:val="00791A2F"/>
    <w:rsid w:val="00795488"/>
    <w:rsid w:val="007A1779"/>
    <w:rsid w:val="007B60C3"/>
    <w:rsid w:val="007C10FE"/>
    <w:rsid w:val="007C1507"/>
    <w:rsid w:val="007C31C0"/>
    <w:rsid w:val="007C5D18"/>
    <w:rsid w:val="007D1A44"/>
    <w:rsid w:val="007D6A34"/>
    <w:rsid w:val="007D7E0E"/>
    <w:rsid w:val="007E1958"/>
    <w:rsid w:val="007F14D8"/>
    <w:rsid w:val="007F3FF6"/>
    <w:rsid w:val="007F452A"/>
    <w:rsid w:val="007F581E"/>
    <w:rsid w:val="007F6765"/>
    <w:rsid w:val="008026DA"/>
    <w:rsid w:val="00802D02"/>
    <w:rsid w:val="00810509"/>
    <w:rsid w:val="0081587E"/>
    <w:rsid w:val="00822172"/>
    <w:rsid w:val="00823121"/>
    <w:rsid w:val="0082460E"/>
    <w:rsid w:val="00825F53"/>
    <w:rsid w:val="00826C38"/>
    <w:rsid w:val="00827E3E"/>
    <w:rsid w:val="008320D5"/>
    <w:rsid w:val="0083349A"/>
    <w:rsid w:val="0083366B"/>
    <w:rsid w:val="008403EA"/>
    <w:rsid w:val="008429B2"/>
    <w:rsid w:val="008510B8"/>
    <w:rsid w:val="0085384A"/>
    <w:rsid w:val="0086003E"/>
    <w:rsid w:val="0086169A"/>
    <w:rsid w:val="008619D0"/>
    <w:rsid w:val="00862367"/>
    <w:rsid w:val="00863F9F"/>
    <w:rsid w:val="0087132C"/>
    <w:rsid w:val="008731DA"/>
    <w:rsid w:val="00874B48"/>
    <w:rsid w:val="0088066B"/>
    <w:rsid w:val="0088583D"/>
    <w:rsid w:val="0088662F"/>
    <w:rsid w:val="00887548"/>
    <w:rsid w:val="00887F3D"/>
    <w:rsid w:val="00894772"/>
    <w:rsid w:val="0089481D"/>
    <w:rsid w:val="00894B36"/>
    <w:rsid w:val="00897FB6"/>
    <w:rsid w:val="008A20C7"/>
    <w:rsid w:val="008A3A19"/>
    <w:rsid w:val="008A4012"/>
    <w:rsid w:val="008A7E45"/>
    <w:rsid w:val="008A7F00"/>
    <w:rsid w:val="008B7A74"/>
    <w:rsid w:val="008C0C0A"/>
    <w:rsid w:val="008C22B3"/>
    <w:rsid w:val="008C2796"/>
    <w:rsid w:val="008C353E"/>
    <w:rsid w:val="008C42DF"/>
    <w:rsid w:val="008C54C9"/>
    <w:rsid w:val="008D0D56"/>
    <w:rsid w:val="008D16C2"/>
    <w:rsid w:val="008D4924"/>
    <w:rsid w:val="008D4C89"/>
    <w:rsid w:val="008D6D21"/>
    <w:rsid w:val="008E62A2"/>
    <w:rsid w:val="008E7F14"/>
    <w:rsid w:val="008F0C39"/>
    <w:rsid w:val="008F2C42"/>
    <w:rsid w:val="008F34ED"/>
    <w:rsid w:val="008F3DC5"/>
    <w:rsid w:val="008F71F1"/>
    <w:rsid w:val="008F758D"/>
    <w:rsid w:val="008F7991"/>
    <w:rsid w:val="00904762"/>
    <w:rsid w:val="009057E1"/>
    <w:rsid w:val="009204C4"/>
    <w:rsid w:val="009220AB"/>
    <w:rsid w:val="00934968"/>
    <w:rsid w:val="0094347E"/>
    <w:rsid w:val="0094558F"/>
    <w:rsid w:val="0094596B"/>
    <w:rsid w:val="00947149"/>
    <w:rsid w:val="00953544"/>
    <w:rsid w:val="00953BE6"/>
    <w:rsid w:val="00960A5D"/>
    <w:rsid w:val="009630FD"/>
    <w:rsid w:val="009675FD"/>
    <w:rsid w:val="009708B5"/>
    <w:rsid w:val="009762C0"/>
    <w:rsid w:val="0098108F"/>
    <w:rsid w:val="009918CA"/>
    <w:rsid w:val="00995225"/>
    <w:rsid w:val="009B5BFF"/>
    <w:rsid w:val="009C0D58"/>
    <w:rsid w:val="009C1758"/>
    <w:rsid w:val="009C1862"/>
    <w:rsid w:val="009C66F0"/>
    <w:rsid w:val="009D004E"/>
    <w:rsid w:val="009D2621"/>
    <w:rsid w:val="009D34B1"/>
    <w:rsid w:val="009D6D69"/>
    <w:rsid w:val="009E1018"/>
    <w:rsid w:val="009E7DE1"/>
    <w:rsid w:val="009F2F32"/>
    <w:rsid w:val="009F75BE"/>
    <w:rsid w:val="009F780D"/>
    <w:rsid w:val="00A0348E"/>
    <w:rsid w:val="00A074E8"/>
    <w:rsid w:val="00A114E3"/>
    <w:rsid w:val="00A161DD"/>
    <w:rsid w:val="00A20F79"/>
    <w:rsid w:val="00A24B2F"/>
    <w:rsid w:val="00A32E07"/>
    <w:rsid w:val="00A330EA"/>
    <w:rsid w:val="00A335BD"/>
    <w:rsid w:val="00A354DD"/>
    <w:rsid w:val="00A3610C"/>
    <w:rsid w:val="00A4024D"/>
    <w:rsid w:val="00A41C38"/>
    <w:rsid w:val="00A42BCB"/>
    <w:rsid w:val="00A53EE3"/>
    <w:rsid w:val="00A550B9"/>
    <w:rsid w:val="00A64AA6"/>
    <w:rsid w:val="00A64FC1"/>
    <w:rsid w:val="00A6724C"/>
    <w:rsid w:val="00A67B43"/>
    <w:rsid w:val="00A67E58"/>
    <w:rsid w:val="00A8455E"/>
    <w:rsid w:val="00A90090"/>
    <w:rsid w:val="00A91E40"/>
    <w:rsid w:val="00A95478"/>
    <w:rsid w:val="00A96F6B"/>
    <w:rsid w:val="00AA0AF6"/>
    <w:rsid w:val="00AA0D6E"/>
    <w:rsid w:val="00AB17FA"/>
    <w:rsid w:val="00AC346D"/>
    <w:rsid w:val="00AC5E68"/>
    <w:rsid w:val="00AD37F6"/>
    <w:rsid w:val="00AD6E8A"/>
    <w:rsid w:val="00AE1393"/>
    <w:rsid w:val="00AF7948"/>
    <w:rsid w:val="00B004F5"/>
    <w:rsid w:val="00B1103A"/>
    <w:rsid w:val="00B14C06"/>
    <w:rsid w:val="00B16128"/>
    <w:rsid w:val="00B200AA"/>
    <w:rsid w:val="00B24997"/>
    <w:rsid w:val="00B30C29"/>
    <w:rsid w:val="00B32465"/>
    <w:rsid w:val="00B355E7"/>
    <w:rsid w:val="00B37FE3"/>
    <w:rsid w:val="00B47E50"/>
    <w:rsid w:val="00B56B16"/>
    <w:rsid w:val="00B60A9B"/>
    <w:rsid w:val="00B67767"/>
    <w:rsid w:val="00B72882"/>
    <w:rsid w:val="00B76383"/>
    <w:rsid w:val="00B848CC"/>
    <w:rsid w:val="00B92109"/>
    <w:rsid w:val="00B9353F"/>
    <w:rsid w:val="00B936DA"/>
    <w:rsid w:val="00B93E48"/>
    <w:rsid w:val="00BA0D7B"/>
    <w:rsid w:val="00BA169E"/>
    <w:rsid w:val="00BA27BD"/>
    <w:rsid w:val="00BA3310"/>
    <w:rsid w:val="00BA5937"/>
    <w:rsid w:val="00BB0DA8"/>
    <w:rsid w:val="00BB4E63"/>
    <w:rsid w:val="00BC10F9"/>
    <w:rsid w:val="00BC337F"/>
    <w:rsid w:val="00BC3C2D"/>
    <w:rsid w:val="00BC508B"/>
    <w:rsid w:val="00BD0B6C"/>
    <w:rsid w:val="00BD6669"/>
    <w:rsid w:val="00BE46BE"/>
    <w:rsid w:val="00BF073B"/>
    <w:rsid w:val="00BF0989"/>
    <w:rsid w:val="00C01539"/>
    <w:rsid w:val="00C04187"/>
    <w:rsid w:val="00C22859"/>
    <w:rsid w:val="00C2449F"/>
    <w:rsid w:val="00C259CE"/>
    <w:rsid w:val="00C35FD8"/>
    <w:rsid w:val="00C37462"/>
    <w:rsid w:val="00C40DC4"/>
    <w:rsid w:val="00C465C7"/>
    <w:rsid w:val="00C51EB1"/>
    <w:rsid w:val="00C553A2"/>
    <w:rsid w:val="00C56DFC"/>
    <w:rsid w:val="00C644ED"/>
    <w:rsid w:val="00C74385"/>
    <w:rsid w:val="00C750BE"/>
    <w:rsid w:val="00C8008E"/>
    <w:rsid w:val="00C83422"/>
    <w:rsid w:val="00C8403A"/>
    <w:rsid w:val="00C870BD"/>
    <w:rsid w:val="00C90A85"/>
    <w:rsid w:val="00C91C27"/>
    <w:rsid w:val="00CA12FF"/>
    <w:rsid w:val="00CA2259"/>
    <w:rsid w:val="00CA43F0"/>
    <w:rsid w:val="00CA7579"/>
    <w:rsid w:val="00CA7984"/>
    <w:rsid w:val="00CB08EF"/>
    <w:rsid w:val="00CB165D"/>
    <w:rsid w:val="00CB1909"/>
    <w:rsid w:val="00CB2438"/>
    <w:rsid w:val="00CC3F5D"/>
    <w:rsid w:val="00CC4F00"/>
    <w:rsid w:val="00CC630F"/>
    <w:rsid w:val="00CD4967"/>
    <w:rsid w:val="00CD59BE"/>
    <w:rsid w:val="00CD5A9A"/>
    <w:rsid w:val="00CE0871"/>
    <w:rsid w:val="00CE2883"/>
    <w:rsid w:val="00CE547B"/>
    <w:rsid w:val="00CE62B3"/>
    <w:rsid w:val="00CF062A"/>
    <w:rsid w:val="00CF0676"/>
    <w:rsid w:val="00CF0CEE"/>
    <w:rsid w:val="00CF4191"/>
    <w:rsid w:val="00CF527E"/>
    <w:rsid w:val="00CF5DC3"/>
    <w:rsid w:val="00CF6F64"/>
    <w:rsid w:val="00CF74D4"/>
    <w:rsid w:val="00D02A58"/>
    <w:rsid w:val="00D03958"/>
    <w:rsid w:val="00D05825"/>
    <w:rsid w:val="00D07874"/>
    <w:rsid w:val="00D17BD7"/>
    <w:rsid w:val="00D21420"/>
    <w:rsid w:val="00D22012"/>
    <w:rsid w:val="00D247AA"/>
    <w:rsid w:val="00D31EE9"/>
    <w:rsid w:val="00D32FC8"/>
    <w:rsid w:val="00D37CAB"/>
    <w:rsid w:val="00D409F2"/>
    <w:rsid w:val="00D4506E"/>
    <w:rsid w:val="00D45AAF"/>
    <w:rsid w:val="00D51DAB"/>
    <w:rsid w:val="00D51E58"/>
    <w:rsid w:val="00D522F3"/>
    <w:rsid w:val="00D56A34"/>
    <w:rsid w:val="00D644A1"/>
    <w:rsid w:val="00D66364"/>
    <w:rsid w:val="00D7032A"/>
    <w:rsid w:val="00D722A3"/>
    <w:rsid w:val="00D72527"/>
    <w:rsid w:val="00D87E99"/>
    <w:rsid w:val="00D913D7"/>
    <w:rsid w:val="00D925C2"/>
    <w:rsid w:val="00D93A9C"/>
    <w:rsid w:val="00D97135"/>
    <w:rsid w:val="00DB70FD"/>
    <w:rsid w:val="00DB7241"/>
    <w:rsid w:val="00DB755F"/>
    <w:rsid w:val="00DC125A"/>
    <w:rsid w:val="00DC19F2"/>
    <w:rsid w:val="00DC2E38"/>
    <w:rsid w:val="00DD011F"/>
    <w:rsid w:val="00DD307B"/>
    <w:rsid w:val="00DD45E8"/>
    <w:rsid w:val="00DD72F6"/>
    <w:rsid w:val="00DE332E"/>
    <w:rsid w:val="00DE6C79"/>
    <w:rsid w:val="00DF0847"/>
    <w:rsid w:val="00DF725E"/>
    <w:rsid w:val="00E04C39"/>
    <w:rsid w:val="00E14861"/>
    <w:rsid w:val="00E14BDF"/>
    <w:rsid w:val="00E2437D"/>
    <w:rsid w:val="00E24648"/>
    <w:rsid w:val="00E24713"/>
    <w:rsid w:val="00E3742A"/>
    <w:rsid w:val="00E4262B"/>
    <w:rsid w:val="00E43F9C"/>
    <w:rsid w:val="00E44D89"/>
    <w:rsid w:val="00E4782D"/>
    <w:rsid w:val="00E54EC1"/>
    <w:rsid w:val="00E57DBA"/>
    <w:rsid w:val="00E60B5D"/>
    <w:rsid w:val="00E6100A"/>
    <w:rsid w:val="00E610ED"/>
    <w:rsid w:val="00E61E19"/>
    <w:rsid w:val="00E62A81"/>
    <w:rsid w:val="00E710CD"/>
    <w:rsid w:val="00E75386"/>
    <w:rsid w:val="00E85CED"/>
    <w:rsid w:val="00E928DE"/>
    <w:rsid w:val="00E93A1C"/>
    <w:rsid w:val="00E96045"/>
    <w:rsid w:val="00EA2905"/>
    <w:rsid w:val="00EA355B"/>
    <w:rsid w:val="00EA5F01"/>
    <w:rsid w:val="00EB16ED"/>
    <w:rsid w:val="00EB43E7"/>
    <w:rsid w:val="00EB4887"/>
    <w:rsid w:val="00EC1991"/>
    <w:rsid w:val="00EC2AB4"/>
    <w:rsid w:val="00EC3FF0"/>
    <w:rsid w:val="00EC4836"/>
    <w:rsid w:val="00EC6457"/>
    <w:rsid w:val="00EC6EEE"/>
    <w:rsid w:val="00ED3248"/>
    <w:rsid w:val="00ED3EEB"/>
    <w:rsid w:val="00ED7863"/>
    <w:rsid w:val="00EE4A2A"/>
    <w:rsid w:val="00EF072F"/>
    <w:rsid w:val="00EF158C"/>
    <w:rsid w:val="00EF24AD"/>
    <w:rsid w:val="00F10BBA"/>
    <w:rsid w:val="00F121EF"/>
    <w:rsid w:val="00F12A14"/>
    <w:rsid w:val="00F163C0"/>
    <w:rsid w:val="00F170EC"/>
    <w:rsid w:val="00F260F3"/>
    <w:rsid w:val="00F334E4"/>
    <w:rsid w:val="00F34561"/>
    <w:rsid w:val="00F4086E"/>
    <w:rsid w:val="00F41F8E"/>
    <w:rsid w:val="00F43B95"/>
    <w:rsid w:val="00F5383A"/>
    <w:rsid w:val="00F63958"/>
    <w:rsid w:val="00F64091"/>
    <w:rsid w:val="00F711FB"/>
    <w:rsid w:val="00F72B06"/>
    <w:rsid w:val="00F74FB0"/>
    <w:rsid w:val="00F806DB"/>
    <w:rsid w:val="00F8245A"/>
    <w:rsid w:val="00F86CF8"/>
    <w:rsid w:val="00F92F2D"/>
    <w:rsid w:val="00F938D5"/>
    <w:rsid w:val="00F94054"/>
    <w:rsid w:val="00F96597"/>
    <w:rsid w:val="00FA01AA"/>
    <w:rsid w:val="00FA0EFC"/>
    <w:rsid w:val="00FA2154"/>
    <w:rsid w:val="00FA264B"/>
    <w:rsid w:val="00FA3A86"/>
    <w:rsid w:val="00FA5FDF"/>
    <w:rsid w:val="00FB2096"/>
    <w:rsid w:val="00FB290C"/>
    <w:rsid w:val="00FB48BA"/>
    <w:rsid w:val="00FB49C2"/>
    <w:rsid w:val="00FB4BC9"/>
    <w:rsid w:val="00FB5FE7"/>
    <w:rsid w:val="00FB7727"/>
    <w:rsid w:val="00FC1C1B"/>
    <w:rsid w:val="00FC5337"/>
    <w:rsid w:val="00FC5415"/>
    <w:rsid w:val="00FC7333"/>
    <w:rsid w:val="00FD0636"/>
    <w:rsid w:val="00FD1786"/>
    <w:rsid w:val="00FD4AE7"/>
    <w:rsid w:val="00FD4DCF"/>
    <w:rsid w:val="00FD5632"/>
    <w:rsid w:val="00FE380B"/>
    <w:rsid w:val="00FE44CF"/>
    <w:rsid w:val="00FE50B1"/>
    <w:rsid w:val="00FF0CE0"/>
    <w:rsid w:val="00FF299A"/>
    <w:rsid w:val="00FF4136"/>
    <w:rsid w:val="00FF4B83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0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409D"/>
  </w:style>
  <w:style w:type="paragraph" w:styleId="Nadpis2">
    <w:name w:val="heading 2"/>
    <w:basedOn w:val="Normln"/>
    <w:next w:val="Normln"/>
    <w:link w:val="Nadpis2Char"/>
    <w:uiPriority w:val="99"/>
    <w:qFormat/>
    <w:rsid w:val="00CA12FF"/>
    <w:pPr>
      <w:keepNext/>
      <w:keepLines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409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409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409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D4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09D"/>
  </w:style>
  <w:style w:type="paragraph" w:styleId="Textbubliny">
    <w:name w:val="Balloon Text"/>
    <w:basedOn w:val="Normln"/>
    <w:link w:val="TextbublinyChar"/>
    <w:uiPriority w:val="99"/>
    <w:semiHidden/>
    <w:unhideWhenUsed/>
    <w:rsid w:val="003D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0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7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5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CED"/>
  </w:style>
  <w:style w:type="character" w:customStyle="1" w:styleId="Nadpis2Char">
    <w:name w:val="Nadpis 2 Char"/>
    <w:basedOn w:val="Standardnpsmoodstavce"/>
    <w:link w:val="Nadpis2"/>
    <w:uiPriority w:val="99"/>
    <w:rsid w:val="00CA12FF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1114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14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14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14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14D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114D6"/>
    <w:pPr>
      <w:spacing w:after="0" w:line="240" w:lineRule="auto"/>
    </w:pPr>
  </w:style>
  <w:style w:type="paragraph" w:customStyle="1" w:styleId="Default">
    <w:name w:val="Default"/>
    <w:rsid w:val="00625B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409D"/>
  </w:style>
  <w:style w:type="paragraph" w:styleId="Nadpis2">
    <w:name w:val="heading 2"/>
    <w:basedOn w:val="Normln"/>
    <w:next w:val="Normln"/>
    <w:link w:val="Nadpis2Char"/>
    <w:uiPriority w:val="99"/>
    <w:qFormat/>
    <w:rsid w:val="00CA12FF"/>
    <w:pPr>
      <w:keepNext/>
      <w:keepLines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409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409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D409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D4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09D"/>
  </w:style>
  <w:style w:type="paragraph" w:styleId="Textbubliny">
    <w:name w:val="Balloon Text"/>
    <w:basedOn w:val="Normln"/>
    <w:link w:val="TextbublinyChar"/>
    <w:uiPriority w:val="99"/>
    <w:semiHidden/>
    <w:unhideWhenUsed/>
    <w:rsid w:val="003D4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0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7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5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5CED"/>
  </w:style>
  <w:style w:type="character" w:customStyle="1" w:styleId="Nadpis2Char">
    <w:name w:val="Nadpis 2 Char"/>
    <w:basedOn w:val="Standardnpsmoodstavce"/>
    <w:link w:val="Nadpis2"/>
    <w:uiPriority w:val="99"/>
    <w:rsid w:val="00CA12FF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1114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14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14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14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14D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114D6"/>
    <w:pPr>
      <w:spacing w:after="0" w:line="240" w:lineRule="auto"/>
    </w:pPr>
  </w:style>
  <w:style w:type="paragraph" w:customStyle="1" w:styleId="Default">
    <w:name w:val="Default"/>
    <w:rsid w:val="00625B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45C1D-47C5-4AB8-B041-F6580DF2A599}"/>
</file>

<file path=customXml/itemProps2.xml><?xml version="1.0" encoding="utf-8"?>
<ds:datastoreItem xmlns:ds="http://schemas.openxmlformats.org/officeDocument/2006/customXml" ds:itemID="{8F852F61-A856-4BDA-AD0C-624ADADA3459}"/>
</file>

<file path=customXml/itemProps3.xml><?xml version="1.0" encoding="utf-8"?>
<ds:datastoreItem xmlns:ds="http://schemas.openxmlformats.org/officeDocument/2006/customXml" ds:itemID="{C61438DD-0338-4741-9FDB-3A051D3EAEAC}"/>
</file>

<file path=customXml/itemProps4.xml><?xml version="1.0" encoding="utf-8"?>
<ds:datastoreItem xmlns:ds="http://schemas.openxmlformats.org/officeDocument/2006/customXml" ds:itemID="{A2B007DF-5649-4191-BFE3-408EE6E24C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12</Pages>
  <Words>4665</Words>
  <Characters>27530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12/01</vt:lpstr>
    </vt:vector>
  </TitlesOfParts>
  <Company>NKU</Company>
  <LinksUpToDate>false</LinksUpToDate>
  <CharactersWithSpaces>32131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13/26</dc:title>
  <dc:creator>KUFA Rudolf</dc:creator>
  <cp:lastModifiedBy>POKORNÁ Jana</cp:lastModifiedBy>
  <cp:revision>22</cp:revision>
  <cp:lastPrinted>2014-03-31T13:10:00Z</cp:lastPrinted>
  <dcterms:created xsi:type="dcterms:W3CDTF">2014-03-31T12:41:00Z</dcterms:created>
  <dcterms:modified xsi:type="dcterms:W3CDTF">2014-04-22T08:28:00Z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</Properties>
</file>