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customXml/itemProps4.xml" ContentType="application/vnd.openxmlformats-officedocument.customXmlProperties+xml"/>
  <Override PartName="/customXml/itemProps3.xml" ContentType="application/vnd.openxmlformats-officedocument.customXmlProperties+xml"/>
  <Override PartName="/customXml/itemProps5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56BA1" w:rsidRDefault="00156BA1" w:rsidP="00DF12B2">
      <w:pPr>
        <w:rPr>
          <w:rFonts w:cs="Arial"/>
          <w:color w:val="FFFFFF"/>
          <w:szCs w:val="22"/>
        </w:rPr>
      </w:pPr>
    </w:p>
    <w:p w:rsidR="00F016DA" w:rsidRPr="00C1766D" w:rsidRDefault="00F016DA" w:rsidP="00DF12B2">
      <w:pPr>
        <w:jc w:val="center"/>
        <w:rPr>
          <w:rFonts w:cs="Arial"/>
          <w:color w:val="FFFFFF"/>
          <w:szCs w:val="22"/>
        </w:rPr>
      </w:pPr>
      <w:r>
        <w:rPr>
          <w:noProof/>
          <w:lang w:eastAsia="cs-CZ"/>
        </w:rPr>
        <w:drawing>
          <wp:anchor distT="0" distB="0" distL="114300" distR="114300" simplePos="0" relativeHeight="251659264" behindDoc="0" locked="0" layoutInCell="1" allowOverlap="0" wp14:anchorId="58A4D7D7" wp14:editId="46F94752">
            <wp:simplePos x="0" y="0"/>
            <wp:positionH relativeFrom="column">
              <wp:posOffset>2481580</wp:posOffset>
            </wp:positionH>
            <wp:positionV relativeFrom="paragraph">
              <wp:posOffset>12700</wp:posOffset>
            </wp:positionV>
            <wp:extent cx="790575" cy="561975"/>
            <wp:effectExtent l="0" t="0" r="9525" b="9525"/>
            <wp:wrapTopAndBottom/>
            <wp:docPr id="1" name="Obrázek 1" descr="NKU_LOGO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8" descr="NKU_LOGO 1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0575" cy="561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016DA" w:rsidRPr="00C1766D" w:rsidRDefault="00F016DA" w:rsidP="00DF12B2">
      <w:pPr>
        <w:jc w:val="center"/>
        <w:rPr>
          <w:rFonts w:cs="Arial"/>
          <w:color w:val="FFFFFF"/>
          <w:szCs w:val="22"/>
        </w:rPr>
      </w:pPr>
    </w:p>
    <w:p w:rsidR="00F016DA" w:rsidRPr="00C1766D" w:rsidRDefault="00F016DA" w:rsidP="00DF12B2">
      <w:pPr>
        <w:jc w:val="center"/>
        <w:rPr>
          <w:rFonts w:cs="Arial"/>
          <w:color w:val="FFFFFF"/>
          <w:szCs w:val="22"/>
          <w:highlight w:val="lightGray"/>
        </w:rPr>
      </w:pPr>
    </w:p>
    <w:p w:rsidR="00F016DA" w:rsidRPr="00F4366F" w:rsidRDefault="00F016DA" w:rsidP="00DF12B2">
      <w:pPr>
        <w:pStyle w:val="NadpisKZ"/>
        <w:spacing w:before="0" w:after="60"/>
        <w:jc w:val="center"/>
        <w:rPr>
          <w:rFonts w:cs="Arial"/>
          <w:sz w:val="28"/>
          <w:szCs w:val="28"/>
        </w:rPr>
      </w:pPr>
      <w:r w:rsidRPr="00F4366F">
        <w:rPr>
          <w:rFonts w:cs="Arial"/>
          <w:sz w:val="28"/>
          <w:szCs w:val="28"/>
        </w:rPr>
        <w:t>Kontrolní závěr z kontrolní akce</w:t>
      </w:r>
    </w:p>
    <w:p w:rsidR="00F016DA" w:rsidRPr="00CD7EDC" w:rsidRDefault="00F016DA" w:rsidP="00DF12B2">
      <w:pPr>
        <w:pStyle w:val="NadpisKZ"/>
        <w:spacing w:before="0" w:after="60"/>
        <w:jc w:val="center"/>
        <w:rPr>
          <w:rFonts w:cs="Arial"/>
          <w:sz w:val="24"/>
        </w:rPr>
      </w:pPr>
    </w:p>
    <w:p w:rsidR="00F016DA" w:rsidRPr="00F4366F" w:rsidRDefault="005B4940" w:rsidP="00DF12B2">
      <w:pPr>
        <w:pStyle w:val="NadpisKZ"/>
        <w:spacing w:before="0" w:after="60"/>
        <w:jc w:val="center"/>
        <w:rPr>
          <w:rFonts w:cs="Arial"/>
          <w:sz w:val="28"/>
          <w:szCs w:val="28"/>
        </w:rPr>
      </w:pPr>
      <w:r>
        <w:rPr>
          <w:rFonts w:cs="Arial"/>
          <w:sz w:val="28"/>
          <w:szCs w:val="28"/>
        </w:rPr>
        <w:t>13/24</w:t>
      </w:r>
    </w:p>
    <w:p w:rsidR="00F016DA" w:rsidRPr="00CD7EDC" w:rsidRDefault="00F016DA" w:rsidP="00DF12B2">
      <w:pPr>
        <w:pStyle w:val="NadpisKZ"/>
        <w:spacing w:before="0" w:after="60"/>
        <w:jc w:val="center"/>
        <w:rPr>
          <w:rFonts w:cs="Arial"/>
          <w:sz w:val="24"/>
        </w:rPr>
      </w:pPr>
    </w:p>
    <w:p w:rsidR="00F016DA" w:rsidRPr="005B4940" w:rsidRDefault="005B4940" w:rsidP="00DF12B2">
      <w:pPr>
        <w:jc w:val="center"/>
        <w:rPr>
          <w:rFonts w:cs="Arial"/>
          <w:b/>
          <w:sz w:val="28"/>
          <w:szCs w:val="28"/>
        </w:rPr>
      </w:pPr>
      <w:r w:rsidRPr="005B4940">
        <w:rPr>
          <w:rFonts w:cs="Arial"/>
          <w:b/>
          <w:sz w:val="28"/>
          <w:szCs w:val="28"/>
        </w:rPr>
        <w:t xml:space="preserve">Peněžní prostředky vynakládané na projekt </w:t>
      </w:r>
      <w:r w:rsidRPr="00B82AEC">
        <w:rPr>
          <w:rFonts w:cs="Arial"/>
          <w:b/>
          <w:i/>
          <w:sz w:val="28"/>
          <w:szCs w:val="28"/>
        </w:rPr>
        <w:t>Národní infrastruktura pro elektronické zadávání veřejných zakázek</w:t>
      </w:r>
      <w:r w:rsidRPr="005B4940">
        <w:rPr>
          <w:rFonts w:cs="Arial"/>
          <w:b/>
          <w:sz w:val="28"/>
          <w:szCs w:val="28"/>
        </w:rPr>
        <w:t xml:space="preserve"> (NIPEZ) a nákup vybraných komodit prostřednictvím</w:t>
      </w:r>
      <w:r>
        <w:rPr>
          <w:rFonts w:cs="Arial"/>
          <w:b/>
          <w:sz w:val="28"/>
          <w:szCs w:val="28"/>
        </w:rPr>
        <w:t xml:space="preserve"> </w:t>
      </w:r>
      <w:r w:rsidRPr="005B4940">
        <w:rPr>
          <w:rFonts w:cs="Arial"/>
          <w:b/>
          <w:sz w:val="28"/>
          <w:szCs w:val="28"/>
        </w:rPr>
        <w:t>e-tržišť</w:t>
      </w:r>
    </w:p>
    <w:p w:rsidR="00F016DA" w:rsidRDefault="00F016DA" w:rsidP="00B82AEC">
      <w:pPr>
        <w:spacing w:after="0"/>
        <w:rPr>
          <w:rFonts w:cs="Arial"/>
          <w:szCs w:val="22"/>
          <w:highlight w:val="lightGray"/>
        </w:rPr>
      </w:pPr>
    </w:p>
    <w:p w:rsidR="00B04938" w:rsidRPr="00597C76" w:rsidRDefault="00B04938" w:rsidP="00B82AEC">
      <w:pPr>
        <w:spacing w:after="0"/>
        <w:rPr>
          <w:rFonts w:cs="Arial"/>
          <w:szCs w:val="22"/>
          <w:highlight w:val="lightGray"/>
        </w:rPr>
      </w:pPr>
    </w:p>
    <w:p w:rsidR="00F016DA" w:rsidRDefault="00F016DA" w:rsidP="00B82AEC">
      <w:pPr>
        <w:spacing w:after="0"/>
        <w:rPr>
          <w:rFonts w:cs="Arial"/>
          <w:szCs w:val="22"/>
        </w:rPr>
      </w:pPr>
      <w:r w:rsidRPr="000323B9">
        <w:rPr>
          <w:rFonts w:cs="Arial"/>
          <w:szCs w:val="22"/>
        </w:rPr>
        <w:t>Kontrolní akce byla zařazena do plánu kontrolní činnosti Nejvyššího kontrolního úř</w:t>
      </w:r>
      <w:r w:rsidR="000323B9" w:rsidRPr="000323B9">
        <w:rPr>
          <w:rFonts w:cs="Arial"/>
          <w:szCs w:val="22"/>
        </w:rPr>
        <w:t>adu (dále jen „NKÚ“) na rok 2013 pod číslem 13/2</w:t>
      </w:r>
      <w:r w:rsidRPr="000323B9">
        <w:rPr>
          <w:rFonts w:cs="Arial"/>
          <w:szCs w:val="22"/>
        </w:rPr>
        <w:t>4. Kontrolní akci řídil a kontrolní závěr vyp</w:t>
      </w:r>
      <w:r w:rsidR="000323B9" w:rsidRPr="000323B9">
        <w:rPr>
          <w:rFonts w:cs="Arial"/>
          <w:szCs w:val="22"/>
        </w:rPr>
        <w:t>racoval člen NKÚ Ing. Karel Sehoř</w:t>
      </w:r>
      <w:bookmarkStart w:id="0" w:name="_Toc225829457"/>
      <w:bookmarkStart w:id="1" w:name="_Toc270078121"/>
      <w:bookmarkStart w:id="2" w:name="_Toc326061750"/>
      <w:r w:rsidR="00394280">
        <w:rPr>
          <w:rFonts w:cs="Arial"/>
          <w:szCs w:val="22"/>
        </w:rPr>
        <w:t>.</w:t>
      </w:r>
    </w:p>
    <w:p w:rsidR="002C671F" w:rsidRPr="00394280" w:rsidRDefault="002C671F" w:rsidP="00B82AEC">
      <w:pPr>
        <w:spacing w:after="0"/>
        <w:rPr>
          <w:rFonts w:cs="Arial"/>
          <w:szCs w:val="22"/>
        </w:rPr>
      </w:pPr>
    </w:p>
    <w:bookmarkEnd w:id="0"/>
    <w:bookmarkEnd w:id="1"/>
    <w:bookmarkEnd w:id="2"/>
    <w:p w:rsidR="000323B9" w:rsidRDefault="000323B9" w:rsidP="00B82AEC">
      <w:pPr>
        <w:spacing w:after="0"/>
        <w:rPr>
          <w:rFonts w:cs="Arial"/>
          <w:szCs w:val="22"/>
        </w:rPr>
      </w:pPr>
      <w:r w:rsidRPr="000323B9">
        <w:rPr>
          <w:rFonts w:cs="Arial"/>
          <w:szCs w:val="22"/>
        </w:rPr>
        <w:t xml:space="preserve">Cílem kontroly bylo prověřit hospodaření </w:t>
      </w:r>
      <w:r w:rsidR="002C671F">
        <w:rPr>
          <w:rFonts w:cs="Arial"/>
          <w:szCs w:val="22"/>
        </w:rPr>
        <w:t>s </w:t>
      </w:r>
      <w:r w:rsidRPr="000323B9">
        <w:rPr>
          <w:rFonts w:cs="Arial"/>
          <w:szCs w:val="22"/>
        </w:rPr>
        <w:t xml:space="preserve">peněžními prostředky vynakládanými na projekt </w:t>
      </w:r>
      <w:r w:rsidRPr="009C5CBD">
        <w:rPr>
          <w:rFonts w:cs="Arial"/>
          <w:i/>
          <w:szCs w:val="22"/>
        </w:rPr>
        <w:t>Národní infrastruktura pro elektronické zadávání veřejných zakázek</w:t>
      </w:r>
      <w:r w:rsidRPr="000323B9">
        <w:rPr>
          <w:rFonts w:cs="Arial"/>
          <w:szCs w:val="22"/>
        </w:rPr>
        <w:t xml:space="preserve"> a efektivnost nákupu vybraných komodit prostřednictvím e-tržišť.</w:t>
      </w:r>
    </w:p>
    <w:p w:rsidR="002C671F" w:rsidRPr="000323B9" w:rsidRDefault="002C671F" w:rsidP="00B82AEC">
      <w:pPr>
        <w:spacing w:after="0"/>
        <w:rPr>
          <w:rFonts w:cs="Arial"/>
          <w:szCs w:val="22"/>
        </w:rPr>
      </w:pPr>
    </w:p>
    <w:p w:rsidR="00F016DA" w:rsidRDefault="00F016DA" w:rsidP="00B82AEC">
      <w:pPr>
        <w:spacing w:after="0"/>
        <w:rPr>
          <w:rFonts w:cs="Arial"/>
          <w:szCs w:val="22"/>
        </w:rPr>
      </w:pPr>
      <w:r w:rsidRPr="000323B9">
        <w:rPr>
          <w:rFonts w:cs="Arial"/>
          <w:szCs w:val="22"/>
        </w:rPr>
        <w:t>Kont</w:t>
      </w:r>
      <w:r w:rsidR="000323B9" w:rsidRPr="000323B9">
        <w:rPr>
          <w:rFonts w:cs="Arial"/>
          <w:szCs w:val="22"/>
        </w:rPr>
        <w:t>rolovaným obdobím byly roky 2010 až 2013</w:t>
      </w:r>
      <w:r w:rsidRPr="000323B9">
        <w:rPr>
          <w:rFonts w:cs="Arial"/>
          <w:szCs w:val="22"/>
        </w:rPr>
        <w:t>, v případě věcných souvislostí i obd</w:t>
      </w:r>
      <w:r w:rsidR="00394280">
        <w:rPr>
          <w:rFonts w:cs="Arial"/>
          <w:szCs w:val="22"/>
        </w:rPr>
        <w:t>obí předcházející a navazující.</w:t>
      </w:r>
    </w:p>
    <w:p w:rsidR="002C671F" w:rsidRPr="000323B9" w:rsidRDefault="002C671F" w:rsidP="00B82AEC">
      <w:pPr>
        <w:spacing w:after="0"/>
        <w:rPr>
          <w:rFonts w:cs="Arial"/>
          <w:szCs w:val="22"/>
        </w:rPr>
      </w:pPr>
    </w:p>
    <w:p w:rsidR="00BE0937" w:rsidRDefault="00F016DA" w:rsidP="00B82AEC">
      <w:pPr>
        <w:spacing w:after="0"/>
        <w:rPr>
          <w:rFonts w:cs="Arial"/>
          <w:szCs w:val="22"/>
        </w:rPr>
      </w:pPr>
      <w:r w:rsidRPr="000323B9">
        <w:rPr>
          <w:rFonts w:cs="Arial"/>
          <w:szCs w:val="22"/>
        </w:rPr>
        <w:t>Kontrolovan</w:t>
      </w:r>
      <w:r w:rsidR="00BE0937">
        <w:rPr>
          <w:rFonts w:cs="Arial"/>
          <w:szCs w:val="22"/>
        </w:rPr>
        <w:t>é</w:t>
      </w:r>
      <w:r w:rsidRPr="000323B9">
        <w:rPr>
          <w:rFonts w:cs="Arial"/>
          <w:szCs w:val="22"/>
        </w:rPr>
        <w:t xml:space="preserve"> osob</w:t>
      </w:r>
      <w:r w:rsidR="00BE0937">
        <w:rPr>
          <w:rFonts w:cs="Arial"/>
          <w:szCs w:val="22"/>
        </w:rPr>
        <w:t>y:</w:t>
      </w:r>
      <w:r w:rsidRPr="000323B9">
        <w:rPr>
          <w:rFonts w:cs="Arial"/>
          <w:szCs w:val="22"/>
        </w:rPr>
        <w:t xml:space="preserve"> </w:t>
      </w:r>
    </w:p>
    <w:p w:rsidR="00F016DA" w:rsidRDefault="000323B9" w:rsidP="00B82AEC">
      <w:pPr>
        <w:spacing w:after="0"/>
        <w:rPr>
          <w:rFonts w:cs="Arial"/>
          <w:szCs w:val="22"/>
        </w:rPr>
      </w:pPr>
      <w:r w:rsidRPr="000323B9">
        <w:rPr>
          <w:rFonts w:cs="Arial"/>
          <w:szCs w:val="22"/>
        </w:rPr>
        <w:t xml:space="preserve">Ministerstvo pro místní rozvoj (dále </w:t>
      </w:r>
      <w:r w:rsidR="005C4DEB">
        <w:rPr>
          <w:rFonts w:cs="Arial"/>
          <w:szCs w:val="22"/>
        </w:rPr>
        <w:t>také</w:t>
      </w:r>
      <w:r w:rsidRPr="000323B9">
        <w:rPr>
          <w:rFonts w:cs="Arial"/>
          <w:szCs w:val="22"/>
        </w:rPr>
        <w:t xml:space="preserve"> „MMR</w:t>
      </w:r>
      <w:r w:rsidR="00F016DA" w:rsidRPr="000323B9">
        <w:rPr>
          <w:rFonts w:cs="Arial"/>
          <w:szCs w:val="22"/>
        </w:rPr>
        <w:t>“)</w:t>
      </w:r>
      <w:r w:rsidRPr="000323B9">
        <w:rPr>
          <w:rFonts w:cs="Arial"/>
          <w:szCs w:val="22"/>
        </w:rPr>
        <w:t xml:space="preserve">, Ministerstvo spravedlnosti (dále </w:t>
      </w:r>
      <w:r w:rsidR="005C4DEB">
        <w:rPr>
          <w:rFonts w:cs="Arial"/>
          <w:szCs w:val="22"/>
        </w:rPr>
        <w:t>také</w:t>
      </w:r>
      <w:r w:rsidRPr="000323B9">
        <w:rPr>
          <w:rFonts w:cs="Arial"/>
          <w:szCs w:val="22"/>
        </w:rPr>
        <w:t xml:space="preserve"> „MSp“), Krajské státní zastupitelství Ústí nad Labem (dále jen „KSZ ÚL“) a Krajský soud v Ústí nad Labem (dále jen „KS ÚL“)</w:t>
      </w:r>
      <w:r w:rsidR="00394280">
        <w:rPr>
          <w:rFonts w:cs="Arial"/>
          <w:szCs w:val="22"/>
        </w:rPr>
        <w:t>.</w:t>
      </w:r>
    </w:p>
    <w:p w:rsidR="002C671F" w:rsidRPr="000323B9" w:rsidRDefault="002C671F" w:rsidP="00B82AEC">
      <w:pPr>
        <w:spacing w:after="0"/>
        <w:rPr>
          <w:rFonts w:cs="Arial"/>
          <w:szCs w:val="22"/>
        </w:rPr>
      </w:pPr>
    </w:p>
    <w:p w:rsidR="00F016DA" w:rsidRDefault="000323B9" w:rsidP="00B82AEC">
      <w:pPr>
        <w:spacing w:after="0"/>
        <w:rPr>
          <w:rFonts w:cs="Arial"/>
          <w:szCs w:val="22"/>
        </w:rPr>
      </w:pPr>
      <w:r w:rsidRPr="000323B9">
        <w:rPr>
          <w:rFonts w:cs="Arial"/>
          <w:szCs w:val="22"/>
        </w:rPr>
        <w:t>Kontrola byla prováděna od června roku 2013 do ledna roku 2014</w:t>
      </w:r>
      <w:r w:rsidR="00394280">
        <w:rPr>
          <w:rFonts w:cs="Arial"/>
          <w:szCs w:val="22"/>
        </w:rPr>
        <w:t>.</w:t>
      </w:r>
    </w:p>
    <w:p w:rsidR="003C4C53" w:rsidRPr="000323B9" w:rsidRDefault="003C4C53" w:rsidP="00B82AEC">
      <w:pPr>
        <w:spacing w:after="0"/>
        <w:rPr>
          <w:rFonts w:cs="Arial"/>
          <w:szCs w:val="22"/>
        </w:rPr>
      </w:pPr>
    </w:p>
    <w:p w:rsidR="00F016DA" w:rsidRDefault="00F016DA" w:rsidP="00DF12B2">
      <w:pPr>
        <w:rPr>
          <w:rFonts w:cs="Arial"/>
          <w:szCs w:val="22"/>
        </w:rPr>
      </w:pPr>
      <w:r w:rsidRPr="000323B9">
        <w:rPr>
          <w:rFonts w:cs="Arial"/>
          <w:szCs w:val="22"/>
        </w:rPr>
        <w:t>Námitky proti kontrol</w:t>
      </w:r>
      <w:r w:rsidR="005E674B" w:rsidRPr="000323B9">
        <w:rPr>
          <w:rFonts w:cs="Arial"/>
          <w:szCs w:val="22"/>
        </w:rPr>
        <w:t>nímu protokolu, které podal</w:t>
      </w:r>
      <w:r w:rsidR="00BE0937">
        <w:rPr>
          <w:rFonts w:cs="Arial"/>
          <w:szCs w:val="22"/>
        </w:rPr>
        <w:t>y</w:t>
      </w:r>
      <w:r w:rsidR="005E674B" w:rsidRPr="000323B9">
        <w:rPr>
          <w:rFonts w:cs="Arial"/>
          <w:szCs w:val="22"/>
        </w:rPr>
        <w:t xml:space="preserve"> MMR</w:t>
      </w:r>
      <w:r w:rsidR="009B0DB9">
        <w:rPr>
          <w:rFonts w:cs="Arial"/>
          <w:szCs w:val="22"/>
        </w:rPr>
        <w:t xml:space="preserve"> a MSp</w:t>
      </w:r>
      <w:r w:rsidRPr="000323B9">
        <w:rPr>
          <w:rFonts w:cs="Arial"/>
          <w:szCs w:val="22"/>
        </w:rPr>
        <w:t>, byly vypořádány vedoucím</w:t>
      </w:r>
      <w:r w:rsidR="009B0DB9">
        <w:rPr>
          <w:rFonts w:cs="Arial"/>
          <w:szCs w:val="22"/>
        </w:rPr>
        <w:t>i</w:t>
      </w:r>
      <w:r w:rsidRPr="000323B9">
        <w:rPr>
          <w:rFonts w:cs="Arial"/>
          <w:szCs w:val="22"/>
        </w:rPr>
        <w:t xml:space="preserve"> skupin kontrolujících rozhodnutím</w:t>
      </w:r>
      <w:r w:rsidR="00BE0937">
        <w:rPr>
          <w:rFonts w:cs="Arial"/>
          <w:szCs w:val="22"/>
        </w:rPr>
        <w:t>i</w:t>
      </w:r>
      <w:r w:rsidRPr="000323B9">
        <w:rPr>
          <w:rFonts w:cs="Arial"/>
          <w:szCs w:val="22"/>
        </w:rPr>
        <w:t xml:space="preserve"> o </w:t>
      </w:r>
      <w:r w:rsidRPr="00B35EBC">
        <w:rPr>
          <w:rFonts w:cs="Arial"/>
          <w:szCs w:val="22"/>
        </w:rPr>
        <w:t xml:space="preserve">námitkách. Odvolání </w:t>
      </w:r>
      <w:r w:rsidR="007B205E" w:rsidRPr="00B35EBC">
        <w:rPr>
          <w:rFonts w:cs="Arial"/>
          <w:szCs w:val="22"/>
        </w:rPr>
        <w:t xml:space="preserve">MMR </w:t>
      </w:r>
      <w:r w:rsidRPr="00B35EBC">
        <w:rPr>
          <w:rFonts w:cs="Arial"/>
          <w:szCs w:val="22"/>
        </w:rPr>
        <w:t>proti rozhodnutí o námitkách bylo vypořádáno usnesením Kolegia NKÚ.</w:t>
      </w:r>
    </w:p>
    <w:p w:rsidR="006B398D" w:rsidRPr="00597C76" w:rsidRDefault="006B398D" w:rsidP="00DF12B2">
      <w:pPr>
        <w:rPr>
          <w:rFonts w:cs="Arial"/>
          <w:szCs w:val="22"/>
        </w:rPr>
      </w:pPr>
    </w:p>
    <w:p w:rsidR="00F016DA" w:rsidRPr="00502463" w:rsidRDefault="00F016DA" w:rsidP="00DF12B2">
      <w:pPr>
        <w:rPr>
          <w:rFonts w:cs="Arial"/>
          <w:szCs w:val="22"/>
        </w:rPr>
      </w:pPr>
      <w:r w:rsidRPr="00B82AEC">
        <w:rPr>
          <w:rFonts w:cs="Arial"/>
          <w:b/>
          <w:bCs/>
          <w:i/>
          <w:iCs/>
          <w:color w:val="000000"/>
          <w:spacing w:val="40"/>
          <w:szCs w:val="22"/>
        </w:rPr>
        <w:t>Kolegium</w:t>
      </w:r>
      <w:r w:rsidRPr="00B82AEC">
        <w:rPr>
          <w:rFonts w:cs="Arial"/>
          <w:b/>
          <w:bCs/>
          <w:iCs/>
          <w:color w:val="000000"/>
          <w:spacing w:val="40"/>
          <w:szCs w:val="22"/>
        </w:rPr>
        <w:t xml:space="preserve"> </w:t>
      </w:r>
      <w:proofErr w:type="gramStart"/>
      <w:r w:rsidRPr="00B82AEC">
        <w:rPr>
          <w:rFonts w:cs="Arial"/>
          <w:b/>
          <w:bCs/>
          <w:i/>
          <w:iCs/>
          <w:color w:val="000000"/>
          <w:spacing w:val="40"/>
          <w:szCs w:val="22"/>
        </w:rPr>
        <w:t>NKÚ</w:t>
      </w:r>
      <w:r w:rsidRPr="00597C76">
        <w:rPr>
          <w:rFonts w:cs="Arial"/>
          <w:bCs/>
          <w:iCs/>
          <w:color w:val="000000"/>
          <w:szCs w:val="22"/>
        </w:rPr>
        <w:t xml:space="preserve">   </w:t>
      </w:r>
      <w:r w:rsidRPr="00CD7EDC">
        <w:rPr>
          <w:rFonts w:cs="Arial"/>
          <w:bCs/>
          <w:iCs/>
          <w:szCs w:val="22"/>
        </w:rPr>
        <w:t>n</w:t>
      </w:r>
      <w:r w:rsidRPr="00CD7EDC">
        <w:rPr>
          <w:rFonts w:cs="Arial"/>
          <w:szCs w:val="22"/>
        </w:rPr>
        <w:t>a</w:t>
      </w:r>
      <w:proofErr w:type="gramEnd"/>
      <w:r w:rsidRPr="00502463">
        <w:rPr>
          <w:rFonts w:cs="Arial"/>
          <w:szCs w:val="22"/>
        </w:rPr>
        <w:t xml:space="preserve"> svém </w:t>
      </w:r>
      <w:r w:rsidR="00C8577F">
        <w:rPr>
          <w:rFonts w:cs="Arial"/>
          <w:szCs w:val="22"/>
        </w:rPr>
        <w:t>VII.</w:t>
      </w:r>
      <w:r w:rsidR="002E089B">
        <w:rPr>
          <w:rFonts w:cs="Arial"/>
          <w:szCs w:val="22"/>
        </w:rPr>
        <w:t xml:space="preserve"> </w:t>
      </w:r>
      <w:r w:rsidRPr="00502463">
        <w:rPr>
          <w:rFonts w:cs="Arial"/>
          <w:szCs w:val="22"/>
        </w:rPr>
        <w:t xml:space="preserve">zasedání, konaném </w:t>
      </w:r>
      <w:r w:rsidRPr="002E089B">
        <w:rPr>
          <w:rFonts w:cs="Arial"/>
          <w:szCs w:val="22"/>
        </w:rPr>
        <w:t xml:space="preserve">dne </w:t>
      </w:r>
      <w:r w:rsidR="00C8577F">
        <w:rPr>
          <w:rFonts w:cs="Arial"/>
          <w:szCs w:val="22"/>
        </w:rPr>
        <w:t>31. března</w:t>
      </w:r>
      <w:r w:rsidR="002E089B">
        <w:rPr>
          <w:rFonts w:cs="Arial"/>
          <w:szCs w:val="22"/>
        </w:rPr>
        <w:t xml:space="preserve"> </w:t>
      </w:r>
      <w:r w:rsidR="00315438" w:rsidRPr="002E089B">
        <w:rPr>
          <w:rFonts w:cs="Arial"/>
          <w:szCs w:val="22"/>
        </w:rPr>
        <w:t>2014</w:t>
      </w:r>
      <w:r w:rsidR="002E089B">
        <w:rPr>
          <w:rFonts w:cs="Arial"/>
          <w:szCs w:val="22"/>
        </w:rPr>
        <w:t>,</w:t>
      </w:r>
    </w:p>
    <w:p w:rsidR="00F016DA" w:rsidRPr="00502463" w:rsidRDefault="00F016DA" w:rsidP="00DF12B2">
      <w:pPr>
        <w:rPr>
          <w:rFonts w:cs="Arial"/>
          <w:szCs w:val="22"/>
        </w:rPr>
      </w:pPr>
      <w:r w:rsidRPr="00B82AEC">
        <w:rPr>
          <w:rFonts w:cs="Arial"/>
          <w:b/>
          <w:bCs/>
          <w:i/>
          <w:iCs/>
          <w:spacing w:val="40"/>
          <w:szCs w:val="22"/>
        </w:rPr>
        <w:t>schválilo</w:t>
      </w:r>
      <w:r w:rsidRPr="00E83016">
        <w:rPr>
          <w:rFonts w:cs="Arial"/>
          <w:szCs w:val="22"/>
        </w:rPr>
        <w:t xml:space="preserve">   </w:t>
      </w:r>
      <w:r w:rsidRPr="00502463">
        <w:rPr>
          <w:rFonts w:cs="Arial"/>
          <w:szCs w:val="22"/>
        </w:rPr>
        <w:t>usnesením č.</w:t>
      </w:r>
      <w:r>
        <w:rPr>
          <w:rFonts w:cs="Arial"/>
          <w:szCs w:val="22"/>
        </w:rPr>
        <w:t xml:space="preserve"> </w:t>
      </w:r>
      <w:r w:rsidR="001B3A5D">
        <w:rPr>
          <w:rFonts w:cs="Arial"/>
          <w:szCs w:val="22"/>
        </w:rPr>
        <w:t>8</w:t>
      </w:r>
      <w:r w:rsidR="002E089B">
        <w:rPr>
          <w:rFonts w:cs="Arial"/>
          <w:szCs w:val="22"/>
        </w:rPr>
        <w:t>/</w:t>
      </w:r>
      <w:r w:rsidR="00C8577F">
        <w:rPr>
          <w:rFonts w:cs="Arial"/>
          <w:szCs w:val="22"/>
        </w:rPr>
        <w:t>VII</w:t>
      </w:r>
      <w:r w:rsidR="002E089B">
        <w:rPr>
          <w:rFonts w:cs="Arial"/>
          <w:szCs w:val="22"/>
        </w:rPr>
        <w:t>/</w:t>
      </w:r>
      <w:r w:rsidR="00ED5C71" w:rsidRPr="00ED5C71">
        <w:rPr>
          <w:rFonts w:cs="Arial"/>
          <w:szCs w:val="22"/>
        </w:rPr>
        <w:t>2014</w:t>
      </w:r>
    </w:p>
    <w:p w:rsidR="00F016DA" w:rsidRPr="00502463" w:rsidRDefault="00F016DA" w:rsidP="00DF12B2">
      <w:pPr>
        <w:rPr>
          <w:rFonts w:cs="Arial"/>
          <w:szCs w:val="22"/>
        </w:rPr>
      </w:pPr>
      <w:r w:rsidRPr="00B82AEC">
        <w:rPr>
          <w:rFonts w:cs="Arial"/>
          <w:b/>
          <w:bCs/>
          <w:i/>
          <w:iCs/>
          <w:spacing w:val="40"/>
          <w:szCs w:val="22"/>
        </w:rPr>
        <w:t>kontrolní</w:t>
      </w:r>
      <w:r w:rsidRPr="00B82AEC">
        <w:rPr>
          <w:rFonts w:cs="Arial"/>
          <w:b/>
          <w:bCs/>
          <w:iCs/>
          <w:spacing w:val="40"/>
          <w:szCs w:val="22"/>
        </w:rPr>
        <w:t xml:space="preserve"> </w:t>
      </w:r>
      <w:proofErr w:type="gramStart"/>
      <w:r w:rsidRPr="00B82AEC">
        <w:rPr>
          <w:rFonts w:cs="Arial"/>
          <w:b/>
          <w:bCs/>
          <w:i/>
          <w:iCs/>
          <w:spacing w:val="40"/>
          <w:szCs w:val="22"/>
        </w:rPr>
        <w:t>závěr</w:t>
      </w:r>
      <w:r w:rsidRPr="00502463">
        <w:rPr>
          <w:rFonts w:cs="Arial"/>
          <w:szCs w:val="22"/>
        </w:rPr>
        <w:t xml:space="preserve">   v</w:t>
      </w:r>
      <w:r>
        <w:rPr>
          <w:rFonts w:cs="Arial"/>
          <w:szCs w:val="22"/>
        </w:rPr>
        <w:t xml:space="preserve"> </w:t>
      </w:r>
      <w:r w:rsidRPr="00502463">
        <w:rPr>
          <w:rFonts w:cs="Arial"/>
          <w:szCs w:val="22"/>
        </w:rPr>
        <w:t>tomto</w:t>
      </w:r>
      <w:proofErr w:type="gramEnd"/>
      <w:r w:rsidRPr="00502463">
        <w:rPr>
          <w:rFonts w:cs="Arial"/>
          <w:szCs w:val="22"/>
        </w:rPr>
        <w:t xml:space="preserve"> znění:</w:t>
      </w:r>
    </w:p>
    <w:p w:rsidR="00F016DA" w:rsidRDefault="00F016DA" w:rsidP="00DF12B2">
      <w:pPr>
        <w:rPr>
          <w:rFonts w:cs="Arial"/>
          <w:szCs w:val="22"/>
        </w:rPr>
      </w:pPr>
    </w:p>
    <w:p w:rsidR="003C4C53" w:rsidRDefault="003C4C53" w:rsidP="00DF12B2">
      <w:pPr>
        <w:rPr>
          <w:rFonts w:cs="Arial"/>
          <w:szCs w:val="22"/>
        </w:rPr>
      </w:pPr>
    </w:p>
    <w:p w:rsidR="003C4C53" w:rsidRDefault="003C4C53" w:rsidP="00DF12B2">
      <w:pPr>
        <w:rPr>
          <w:rFonts w:cs="Arial"/>
          <w:szCs w:val="22"/>
        </w:rPr>
      </w:pPr>
    </w:p>
    <w:p w:rsidR="003C4C53" w:rsidRPr="00502463" w:rsidRDefault="003C4C53" w:rsidP="00DF12B2">
      <w:pPr>
        <w:rPr>
          <w:rFonts w:cs="Arial"/>
          <w:szCs w:val="22"/>
        </w:rPr>
      </w:pPr>
    </w:p>
    <w:p w:rsidR="00F016DA" w:rsidRPr="00B82AEC" w:rsidRDefault="00F016DA" w:rsidP="00DF12B2">
      <w:pPr>
        <w:jc w:val="center"/>
        <w:rPr>
          <w:rFonts w:cs="Arial"/>
          <w:b/>
          <w:sz w:val="24"/>
        </w:rPr>
      </w:pPr>
      <w:r w:rsidRPr="00B82AEC">
        <w:rPr>
          <w:rFonts w:cs="Arial"/>
          <w:b/>
          <w:sz w:val="24"/>
        </w:rPr>
        <w:lastRenderedPageBreak/>
        <w:t>I. Úvod</w:t>
      </w:r>
    </w:p>
    <w:p w:rsidR="003C4C53" w:rsidRDefault="003C4C53" w:rsidP="00DF12B2">
      <w:pPr>
        <w:jc w:val="center"/>
        <w:rPr>
          <w:rFonts w:cs="Arial"/>
          <w:b/>
        </w:rPr>
      </w:pPr>
    </w:p>
    <w:p w:rsidR="00A422D1" w:rsidRDefault="00896424" w:rsidP="00B82AEC">
      <w:pPr>
        <w:spacing w:after="0"/>
        <w:rPr>
          <w:rFonts w:cs="Arial"/>
        </w:rPr>
      </w:pPr>
      <w:r w:rsidRPr="00B3796F">
        <w:rPr>
          <w:rFonts w:cs="Arial"/>
        </w:rPr>
        <w:t xml:space="preserve">MMR je </w:t>
      </w:r>
      <w:r w:rsidR="00D1501B">
        <w:rPr>
          <w:rFonts w:cs="Arial"/>
        </w:rPr>
        <w:t>ústředním orgánem státní správy</w:t>
      </w:r>
      <w:r w:rsidR="009B0DB9">
        <w:rPr>
          <w:rFonts w:cs="Arial"/>
        </w:rPr>
        <w:t xml:space="preserve"> </w:t>
      </w:r>
      <w:r w:rsidR="00B35EBC">
        <w:rPr>
          <w:rFonts w:cs="Arial"/>
        </w:rPr>
        <w:t xml:space="preserve">(dále </w:t>
      </w:r>
      <w:r w:rsidR="00414B16">
        <w:rPr>
          <w:rFonts w:cs="Arial"/>
        </w:rPr>
        <w:t>také</w:t>
      </w:r>
      <w:r w:rsidR="00B35EBC">
        <w:rPr>
          <w:rFonts w:cs="Arial"/>
        </w:rPr>
        <w:t xml:space="preserve"> „ÚOSS“) </w:t>
      </w:r>
      <w:r w:rsidR="009B0DB9">
        <w:rPr>
          <w:rFonts w:cs="Arial"/>
        </w:rPr>
        <w:t>mj. ve věcech investiční politiky</w:t>
      </w:r>
      <w:r w:rsidR="003D4FC8">
        <w:rPr>
          <w:rFonts w:cs="Arial"/>
        </w:rPr>
        <w:t xml:space="preserve"> a</w:t>
      </w:r>
      <w:r w:rsidR="00191952">
        <w:rPr>
          <w:rFonts w:cs="Arial"/>
        </w:rPr>
        <w:t> </w:t>
      </w:r>
      <w:r w:rsidR="006E3ADB">
        <w:rPr>
          <w:rFonts w:cs="Arial"/>
        </w:rPr>
        <w:t xml:space="preserve">je gestorem zákona </w:t>
      </w:r>
      <w:r w:rsidR="00B35EBC">
        <w:rPr>
          <w:rFonts w:cs="Arial"/>
        </w:rPr>
        <w:t xml:space="preserve">č. 137/2006 Sb., </w:t>
      </w:r>
      <w:r w:rsidR="006E3ADB">
        <w:rPr>
          <w:rFonts w:cs="Arial"/>
        </w:rPr>
        <w:t>o veřejných zakázkách</w:t>
      </w:r>
      <w:r w:rsidR="003B6E78">
        <w:rPr>
          <w:rFonts w:cs="Arial"/>
        </w:rPr>
        <w:t>,</w:t>
      </w:r>
      <w:r w:rsidR="006E3ADB">
        <w:rPr>
          <w:rFonts w:cs="Arial"/>
        </w:rPr>
        <w:t xml:space="preserve"> </w:t>
      </w:r>
      <w:r w:rsidR="00B35EBC">
        <w:rPr>
          <w:rFonts w:cs="Arial"/>
        </w:rPr>
        <w:t xml:space="preserve">(dále </w:t>
      </w:r>
      <w:r w:rsidR="003B6E78">
        <w:rPr>
          <w:rFonts w:cs="Arial"/>
        </w:rPr>
        <w:t>také</w:t>
      </w:r>
      <w:r w:rsidR="00B35EBC">
        <w:rPr>
          <w:rFonts w:cs="Arial"/>
        </w:rPr>
        <w:t xml:space="preserve"> </w:t>
      </w:r>
      <w:r w:rsidR="001B2BB3">
        <w:rPr>
          <w:rFonts w:cs="Arial"/>
        </w:rPr>
        <w:t>„</w:t>
      </w:r>
      <w:r w:rsidR="00B35EBC">
        <w:rPr>
          <w:rFonts w:cs="Arial"/>
        </w:rPr>
        <w:t>zákon o VZ“)</w:t>
      </w:r>
      <w:r w:rsidR="006E31BE">
        <w:rPr>
          <w:rFonts w:cs="Arial"/>
        </w:rPr>
        <w:t>.</w:t>
      </w:r>
      <w:r w:rsidR="00B35EBC">
        <w:rPr>
          <w:rFonts w:cs="Arial"/>
        </w:rPr>
        <w:t xml:space="preserve"> </w:t>
      </w:r>
      <w:r w:rsidR="001B2BB3">
        <w:rPr>
          <w:rFonts w:cs="Arial"/>
        </w:rPr>
        <w:t>MMR b</w:t>
      </w:r>
      <w:r w:rsidR="006E31BE">
        <w:rPr>
          <w:rFonts w:cs="Arial"/>
        </w:rPr>
        <w:t xml:space="preserve">ylo </w:t>
      </w:r>
      <w:r w:rsidR="006E3ADB">
        <w:rPr>
          <w:rFonts w:cs="Arial"/>
        </w:rPr>
        <w:t xml:space="preserve">pověřeno </w:t>
      </w:r>
      <w:r w:rsidR="00F707D9">
        <w:rPr>
          <w:rFonts w:cs="Arial"/>
        </w:rPr>
        <w:t xml:space="preserve">koordinací </w:t>
      </w:r>
      <w:r w:rsidR="007F27A5">
        <w:rPr>
          <w:rFonts w:cs="Arial"/>
        </w:rPr>
        <w:t>realizace</w:t>
      </w:r>
      <w:r w:rsidR="00F707D9">
        <w:rPr>
          <w:rFonts w:cs="Arial"/>
        </w:rPr>
        <w:t xml:space="preserve"> </w:t>
      </w:r>
      <w:r w:rsidR="00F707D9" w:rsidRPr="00DF1407">
        <w:rPr>
          <w:rFonts w:cs="Arial"/>
          <w:i/>
        </w:rPr>
        <w:t xml:space="preserve">Národního plánu </w:t>
      </w:r>
      <w:r w:rsidR="007F27A5" w:rsidRPr="00DF1407">
        <w:rPr>
          <w:rFonts w:cs="Arial"/>
          <w:i/>
        </w:rPr>
        <w:t>zavedení elektronického zadávání veřejných zakázek pro období let 2006 až 2010</w:t>
      </w:r>
      <w:r w:rsidR="007F27A5">
        <w:rPr>
          <w:rFonts w:cs="Arial"/>
        </w:rPr>
        <w:t>. Částečným plněním tohoto plánu je projekt</w:t>
      </w:r>
      <w:r w:rsidR="006E3ADB">
        <w:rPr>
          <w:rFonts w:cs="Arial"/>
        </w:rPr>
        <w:t xml:space="preserve"> </w:t>
      </w:r>
      <w:r w:rsidR="006E3ADB" w:rsidRPr="003B21E8">
        <w:rPr>
          <w:rFonts w:cs="Arial"/>
          <w:i/>
        </w:rPr>
        <w:t xml:space="preserve">Národní </w:t>
      </w:r>
      <w:r w:rsidR="007F27A5" w:rsidRPr="003B21E8">
        <w:rPr>
          <w:rFonts w:cs="Arial"/>
          <w:i/>
        </w:rPr>
        <w:t>infrastruktura</w:t>
      </w:r>
      <w:r w:rsidR="006E3ADB" w:rsidRPr="003B21E8">
        <w:rPr>
          <w:rFonts w:cs="Arial"/>
          <w:i/>
        </w:rPr>
        <w:t xml:space="preserve"> pro elektroni</w:t>
      </w:r>
      <w:r w:rsidR="00D87CA2" w:rsidRPr="003B21E8">
        <w:rPr>
          <w:rFonts w:cs="Arial"/>
          <w:i/>
        </w:rPr>
        <w:t>cké</w:t>
      </w:r>
      <w:r w:rsidR="006E3ADB" w:rsidRPr="003B21E8">
        <w:rPr>
          <w:rFonts w:cs="Arial"/>
          <w:i/>
        </w:rPr>
        <w:t xml:space="preserve"> zadávání veřejných zakázek</w:t>
      </w:r>
      <w:r w:rsidR="006E3ADB">
        <w:rPr>
          <w:rFonts w:cs="Arial"/>
        </w:rPr>
        <w:t xml:space="preserve"> </w:t>
      </w:r>
      <w:r w:rsidR="006E3ADB" w:rsidRPr="000323B9">
        <w:rPr>
          <w:rFonts w:cs="Arial"/>
          <w:szCs w:val="22"/>
        </w:rPr>
        <w:t>(dále jen „NIPEZ“)</w:t>
      </w:r>
      <w:r w:rsidR="006E3ADB">
        <w:rPr>
          <w:rFonts w:cs="Arial"/>
          <w:szCs w:val="22"/>
        </w:rPr>
        <w:t>.</w:t>
      </w:r>
    </w:p>
    <w:p w:rsidR="003C4C53" w:rsidRPr="007F27A5" w:rsidRDefault="003C4C53" w:rsidP="00B82AEC">
      <w:pPr>
        <w:spacing w:after="0"/>
        <w:rPr>
          <w:rFonts w:cs="Arial"/>
        </w:rPr>
      </w:pPr>
    </w:p>
    <w:p w:rsidR="00A422D1" w:rsidRDefault="00497759" w:rsidP="00B82AEC">
      <w:pPr>
        <w:spacing w:after="0"/>
        <w:rPr>
          <w:rFonts w:cs="Arial"/>
        </w:rPr>
      </w:pPr>
      <w:r>
        <w:rPr>
          <w:rFonts w:cs="Arial"/>
        </w:rPr>
        <w:t>MMR,</w:t>
      </w:r>
      <w:r w:rsidRPr="006A64D9">
        <w:rPr>
          <w:rFonts w:cs="Arial"/>
        </w:rPr>
        <w:t xml:space="preserve"> </w:t>
      </w:r>
      <w:r w:rsidR="00A422D1" w:rsidRPr="006A64D9">
        <w:rPr>
          <w:rFonts w:cs="Arial"/>
        </w:rPr>
        <w:t>MSp</w:t>
      </w:r>
      <w:r>
        <w:rPr>
          <w:rFonts w:cs="Arial"/>
        </w:rPr>
        <w:t>, KSZ ÚL a KS ÚL</w:t>
      </w:r>
      <w:r w:rsidR="00BE2C8B">
        <w:rPr>
          <w:rFonts w:cs="Arial"/>
        </w:rPr>
        <w:t xml:space="preserve"> </w:t>
      </w:r>
      <w:r w:rsidR="0006089E">
        <w:rPr>
          <w:rFonts w:cs="Arial"/>
          <w:szCs w:val="22"/>
        </w:rPr>
        <w:t>jsou veřejnými zadavateli podle zákona o VZ a současně uživateli služeb poskytovaných v rámci projektu NIPEZ.</w:t>
      </w:r>
    </w:p>
    <w:p w:rsidR="003C4C53" w:rsidRDefault="003C4C53">
      <w:pPr>
        <w:rPr>
          <w:rFonts w:cs="Arial"/>
          <w:szCs w:val="22"/>
        </w:rPr>
      </w:pPr>
    </w:p>
    <w:p w:rsidR="003D4FC8" w:rsidRDefault="006E3ADB" w:rsidP="00B82AEC">
      <w:pPr>
        <w:spacing w:after="0"/>
        <w:rPr>
          <w:rFonts w:cs="Arial"/>
          <w:szCs w:val="22"/>
        </w:rPr>
      </w:pPr>
      <w:r>
        <w:rPr>
          <w:rFonts w:cs="Arial"/>
          <w:szCs w:val="22"/>
        </w:rPr>
        <w:t xml:space="preserve">Elektronizace zadávání veřejných zakázek </w:t>
      </w:r>
      <w:r w:rsidR="00B35EBC">
        <w:rPr>
          <w:rFonts w:cs="Arial"/>
          <w:szCs w:val="22"/>
        </w:rPr>
        <w:t xml:space="preserve">(dále také „VZ“ nebo „zakázek“) </w:t>
      </w:r>
      <w:r w:rsidR="007B205E">
        <w:rPr>
          <w:rFonts w:cs="Arial"/>
          <w:szCs w:val="22"/>
        </w:rPr>
        <w:t xml:space="preserve">je </w:t>
      </w:r>
      <w:r w:rsidR="00D14282">
        <w:rPr>
          <w:rFonts w:cs="Arial"/>
          <w:szCs w:val="22"/>
        </w:rPr>
        <w:t>předmětem řady aktivit</w:t>
      </w:r>
      <w:r>
        <w:rPr>
          <w:rFonts w:cs="Arial"/>
          <w:szCs w:val="22"/>
        </w:rPr>
        <w:t xml:space="preserve"> a úkolů na národní i </w:t>
      </w:r>
      <w:r w:rsidR="0072512E">
        <w:rPr>
          <w:rFonts w:cs="Arial"/>
          <w:szCs w:val="22"/>
        </w:rPr>
        <w:t>unijní úrovni.</w:t>
      </w:r>
    </w:p>
    <w:p w:rsidR="003C4C53" w:rsidRDefault="003C4C53" w:rsidP="00DF12B2">
      <w:pPr>
        <w:rPr>
          <w:rFonts w:cs="Arial"/>
          <w:szCs w:val="22"/>
        </w:rPr>
      </w:pPr>
    </w:p>
    <w:p w:rsidR="00896424" w:rsidRDefault="0072512E" w:rsidP="00B82AEC">
      <w:pPr>
        <w:spacing w:after="0"/>
        <w:rPr>
          <w:rFonts w:cs="Arial"/>
          <w:szCs w:val="22"/>
        </w:rPr>
      </w:pPr>
      <w:r>
        <w:rPr>
          <w:rFonts w:cs="Arial"/>
          <w:szCs w:val="22"/>
        </w:rPr>
        <w:t>Klíčové strategické dokumenty spojené s potřebou elektronizace zadáv</w:t>
      </w:r>
      <w:r w:rsidR="00F44427">
        <w:rPr>
          <w:rFonts w:cs="Arial"/>
          <w:szCs w:val="22"/>
        </w:rPr>
        <w:t>ání VZ</w:t>
      </w:r>
      <w:r>
        <w:rPr>
          <w:rFonts w:cs="Arial"/>
          <w:szCs w:val="22"/>
        </w:rPr>
        <w:t xml:space="preserve"> jsou spolu s usneseními vlády </w:t>
      </w:r>
      <w:r w:rsidR="00B35EBC">
        <w:rPr>
          <w:rFonts w:cs="Arial"/>
          <w:szCs w:val="22"/>
        </w:rPr>
        <w:t xml:space="preserve">(dále také „UV“) </w:t>
      </w:r>
      <w:r w:rsidR="007B205E">
        <w:rPr>
          <w:rFonts w:cs="Arial"/>
          <w:szCs w:val="22"/>
        </w:rPr>
        <w:t>v</w:t>
      </w:r>
      <w:r w:rsidR="00497759">
        <w:rPr>
          <w:rFonts w:cs="Arial"/>
          <w:szCs w:val="22"/>
        </w:rPr>
        <w:t> </w:t>
      </w:r>
      <w:r>
        <w:rPr>
          <w:rFonts w:cs="Arial"/>
          <w:szCs w:val="22"/>
        </w:rPr>
        <w:t>c</w:t>
      </w:r>
      <w:r w:rsidR="00D14282">
        <w:rPr>
          <w:rFonts w:cs="Arial"/>
          <w:szCs w:val="22"/>
        </w:rPr>
        <w:t>hronologickém pořadí</w:t>
      </w:r>
      <w:r w:rsidR="00EF361D">
        <w:rPr>
          <w:rFonts w:cs="Arial"/>
          <w:szCs w:val="22"/>
        </w:rPr>
        <w:t xml:space="preserve">, a to vč. zavedených zkratek, </w:t>
      </w:r>
      <w:r w:rsidR="00D14282" w:rsidRPr="00C351EA">
        <w:rPr>
          <w:rFonts w:cs="Arial"/>
          <w:szCs w:val="22"/>
        </w:rPr>
        <w:t>uveden</w:t>
      </w:r>
      <w:r w:rsidR="00D31A31" w:rsidRPr="00C351EA">
        <w:rPr>
          <w:rFonts w:cs="Arial"/>
          <w:szCs w:val="22"/>
        </w:rPr>
        <w:t>y</w:t>
      </w:r>
      <w:r w:rsidR="00D14282" w:rsidRPr="00C351EA">
        <w:rPr>
          <w:rFonts w:cs="Arial"/>
          <w:szCs w:val="22"/>
        </w:rPr>
        <w:t xml:space="preserve"> v </w:t>
      </w:r>
      <w:r w:rsidR="003B6E78">
        <w:rPr>
          <w:rFonts w:cs="Arial"/>
          <w:szCs w:val="22"/>
        </w:rPr>
        <w:t>p</w:t>
      </w:r>
      <w:r w:rsidRPr="00C351EA">
        <w:rPr>
          <w:rFonts w:cs="Arial"/>
          <w:szCs w:val="22"/>
        </w:rPr>
        <w:t xml:space="preserve">říloze </w:t>
      </w:r>
      <w:r w:rsidR="00E71EFE" w:rsidRPr="00C351EA">
        <w:rPr>
          <w:rFonts w:cs="Arial"/>
          <w:szCs w:val="22"/>
        </w:rPr>
        <w:t>č. 1</w:t>
      </w:r>
      <w:r w:rsidRPr="00C351EA">
        <w:rPr>
          <w:rFonts w:cs="Arial"/>
          <w:szCs w:val="22"/>
        </w:rPr>
        <w:t xml:space="preserve"> kontrolního</w:t>
      </w:r>
      <w:r>
        <w:rPr>
          <w:rFonts w:cs="Arial"/>
          <w:szCs w:val="22"/>
        </w:rPr>
        <w:t xml:space="preserve"> závěru.</w:t>
      </w:r>
    </w:p>
    <w:p w:rsidR="003C4C53" w:rsidRDefault="003C4C53" w:rsidP="00DF12B2">
      <w:pPr>
        <w:rPr>
          <w:rFonts w:cs="Arial"/>
          <w:szCs w:val="22"/>
        </w:rPr>
      </w:pPr>
    </w:p>
    <w:p w:rsidR="00896424" w:rsidRDefault="00896424" w:rsidP="00B82AEC">
      <w:pPr>
        <w:spacing w:after="0"/>
        <w:rPr>
          <w:rFonts w:cs="Arial"/>
          <w:szCs w:val="22"/>
        </w:rPr>
      </w:pPr>
      <w:r w:rsidRPr="00896424">
        <w:rPr>
          <w:rFonts w:cs="Arial"/>
          <w:szCs w:val="22"/>
        </w:rPr>
        <w:t>Sdělením Evropské komise</w:t>
      </w:r>
      <w:r w:rsidR="00C315D7">
        <w:rPr>
          <w:rStyle w:val="Znakapoznpodarou"/>
          <w:szCs w:val="22"/>
        </w:rPr>
        <w:footnoteReference w:id="2"/>
      </w:r>
      <w:r w:rsidRPr="00896424">
        <w:rPr>
          <w:rFonts w:cs="Arial"/>
          <w:szCs w:val="22"/>
        </w:rPr>
        <w:t xml:space="preserve"> byly členské státy EU vyzvány k</w:t>
      </w:r>
      <w:r w:rsidR="003B6E78">
        <w:rPr>
          <w:rFonts w:cs="Arial"/>
          <w:szCs w:val="22"/>
        </w:rPr>
        <w:t> vy</w:t>
      </w:r>
      <w:r w:rsidRPr="00896424">
        <w:rPr>
          <w:rFonts w:cs="Arial"/>
          <w:szCs w:val="22"/>
        </w:rPr>
        <w:t>pracování národních plánů zavádění elektronického zadávání VZ, které budou obsahovat strategii a měřitelné cíle zavádění moderních informačních a komunikačních technologií do procesu zadávání VZ</w:t>
      </w:r>
      <w:r w:rsidR="00A144C7">
        <w:rPr>
          <w:rFonts w:cs="Arial"/>
          <w:szCs w:val="22"/>
        </w:rPr>
        <w:t>.</w:t>
      </w:r>
      <w:r w:rsidR="00115D7D">
        <w:rPr>
          <w:rFonts w:cs="Arial"/>
          <w:szCs w:val="22"/>
        </w:rPr>
        <w:t xml:space="preserve"> </w:t>
      </w:r>
      <w:r w:rsidR="00B35EBC">
        <w:rPr>
          <w:rFonts w:cs="Arial"/>
          <w:szCs w:val="22"/>
        </w:rPr>
        <w:t xml:space="preserve">Tomuto </w:t>
      </w:r>
      <w:r w:rsidR="003B6E78">
        <w:rPr>
          <w:rFonts w:cs="Arial"/>
          <w:szCs w:val="22"/>
        </w:rPr>
        <w:t>s</w:t>
      </w:r>
      <w:r w:rsidR="00B35EBC">
        <w:rPr>
          <w:rFonts w:cs="Arial"/>
          <w:szCs w:val="22"/>
        </w:rPr>
        <w:t>dělení</w:t>
      </w:r>
      <w:r w:rsidR="0072512E">
        <w:rPr>
          <w:rFonts w:cs="Arial"/>
          <w:szCs w:val="22"/>
        </w:rPr>
        <w:t xml:space="preserve"> předcházelo </w:t>
      </w:r>
      <w:r w:rsidR="00B35EBC">
        <w:rPr>
          <w:rFonts w:cs="Arial"/>
          <w:szCs w:val="22"/>
        </w:rPr>
        <w:t>UV</w:t>
      </w:r>
      <w:r w:rsidR="00FE5AB2">
        <w:rPr>
          <w:rFonts w:cs="Arial"/>
          <w:szCs w:val="22"/>
        </w:rPr>
        <w:t xml:space="preserve"> </w:t>
      </w:r>
      <w:r w:rsidR="003B6E78">
        <w:rPr>
          <w:rFonts w:cs="Arial"/>
          <w:szCs w:val="22"/>
        </w:rPr>
        <w:t xml:space="preserve">ze dne 26. 6. 2002 </w:t>
      </w:r>
      <w:r w:rsidR="00FE5AB2">
        <w:rPr>
          <w:rFonts w:cs="Arial"/>
          <w:szCs w:val="22"/>
        </w:rPr>
        <w:t xml:space="preserve">č. 683, kterým </w:t>
      </w:r>
      <w:r w:rsidR="00C2369A">
        <w:rPr>
          <w:rFonts w:cs="Arial"/>
          <w:szCs w:val="22"/>
        </w:rPr>
        <w:t xml:space="preserve">byla </w:t>
      </w:r>
      <w:r w:rsidR="0072512E">
        <w:rPr>
          <w:rFonts w:cs="Arial"/>
          <w:szCs w:val="22"/>
        </w:rPr>
        <w:t>v roce 2002 zaveden</w:t>
      </w:r>
      <w:r w:rsidR="00FE5AB2">
        <w:rPr>
          <w:rFonts w:cs="Arial"/>
          <w:szCs w:val="22"/>
        </w:rPr>
        <w:t>a</w:t>
      </w:r>
      <w:r w:rsidR="0072512E">
        <w:rPr>
          <w:rFonts w:cs="Arial"/>
          <w:szCs w:val="22"/>
        </w:rPr>
        <w:t xml:space="preserve"> </w:t>
      </w:r>
      <w:r w:rsidR="005A3D15">
        <w:rPr>
          <w:rFonts w:cs="Arial"/>
          <w:szCs w:val="22"/>
        </w:rPr>
        <w:t xml:space="preserve">dvě </w:t>
      </w:r>
      <w:r w:rsidR="0072512E" w:rsidRPr="00896424">
        <w:rPr>
          <w:rFonts w:cs="Arial"/>
          <w:szCs w:val="22"/>
        </w:rPr>
        <w:t>elektronická t</w:t>
      </w:r>
      <w:r w:rsidR="0072512E">
        <w:rPr>
          <w:rFonts w:cs="Arial"/>
          <w:szCs w:val="22"/>
        </w:rPr>
        <w:t>ržiště</w:t>
      </w:r>
      <w:r w:rsidR="005A3D15">
        <w:rPr>
          <w:rFonts w:cs="Arial"/>
          <w:szCs w:val="22"/>
        </w:rPr>
        <w:t xml:space="preserve"> </w:t>
      </w:r>
      <w:r w:rsidR="0072512E">
        <w:rPr>
          <w:rFonts w:cs="Arial"/>
          <w:szCs w:val="22"/>
        </w:rPr>
        <w:t>s cílem koordinovat vynakládání finančních prostředků na informační a komunikační technologie</w:t>
      </w:r>
      <w:r w:rsidR="00B35EBC">
        <w:rPr>
          <w:rFonts w:cs="Arial"/>
          <w:szCs w:val="22"/>
        </w:rPr>
        <w:t xml:space="preserve"> (dále jen „ICT e-tržiště“)</w:t>
      </w:r>
      <w:r w:rsidR="0072512E">
        <w:rPr>
          <w:rFonts w:cs="Arial"/>
          <w:szCs w:val="22"/>
        </w:rPr>
        <w:t xml:space="preserve">. </w:t>
      </w:r>
      <w:r w:rsidRPr="00896424">
        <w:rPr>
          <w:rFonts w:cs="Arial"/>
          <w:szCs w:val="22"/>
        </w:rPr>
        <w:t xml:space="preserve">MMR </w:t>
      </w:r>
      <w:r w:rsidR="003B6E78">
        <w:rPr>
          <w:rFonts w:cs="Arial"/>
          <w:szCs w:val="22"/>
        </w:rPr>
        <w:t>připravilo</w:t>
      </w:r>
      <w:r w:rsidR="003B6E78" w:rsidRPr="00896424">
        <w:rPr>
          <w:rFonts w:cs="Arial"/>
          <w:szCs w:val="22"/>
        </w:rPr>
        <w:t xml:space="preserve"> </w:t>
      </w:r>
      <w:r w:rsidRPr="00F86483">
        <w:rPr>
          <w:rFonts w:cs="Arial"/>
          <w:i/>
          <w:szCs w:val="22"/>
        </w:rPr>
        <w:t>Národní plán zavedení elektronického zadávání veřejných zakázek pro období let 2006 až 2010</w:t>
      </w:r>
      <w:r w:rsidR="0072512E">
        <w:rPr>
          <w:rFonts w:cs="Arial"/>
          <w:szCs w:val="22"/>
        </w:rPr>
        <w:t xml:space="preserve">, </w:t>
      </w:r>
      <w:r w:rsidR="00D14282">
        <w:rPr>
          <w:rFonts w:cs="Arial"/>
          <w:szCs w:val="22"/>
        </w:rPr>
        <w:t xml:space="preserve">který byl </w:t>
      </w:r>
      <w:r w:rsidR="00A12FBA">
        <w:rPr>
          <w:rFonts w:cs="Arial"/>
          <w:szCs w:val="22"/>
        </w:rPr>
        <w:t xml:space="preserve">v roce 2006 </w:t>
      </w:r>
      <w:r w:rsidR="00D14282">
        <w:rPr>
          <w:rFonts w:cs="Arial"/>
          <w:szCs w:val="22"/>
        </w:rPr>
        <w:t xml:space="preserve">přijat UV </w:t>
      </w:r>
      <w:r w:rsidR="003B6E78">
        <w:rPr>
          <w:rFonts w:cs="Arial"/>
          <w:szCs w:val="22"/>
        </w:rPr>
        <w:t xml:space="preserve">ze dne 10. 5. 2006 </w:t>
      </w:r>
      <w:r w:rsidR="00264CAF">
        <w:rPr>
          <w:rFonts w:cs="Arial"/>
          <w:szCs w:val="22"/>
        </w:rPr>
        <w:t xml:space="preserve">č. 500 </w:t>
      </w:r>
      <w:r w:rsidR="00D14282">
        <w:rPr>
          <w:rFonts w:cs="Arial"/>
        </w:rPr>
        <w:t xml:space="preserve">a </w:t>
      </w:r>
      <w:r w:rsidR="0072512E">
        <w:rPr>
          <w:rFonts w:cs="Arial"/>
          <w:szCs w:val="22"/>
        </w:rPr>
        <w:t xml:space="preserve">který definoval </w:t>
      </w:r>
      <w:r w:rsidRPr="00896424">
        <w:rPr>
          <w:rFonts w:cs="Arial"/>
          <w:szCs w:val="22"/>
        </w:rPr>
        <w:t xml:space="preserve">opatření </w:t>
      </w:r>
      <w:r w:rsidR="002C671F">
        <w:rPr>
          <w:rFonts w:cs="Arial"/>
          <w:szCs w:val="22"/>
        </w:rPr>
        <w:t>k </w:t>
      </w:r>
      <w:r w:rsidRPr="00896424">
        <w:rPr>
          <w:rFonts w:cs="Arial"/>
          <w:szCs w:val="22"/>
        </w:rPr>
        <w:t>usnadnění a zrychlení zavádění elektronických nástrojů do procesu zadávání VZ.</w:t>
      </w:r>
    </w:p>
    <w:p w:rsidR="003C4C53" w:rsidRDefault="003C4C53" w:rsidP="00B82AEC">
      <w:pPr>
        <w:spacing w:after="0"/>
        <w:rPr>
          <w:rFonts w:cs="Arial"/>
          <w:szCs w:val="22"/>
        </w:rPr>
      </w:pPr>
    </w:p>
    <w:p w:rsidR="009B4201" w:rsidRPr="00C23787" w:rsidRDefault="009B4201" w:rsidP="002E089B">
      <w:pPr>
        <w:ind w:left="709" w:hanging="709"/>
        <w:rPr>
          <w:rFonts w:cs="Arial"/>
          <w:sz w:val="18"/>
          <w:szCs w:val="18"/>
        </w:rPr>
      </w:pPr>
      <w:r w:rsidRPr="0022756A">
        <w:rPr>
          <w:rFonts w:cs="Arial"/>
          <w:b/>
          <w:sz w:val="18"/>
          <w:szCs w:val="18"/>
        </w:rPr>
        <w:t>Pozn.:</w:t>
      </w:r>
      <w:r w:rsidRPr="001B37CB">
        <w:rPr>
          <w:rFonts w:cs="Arial"/>
          <w:sz w:val="18"/>
          <w:szCs w:val="18"/>
        </w:rPr>
        <w:t xml:space="preserve"> </w:t>
      </w:r>
      <w:r w:rsidRPr="00C23787">
        <w:rPr>
          <w:rFonts w:cs="Arial"/>
          <w:sz w:val="18"/>
          <w:szCs w:val="18"/>
        </w:rPr>
        <w:t>Všechny právní předpisy uváděné v tomto kontrolním závěru jsou aplikovány ve znění účinném pro kontrolované období.</w:t>
      </w:r>
    </w:p>
    <w:p w:rsidR="00992A87" w:rsidRDefault="00992A87" w:rsidP="00DF12B2">
      <w:pPr>
        <w:rPr>
          <w:rFonts w:cs="Arial"/>
          <w:szCs w:val="22"/>
        </w:rPr>
      </w:pPr>
    </w:p>
    <w:p w:rsidR="003C4C53" w:rsidRPr="00896424" w:rsidRDefault="003C4C53" w:rsidP="00DF12B2">
      <w:pPr>
        <w:rPr>
          <w:rFonts w:cs="Arial"/>
          <w:szCs w:val="22"/>
        </w:rPr>
      </w:pPr>
    </w:p>
    <w:p w:rsidR="0025037D" w:rsidRPr="00B82AEC" w:rsidRDefault="00F016DA" w:rsidP="00DF12B2">
      <w:pPr>
        <w:jc w:val="center"/>
        <w:rPr>
          <w:rFonts w:cs="Arial"/>
          <w:b/>
          <w:sz w:val="24"/>
        </w:rPr>
      </w:pPr>
      <w:r w:rsidRPr="00B82AEC">
        <w:rPr>
          <w:rFonts w:cs="Arial"/>
          <w:b/>
          <w:sz w:val="24"/>
        </w:rPr>
        <w:t>II. Skutečnosti zjištěné při kontrole</w:t>
      </w:r>
    </w:p>
    <w:p w:rsidR="003C4C53" w:rsidRDefault="003C4C53" w:rsidP="00DF12B2">
      <w:pPr>
        <w:jc w:val="center"/>
        <w:rPr>
          <w:rFonts w:cs="Arial"/>
          <w:b/>
        </w:rPr>
      </w:pPr>
    </w:p>
    <w:p w:rsidR="0006089E" w:rsidRDefault="00814E60" w:rsidP="00B82AEC">
      <w:pPr>
        <w:pStyle w:val="Nadpis1"/>
        <w:spacing w:before="0" w:after="0"/>
      </w:pPr>
      <w:r>
        <w:t xml:space="preserve">1. </w:t>
      </w:r>
      <w:r w:rsidR="0006089E">
        <w:t xml:space="preserve">Příprava </w:t>
      </w:r>
      <w:r w:rsidR="00917447">
        <w:t>podmínek pro zavedení a používání e-tržišť</w:t>
      </w:r>
    </w:p>
    <w:p w:rsidR="003C4C53" w:rsidRDefault="003C4C53" w:rsidP="00B82AEC">
      <w:pPr>
        <w:spacing w:after="0"/>
        <w:rPr>
          <w:rFonts w:cs="Arial"/>
          <w:szCs w:val="22"/>
        </w:rPr>
      </w:pPr>
    </w:p>
    <w:p w:rsidR="00BE2C8B" w:rsidRDefault="00BE2C8B" w:rsidP="00B82AEC">
      <w:pPr>
        <w:spacing w:after="0"/>
        <w:rPr>
          <w:rFonts w:cs="Arial"/>
          <w:szCs w:val="22"/>
        </w:rPr>
      </w:pPr>
      <w:r>
        <w:rPr>
          <w:rFonts w:cs="Arial"/>
          <w:szCs w:val="22"/>
        </w:rPr>
        <w:t xml:space="preserve">MMR </w:t>
      </w:r>
      <w:r w:rsidR="00AD0F6E">
        <w:rPr>
          <w:rFonts w:cs="Arial"/>
          <w:szCs w:val="22"/>
        </w:rPr>
        <w:t xml:space="preserve">mělo </w:t>
      </w:r>
      <w:r>
        <w:rPr>
          <w:rFonts w:cs="Arial"/>
          <w:szCs w:val="22"/>
        </w:rPr>
        <w:t xml:space="preserve">před zahájením projektu NIPEZ k dispozici dvě analýzy. </w:t>
      </w:r>
      <w:r w:rsidRPr="003B21E8">
        <w:rPr>
          <w:rFonts w:cs="Arial"/>
          <w:szCs w:val="22"/>
        </w:rPr>
        <w:t>Analýza individuálních strategií zadávání</w:t>
      </w:r>
      <w:r w:rsidRPr="00401292">
        <w:rPr>
          <w:rFonts w:cs="Arial"/>
          <w:szCs w:val="22"/>
        </w:rPr>
        <w:t xml:space="preserve"> </w:t>
      </w:r>
      <w:r>
        <w:rPr>
          <w:rFonts w:cs="Arial"/>
          <w:szCs w:val="22"/>
        </w:rPr>
        <w:t xml:space="preserve">mj. uvedla, že do roku 2009 atestovaný elektronický nástroj pro veřejné zakázky malého rozsahu (dále </w:t>
      </w:r>
      <w:r w:rsidR="00C47EBB">
        <w:rPr>
          <w:rFonts w:cs="Arial"/>
          <w:szCs w:val="22"/>
        </w:rPr>
        <w:t>také</w:t>
      </w:r>
      <w:r>
        <w:rPr>
          <w:rFonts w:cs="Arial"/>
          <w:szCs w:val="22"/>
        </w:rPr>
        <w:t xml:space="preserve"> „VZMR“) používalo pouze Ministerstvo obrany</w:t>
      </w:r>
      <w:r w:rsidR="00DA0CEF">
        <w:rPr>
          <w:rFonts w:cs="Arial"/>
          <w:szCs w:val="22"/>
        </w:rPr>
        <w:t xml:space="preserve"> </w:t>
      </w:r>
      <w:r w:rsidR="00F94451">
        <w:rPr>
          <w:rFonts w:cs="Arial"/>
          <w:szCs w:val="22"/>
        </w:rPr>
        <w:t>(dále také</w:t>
      </w:r>
      <w:r w:rsidR="00DA0CEF">
        <w:rPr>
          <w:rFonts w:cs="Arial"/>
          <w:szCs w:val="22"/>
        </w:rPr>
        <w:t xml:space="preserve"> „MO“)</w:t>
      </w:r>
      <w:r w:rsidR="003D4FC8">
        <w:rPr>
          <w:rFonts w:cs="Arial"/>
          <w:szCs w:val="22"/>
        </w:rPr>
        <w:t>.</w:t>
      </w:r>
      <w:r>
        <w:rPr>
          <w:rFonts w:cs="Arial"/>
          <w:szCs w:val="22"/>
        </w:rPr>
        <w:t xml:space="preserve"> </w:t>
      </w:r>
      <w:r w:rsidR="003D4FC8">
        <w:rPr>
          <w:rFonts w:cs="Arial"/>
          <w:szCs w:val="22"/>
        </w:rPr>
        <w:t>N</w:t>
      </w:r>
      <w:r>
        <w:rPr>
          <w:rFonts w:cs="Arial"/>
          <w:szCs w:val="22"/>
        </w:rPr>
        <w:t>a nedostat</w:t>
      </w:r>
      <w:r w:rsidR="002E089B">
        <w:rPr>
          <w:rFonts w:cs="Arial"/>
          <w:szCs w:val="22"/>
        </w:rPr>
        <w:t>ky spojené s</w:t>
      </w:r>
      <w:r w:rsidR="003D4FC8">
        <w:rPr>
          <w:rFonts w:cs="Arial"/>
          <w:szCs w:val="22"/>
        </w:rPr>
        <w:t>e</w:t>
      </w:r>
      <w:r w:rsidR="002E089B">
        <w:rPr>
          <w:rFonts w:cs="Arial"/>
          <w:szCs w:val="22"/>
        </w:rPr>
        <w:t xml:space="preserve"> zavedením a </w:t>
      </w:r>
      <w:r>
        <w:rPr>
          <w:rFonts w:cs="Arial"/>
          <w:szCs w:val="22"/>
        </w:rPr>
        <w:t>používáním</w:t>
      </w:r>
      <w:r w:rsidR="003D4FC8">
        <w:rPr>
          <w:rFonts w:cs="Arial"/>
          <w:szCs w:val="22"/>
        </w:rPr>
        <w:t xml:space="preserve"> ICT tržišť upozornila </w:t>
      </w:r>
      <w:r w:rsidR="003D4FC8" w:rsidRPr="0082784D">
        <w:rPr>
          <w:rFonts w:cs="Arial"/>
          <w:szCs w:val="22"/>
        </w:rPr>
        <w:t xml:space="preserve">analýza ICT </w:t>
      </w:r>
      <w:r w:rsidR="00135FC5">
        <w:rPr>
          <w:rFonts w:cs="Arial"/>
          <w:szCs w:val="22"/>
        </w:rPr>
        <w:br/>
      </w:r>
      <w:r w:rsidR="003D4FC8" w:rsidRPr="0082784D">
        <w:rPr>
          <w:rFonts w:cs="Arial"/>
          <w:szCs w:val="22"/>
        </w:rPr>
        <w:t>e-tržišť</w:t>
      </w:r>
      <w:r>
        <w:rPr>
          <w:rFonts w:cs="Arial"/>
          <w:szCs w:val="22"/>
        </w:rPr>
        <w:t>. Jednalo se zejména o:</w:t>
      </w:r>
    </w:p>
    <w:p w:rsidR="00BE2C8B" w:rsidRPr="00992A87" w:rsidRDefault="00BE2C8B" w:rsidP="00B82AEC">
      <w:pPr>
        <w:pStyle w:val="Odstavecseseznamem"/>
        <w:numPr>
          <w:ilvl w:val="0"/>
          <w:numId w:val="1"/>
        </w:numPr>
        <w:spacing w:after="0"/>
        <w:rPr>
          <w:rFonts w:cs="Arial"/>
          <w:szCs w:val="22"/>
        </w:rPr>
      </w:pPr>
      <w:r w:rsidRPr="00992A87">
        <w:rPr>
          <w:rFonts w:cs="Arial"/>
          <w:szCs w:val="22"/>
        </w:rPr>
        <w:t xml:space="preserve">nedostatečný právní základ povinnosti využívat </w:t>
      </w:r>
      <w:r w:rsidR="001B2BB3">
        <w:rPr>
          <w:rFonts w:cs="Arial"/>
          <w:szCs w:val="22"/>
        </w:rPr>
        <w:t xml:space="preserve">ICT </w:t>
      </w:r>
      <w:r w:rsidRPr="00992A87">
        <w:rPr>
          <w:rFonts w:cs="Arial"/>
          <w:szCs w:val="22"/>
        </w:rPr>
        <w:t xml:space="preserve">e-tržiště, který byl stanoven pouze </w:t>
      </w:r>
      <w:r w:rsidR="00511CF7">
        <w:rPr>
          <w:rFonts w:cs="Arial"/>
          <w:szCs w:val="22"/>
        </w:rPr>
        <w:t>usnesením vlády</w:t>
      </w:r>
      <w:r>
        <w:rPr>
          <w:rFonts w:cs="Arial"/>
          <w:szCs w:val="22"/>
        </w:rPr>
        <w:t>;</w:t>
      </w:r>
    </w:p>
    <w:p w:rsidR="00BE2C8B" w:rsidRPr="00992A87" w:rsidRDefault="00BE2C8B" w:rsidP="00B82AEC">
      <w:pPr>
        <w:pStyle w:val="Odstavecseseznamem"/>
        <w:numPr>
          <w:ilvl w:val="0"/>
          <w:numId w:val="1"/>
        </w:numPr>
        <w:spacing w:after="0"/>
        <w:rPr>
          <w:rFonts w:cs="Arial"/>
          <w:szCs w:val="22"/>
        </w:rPr>
      </w:pPr>
      <w:r w:rsidRPr="00992A87">
        <w:rPr>
          <w:rFonts w:cs="Arial"/>
          <w:szCs w:val="22"/>
        </w:rPr>
        <w:t>povinnost dodavatele hradit náklady související se zadávacím řízením</w:t>
      </w:r>
      <w:r>
        <w:rPr>
          <w:rFonts w:cs="Arial"/>
          <w:szCs w:val="22"/>
        </w:rPr>
        <w:t>;</w:t>
      </w:r>
    </w:p>
    <w:p w:rsidR="00BE2C8B" w:rsidRPr="00992A87" w:rsidRDefault="002E4630" w:rsidP="00B82AEC">
      <w:pPr>
        <w:pStyle w:val="Odstavecseseznamem"/>
        <w:numPr>
          <w:ilvl w:val="0"/>
          <w:numId w:val="1"/>
        </w:numPr>
        <w:spacing w:after="0"/>
        <w:rPr>
          <w:rFonts w:cs="Arial"/>
          <w:szCs w:val="22"/>
        </w:rPr>
      </w:pPr>
      <w:r>
        <w:rPr>
          <w:rFonts w:cs="Arial"/>
          <w:szCs w:val="22"/>
        </w:rPr>
        <w:lastRenderedPageBreak/>
        <w:t>absenc</w:t>
      </w:r>
      <w:r w:rsidR="00A12FBA">
        <w:rPr>
          <w:rFonts w:cs="Arial"/>
          <w:szCs w:val="22"/>
        </w:rPr>
        <w:t>i</w:t>
      </w:r>
      <w:r w:rsidR="00BE2C8B" w:rsidRPr="00992A87">
        <w:rPr>
          <w:rFonts w:cs="Arial"/>
          <w:szCs w:val="22"/>
        </w:rPr>
        <w:t xml:space="preserve"> kontrolní</w:t>
      </w:r>
      <w:r>
        <w:rPr>
          <w:rFonts w:cs="Arial"/>
          <w:szCs w:val="22"/>
        </w:rPr>
        <w:t>ch</w:t>
      </w:r>
      <w:r w:rsidR="00BE2C8B" w:rsidRPr="00992A87">
        <w:rPr>
          <w:rFonts w:cs="Arial"/>
          <w:szCs w:val="22"/>
        </w:rPr>
        <w:t xml:space="preserve"> a sankční</w:t>
      </w:r>
      <w:r>
        <w:rPr>
          <w:rFonts w:cs="Arial"/>
          <w:szCs w:val="22"/>
        </w:rPr>
        <w:t>ch</w:t>
      </w:r>
      <w:r w:rsidR="00BE2C8B" w:rsidRPr="00992A87">
        <w:rPr>
          <w:rFonts w:cs="Arial"/>
          <w:szCs w:val="22"/>
        </w:rPr>
        <w:t xml:space="preserve"> mechanism</w:t>
      </w:r>
      <w:r>
        <w:rPr>
          <w:rFonts w:cs="Arial"/>
          <w:szCs w:val="22"/>
        </w:rPr>
        <w:t xml:space="preserve">ů </w:t>
      </w:r>
      <w:r w:rsidR="00A12FBA">
        <w:rPr>
          <w:rFonts w:cs="Arial"/>
          <w:szCs w:val="22"/>
        </w:rPr>
        <w:t>v</w:t>
      </w:r>
      <w:r w:rsidR="00264CAF">
        <w:rPr>
          <w:rFonts w:cs="Arial"/>
          <w:szCs w:val="22"/>
        </w:rPr>
        <w:t> </w:t>
      </w:r>
      <w:r>
        <w:rPr>
          <w:rFonts w:cs="Arial"/>
          <w:szCs w:val="22"/>
        </w:rPr>
        <w:t>UV</w:t>
      </w:r>
      <w:r w:rsidR="00264CAF">
        <w:rPr>
          <w:rFonts w:cs="Arial"/>
          <w:szCs w:val="22"/>
        </w:rPr>
        <w:t xml:space="preserve"> </w:t>
      </w:r>
      <w:r w:rsidR="003B6E78">
        <w:rPr>
          <w:rFonts w:cs="Arial"/>
          <w:szCs w:val="22"/>
        </w:rPr>
        <w:t xml:space="preserve">ze dne 26. 6. 2002 </w:t>
      </w:r>
      <w:r w:rsidR="00264CAF">
        <w:rPr>
          <w:rFonts w:cs="Arial"/>
          <w:szCs w:val="22"/>
        </w:rPr>
        <w:t>č. 683</w:t>
      </w:r>
      <w:r w:rsidR="00BE2C8B" w:rsidRPr="00992A87">
        <w:rPr>
          <w:rFonts w:cs="Arial"/>
          <w:szCs w:val="22"/>
        </w:rPr>
        <w:t xml:space="preserve">, což vedlo </w:t>
      </w:r>
      <w:r w:rsidR="002C671F">
        <w:rPr>
          <w:rFonts w:cs="Arial"/>
          <w:szCs w:val="22"/>
        </w:rPr>
        <w:t>k </w:t>
      </w:r>
      <w:r w:rsidR="00BE2C8B" w:rsidRPr="00992A87">
        <w:rPr>
          <w:rFonts w:cs="Arial"/>
          <w:szCs w:val="22"/>
        </w:rPr>
        <w:t>jeho nedodržování</w:t>
      </w:r>
      <w:r w:rsidR="00AD0F6E">
        <w:rPr>
          <w:rFonts w:cs="Arial"/>
          <w:szCs w:val="22"/>
        </w:rPr>
        <w:t>.</w:t>
      </w:r>
    </w:p>
    <w:p w:rsidR="003C4C53" w:rsidRDefault="003C4C53" w:rsidP="00BE2C8B">
      <w:pPr>
        <w:rPr>
          <w:rFonts w:cs="Arial"/>
          <w:szCs w:val="22"/>
        </w:rPr>
      </w:pPr>
    </w:p>
    <w:p w:rsidR="00BE2C8B" w:rsidRDefault="00BE2C8B" w:rsidP="00B82AEC">
      <w:pPr>
        <w:spacing w:after="0"/>
        <w:rPr>
          <w:rFonts w:cs="Arial"/>
          <w:szCs w:val="22"/>
        </w:rPr>
      </w:pPr>
      <w:r>
        <w:rPr>
          <w:rFonts w:cs="Arial"/>
          <w:szCs w:val="22"/>
        </w:rPr>
        <w:t>Zjištěné nedostatky vedly MMR k návrhu poskytnout pro nákupy všem orgánům státní správy elektronický nástroj</w:t>
      </w:r>
      <w:r w:rsidR="00F43F98">
        <w:rPr>
          <w:rFonts w:cs="Arial"/>
          <w:szCs w:val="22"/>
        </w:rPr>
        <w:t>, proto</w:t>
      </w:r>
      <w:r>
        <w:rPr>
          <w:rFonts w:cs="Arial"/>
          <w:szCs w:val="22"/>
        </w:rPr>
        <w:t xml:space="preserve"> </w:t>
      </w:r>
      <w:r w:rsidR="00BB3E83">
        <w:rPr>
          <w:rFonts w:cs="Arial"/>
          <w:szCs w:val="22"/>
        </w:rPr>
        <w:t xml:space="preserve">připravilo </w:t>
      </w:r>
      <w:r>
        <w:rPr>
          <w:rFonts w:cs="Arial"/>
          <w:szCs w:val="22"/>
        </w:rPr>
        <w:t>projekt NIPEZ. Studie proveditelnosti k</w:t>
      </w:r>
      <w:r w:rsidR="004D0E34">
        <w:rPr>
          <w:rFonts w:cs="Arial"/>
          <w:szCs w:val="22"/>
        </w:rPr>
        <w:t xml:space="preserve"> tomuto </w:t>
      </w:r>
      <w:r>
        <w:rPr>
          <w:rFonts w:cs="Arial"/>
          <w:szCs w:val="22"/>
        </w:rPr>
        <w:t xml:space="preserve">projektu, zpracovaná externím subjektem, doporučila MMR k realizaci variantu, která by umožnila zadavatelům </w:t>
      </w:r>
      <w:r w:rsidR="009616F5">
        <w:rPr>
          <w:rFonts w:cs="Arial"/>
          <w:szCs w:val="22"/>
        </w:rPr>
        <w:t xml:space="preserve">zvolit </w:t>
      </w:r>
      <w:r>
        <w:rPr>
          <w:rFonts w:cs="Arial"/>
          <w:szCs w:val="22"/>
        </w:rPr>
        <w:t>vlastní elektronick</w:t>
      </w:r>
      <w:r w:rsidR="009616F5">
        <w:rPr>
          <w:rFonts w:cs="Arial"/>
          <w:szCs w:val="22"/>
        </w:rPr>
        <w:t>ý</w:t>
      </w:r>
      <w:r>
        <w:rPr>
          <w:rFonts w:cs="Arial"/>
          <w:szCs w:val="22"/>
        </w:rPr>
        <w:t xml:space="preserve"> nástroj či centrálně provozovanou infrastrukturu. </w:t>
      </w:r>
    </w:p>
    <w:p w:rsidR="003C4C53" w:rsidRDefault="003C4C53" w:rsidP="00B82AEC">
      <w:pPr>
        <w:spacing w:after="0"/>
        <w:rPr>
          <w:rFonts w:cs="Arial"/>
          <w:szCs w:val="22"/>
        </w:rPr>
      </w:pPr>
    </w:p>
    <w:p w:rsidR="0006089E" w:rsidRDefault="0006089E" w:rsidP="00B82AEC">
      <w:pPr>
        <w:spacing w:after="0"/>
        <w:rPr>
          <w:rFonts w:cs="Arial"/>
          <w:szCs w:val="22"/>
        </w:rPr>
      </w:pPr>
      <w:r>
        <w:rPr>
          <w:rFonts w:cs="Arial"/>
          <w:szCs w:val="22"/>
        </w:rPr>
        <w:t>Povinnost nákupu přes e-tržiště byla pro ÚOSS</w:t>
      </w:r>
      <w:r w:rsidRPr="00CD18D7">
        <w:rPr>
          <w:rFonts w:cs="Arial"/>
          <w:szCs w:val="22"/>
        </w:rPr>
        <w:t xml:space="preserve"> a jejich podřízené organizace </w:t>
      </w:r>
      <w:r>
        <w:rPr>
          <w:rFonts w:cs="Arial"/>
          <w:szCs w:val="22"/>
        </w:rPr>
        <w:t xml:space="preserve">stanovena </w:t>
      </w:r>
      <w:r w:rsidR="002C671F">
        <w:rPr>
          <w:rFonts w:cs="Arial"/>
          <w:szCs w:val="22"/>
        </w:rPr>
        <w:t>v </w:t>
      </w:r>
      <w:r>
        <w:rPr>
          <w:rFonts w:cs="Arial"/>
          <w:szCs w:val="22"/>
        </w:rPr>
        <w:t>UV</w:t>
      </w:r>
      <w:r w:rsidRPr="00CD18D7">
        <w:rPr>
          <w:rFonts w:cs="Arial"/>
          <w:szCs w:val="22"/>
        </w:rPr>
        <w:t xml:space="preserve"> </w:t>
      </w:r>
      <w:r w:rsidR="004538D6">
        <w:rPr>
          <w:rFonts w:cs="Arial"/>
          <w:szCs w:val="22"/>
        </w:rPr>
        <w:t xml:space="preserve">ze dne 10. 5. 2010 </w:t>
      </w:r>
      <w:r w:rsidRPr="00CD18D7">
        <w:rPr>
          <w:rFonts w:cs="Arial"/>
          <w:szCs w:val="22"/>
        </w:rPr>
        <w:t>č.</w:t>
      </w:r>
      <w:r w:rsidR="00497759">
        <w:rPr>
          <w:rFonts w:cs="Arial"/>
          <w:szCs w:val="22"/>
        </w:rPr>
        <w:t> </w:t>
      </w:r>
      <w:r w:rsidRPr="00CD18D7">
        <w:rPr>
          <w:rFonts w:cs="Arial"/>
          <w:szCs w:val="22"/>
        </w:rPr>
        <w:t>343</w:t>
      </w:r>
      <w:r>
        <w:rPr>
          <w:rFonts w:cs="Arial"/>
          <w:szCs w:val="22"/>
        </w:rPr>
        <w:t xml:space="preserve">, resp. </w:t>
      </w:r>
      <w:r w:rsidR="004538D6">
        <w:rPr>
          <w:rFonts w:cs="Arial"/>
          <w:szCs w:val="22"/>
        </w:rPr>
        <w:t xml:space="preserve">v </w:t>
      </w:r>
      <w:r>
        <w:rPr>
          <w:rFonts w:cs="Arial"/>
          <w:szCs w:val="22"/>
        </w:rPr>
        <w:t xml:space="preserve">UV </w:t>
      </w:r>
      <w:r w:rsidR="004538D6">
        <w:rPr>
          <w:rFonts w:cs="Arial"/>
          <w:szCs w:val="22"/>
        </w:rPr>
        <w:t xml:space="preserve">ze dne 28. 3. 2012 </w:t>
      </w:r>
      <w:r>
        <w:rPr>
          <w:rFonts w:cs="Arial"/>
          <w:szCs w:val="22"/>
        </w:rPr>
        <w:t>č. 222. Vzhledem ke zpoždění projektu NIPEZ</w:t>
      </w:r>
      <w:r w:rsidRPr="004763F9">
        <w:rPr>
          <w:rFonts w:cs="Arial"/>
          <w:szCs w:val="22"/>
        </w:rPr>
        <w:t xml:space="preserve"> </w:t>
      </w:r>
      <w:r>
        <w:rPr>
          <w:rFonts w:cs="Arial"/>
          <w:szCs w:val="22"/>
        </w:rPr>
        <w:t>vláda</w:t>
      </w:r>
      <w:r w:rsidRPr="00A24535">
        <w:rPr>
          <w:rFonts w:cs="Arial"/>
          <w:szCs w:val="22"/>
        </w:rPr>
        <w:t xml:space="preserve"> </w:t>
      </w:r>
      <w:r>
        <w:rPr>
          <w:rFonts w:cs="Arial"/>
          <w:szCs w:val="22"/>
        </w:rPr>
        <w:t>třikrát odložila</w:t>
      </w:r>
      <w:r w:rsidRPr="004763F9">
        <w:rPr>
          <w:rFonts w:cs="Arial"/>
          <w:szCs w:val="22"/>
        </w:rPr>
        <w:t xml:space="preserve"> </w:t>
      </w:r>
      <w:r>
        <w:rPr>
          <w:rFonts w:cs="Arial"/>
          <w:szCs w:val="22"/>
        </w:rPr>
        <w:t>z</w:t>
      </w:r>
      <w:r w:rsidRPr="00A24535">
        <w:rPr>
          <w:rFonts w:cs="Arial"/>
          <w:szCs w:val="22"/>
        </w:rPr>
        <w:t>ahájení provozu e-tržišť, a to z původního termínu 1.</w:t>
      </w:r>
      <w:r w:rsidR="004E4E31">
        <w:rPr>
          <w:rFonts w:cs="Arial"/>
          <w:szCs w:val="22"/>
        </w:rPr>
        <w:t> č</w:t>
      </w:r>
      <w:r w:rsidR="002E089B">
        <w:rPr>
          <w:rFonts w:cs="Arial"/>
          <w:szCs w:val="22"/>
        </w:rPr>
        <w:t>ervence</w:t>
      </w:r>
      <w:r w:rsidR="004E4E31">
        <w:rPr>
          <w:rFonts w:cs="Arial"/>
          <w:szCs w:val="22"/>
        </w:rPr>
        <w:t> </w:t>
      </w:r>
      <w:r w:rsidRPr="00A24535">
        <w:rPr>
          <w:rFonts w:cs="Arial"/>
          <w:szCs w:val="22"/>
        </w:rPr>
        <w:t>2011 na konečný termín 1.</w:t>
      </w:r>
      <w:r w:rsidR="003D4FC8">
        <w:rPr>
          <w:rFonts w:cs="Arial"/>
          <w:szCs w:val="22"/>
        </w:rPr>
        <w:t> </w:t>
      </w:r>
      <w:r w:rsidR="002E089B">
        <w:rPr>
          <w:rFonts w:cs="Arial"/>
          <w:szCs w:val="22"/>
        </w:rPr>
        <w:t>května</w:t>
      </w:r>
      <w:r w:rsidRPr="00A24535">
        <w:rPr>
          <w:rFonts w:cs="Arial"/>
          <w:szCs w:val="22"/>
        </w:rPr>
        <w:t xml:space="preserve"> 2012</w:t>
      </w:r>
      <w:r w:rsidR="00BB3E83">
        <w:rPr>
          <w:rFonts w:cs="Arial"/>
          <w:szCs w:val="22"/>
        </w:rPr>
        <w:t>.</w:t>
      </w:r>
      <w:r>
        <w:rPr>
          <w:rFonts w:cs="Arial"/>
          <w:szCs w:val="22"/>
        </w:rPr>
        <w:t xml:space="preserve"> </w:t>
      </w:r>
      <w:r w:rsidR="00BB3E83">
        <w:rPr>
          <w:rFonts w:cs="Arial"/>
          <w:szCs w:val="22"/>
        </w:rPr>
        <w:t>K</w:t>
      </w:r>
      <w:r>
        <w:rPr>
          <w:rFonts w:cs="Arial"/>
          <w:szCs w:val="22"/>
        </w:rPr>
        <w:t>e dni zahájení provozu byla předmětným</w:t>
      </w:r>
      <w:r w:rsidR="00264CAF">
        <w:rPr>
          <w:rFonts w:cs="Arial"/>
          <w:szCs w:val="22"/>
        </w:rPr>
        <w:t>i</w:t>
      </w:r>
      <w:r>
        <w:rPr>
          <w:rFonts w:cs="Arial"/>
          <w:szCs w:val="22"/>
        </w:rPr>
        <w:t xml:space="preserve"> UV zrušena povinnost nákupů přes ICT e-tržiště</w:t>
      </w:r>
      <w:r w:rsidR="00BB3E83">
        <w:rPr>
          <w:rFonts w:cs="Arial"/>
          <w:szCs w:val="22"/>
        </w:rPr>
        <w:t>.</w:t>
      </w:r>
      <w:r w:rsidR="00C16FF5">
        <w:rPr>
          <w:rFonts w:cs="Arial"/>
          <w:szCs w:val="22"/>
        </w:rPr>
        <w:t xml:space="preserve"> </w:t>
      </w:r>
      <w:r w:rsidR="005E099C">
        <w:rPr>
          <w:rFonts w:cs="Arial"/>
          <w:szCs w:val="22"/>
        </w:rPr>
        <w:t>O</w:t>
      </w:r>
      <w:r>
        <w:rPr>
          <w:rFonts w:cs="Arial"/>
          <w:szCs w:val="22"/>
        </w:rPr>
        <w:t xml:space="preserve">d 1. </w:t>
      </w:r>
      <w:r w:rsidR="002E089B">
        <w:rPr>
          <w:rFonts w:cs="Arial"/>
          <w:szCs w:val="22"/>
        </w:rPr>
        <w:t>května</w:t>
      </w:r>
      <w:r>
        <w:rPr>
          <w:rFonts w:cs="Arial"/>
          <w:szCs w:val="22"/>
        </w:rPr>
        <w:t xml:space="preserve"> 2012 probíhal</w:t>
      </w:r>
      <w:r w:rsidR="005E099C">
        <w:rPr>
          <w:rFonts w:cs="Arial"/>
          <w:szCs w:val="22"/>
        </w:rPr>
        <w:t>o zadávání veřejných zakázek ve</w:t>
      </w:r>
      <w:r>
        <w:rPr>
          <w:rFonts w:cs="Arial"/>
          <w:szCs w:val="22"/>
        </w:rPr>
        <w:t xml:space="preserve"> </w:t>
      </w:r>
      <w:r w:rsidRPr="00A24535">
        <w:rPr>
          <w:rFonts w:cs="Arial"/>
          <w:szCs w:val="22"/>
        </w:rPr>
        <w:t>zkušební</w:t>
      </w:r>
      <w:r w:rsidR="005E099C">
        <w:rPr>
          <w:rFonts w:cs="Arial"/>
          <w:szCs w:val="22"/>
        </w:rPr>
        <w:t>m</w:t>
      </w:r>
      <w:r w:rsidRPr="00A24535">
        <w:rPr>
          <w:rFonts w:cs="Arial"/>
          <w:szCs w:val="22"/>
        </w:rPr>
        <w:t xml:space="preserve"> provoz</w:t>
      </w:r>
      <w:r w:rsidR="005E099C">
        <w:rPr>
          <w:rFonts w:cs="Arial"/>
          <w:szCs w:val="22"/>
        </w:rPr>
        <w:t>u</w:t>
      </w:r>
      <w:r w:rsidR="00BB3E83">
        <w:rPr>
          <w:rFonts w:cs="Arial"/>
          <w:szCs w:val="22"/>
        </w:rPr>
        <w:t xml:space="preserve"> pouze </w:t>
      </w:r>
      <w:r w:rsidR="005E099C">
        <w:rPr>
          <w:rFonts w:cs="Arial"/>
          <w:szCs w:val="22"/>
        </w:rPr>
        <w:t xml:space="preserve">u </w:t>
      </w:r>
      <w:r w:rsidR="00BB3E83">
        <w:rPr>
          <w:rFonts w:cs="Arial"/>
          <w:szCs w:val="22"/>
        </w:rPr>
        <w:t>dvou</w:t>
      </w:r>
      <w:r w:rsidR="005E099C">
        <w:rPr>
          <w:rFonts w:cs="Arial"/>
          <w:szCs w:val="22"/>
        </w:rPr>
        <w:t xml:space="preserve"> nových</w:t>
      </w:r>
      <w:r w:rsidR="00BB3E83">
        <w:rPr>
          <w:rFonts w:cs="Arial"/>
          <w:szCs w:val="22"/>
        </w:rPr>
        <w:t xml:space="preserve"> e-tržišť</w:t>
      </w:r>
      <w:r w:rsidR="003D4FC8">
        <w:rPr>
          <w:rFonts w:cs="Arial"/>
          <w:szCs w:val="22"/>
        </w:rPr>
        <w:t xml:space="preserve"> z</w:t>
      </w:r>
      <w:r w:rsidR="00F44427">
        <w:rPr>
          <w:rFonts w:cs="Arial"/>
          <w:szCs w:val="22"/>
        </w:rPr>
        <w:t> </w:t>
      </w:r>
      <w:r w:rsidR="003D4FC8">
        <w:rPr>
          <w:rFonts w:cs="Arial"/>
          <w:szCs w:val="22"/>
        </w:rPr>
        <w:t>pěti</w:t>
      </w:r>
      <w:r w:rsidR="00F44427">
        <w:rPr>
          <w:rFonts w:cs="Arial"/>
          <w:szCs w:val="22"/>
        </w:rPr>
        <w:t>.</w:t>
      </w:r>
      <w:r w:rsidR="005E099C">
        <w:rPr>
          <w:rFonts w:cs="Arial"/>
          <w:szCs w:val="22"/>
        </w:rPr>
        <w:t xml:space="preserve"> </w:t>
      </w:r>
      <w:r w:rsidR="00F44427">
        <w:rPr>
          <w:rFonts w:cs="Arial"/>
          <w:szCs w:val="22"/>
        </w:rPr>
        <w:t>O</w:t>
      </w:r>
      <w:r w:rsidR="005E099C">
        <w:rPr>
          <w:rFonts w:cs="Arial"/>
          <w:szCs w:val="22"/>
        </w:rPr>
        <w:t>str</w:t>
      </w:r>
      <w:r w:rsidR="00F44427">
        <w:rPr>
          <w:rFonts w:cs="Arial"/>
          <w:szCs w:val="22"/>
        </w:rPr>
        <w:t>ý</w:t>
      </w:r>
      <w:r w:rsidR="005E099C">
        <w:rPr>
          <w:rFonts w:cs="Arial"/>
          <w:szCs w:val="22"/>
        </w:rPr>
        <w:t xml:space="preserve"> provoz </w:t>
      </w:r>
      <w:r w:rsidR="002C671F">
        <w:rPr>
          <w:rFonts w:cs="Arial"/>
          <w:szCs w:val="22"/>
        </w:rPr>
        <w:t>k </w:t>
      </w:r>
      <w:r w:rsidRPr="00A24535">
        <w:rPr>
          <w:rFonts w:cs="Arial"/>
          <w:szCs w:val="22"/>
        </w:rPr>
        <w:t>1.</w:t>
      </w:r>
      <w:r w:rsidR="002E089B">
        <w:rPr>
          <w:rFonts w:cs="Arial"/>
          <w:szCs w:val="22"/>
        </w:rPr>
        <w:t> červenc</w:t>
      </w:r>
      <w:r w:rsidR="00F44427">
        <w:rPr>
          <w:rFonts w:cs="Arial"/>
          <w:szCs w:val="22"/>
        </w:rPr>
        <w:t>i</w:t>
      </w:r>
      <w:r w:rsidR="002E089B">
        <w:rPr>
          <w:rFonts w:cs="Arial"/>
          <w:szCs w:val="22"/>
        </w:rPr>
        <w:t> </w:t>
      </w:r>
      <w:r w:rsidRPr="00A24535">
        <w:rPr>
          <w:rFonts w:cs="Arial"/>
          <w:szCs w:val="22"/>
        </w:rPr>
        <w:t>2012</w:t>
      </w:r>
      <w:r w:rsidR="00F44427">
        <w:rPr>
          <w:rFonts w:cs="Arial"/>
          <w:szCs w:val="22"/>
        </w:rPr>
        <w:t xml:space="preserve"> zahájila rovněž jen </w:t>
      </w:r>
      <w:r w:rsidR="00F44C1E">
        <w:rPr>
          <w:rFonts w:cs="Arial"/>
          <w:szCs w:val="22"/>
        </w:rPr>
        <w:t xml:space="preserve">tato </w:t>
      </w:r>
      <w:r w:rsidR="00F44427">
        <w:rPr>
          <w:rFonts w:cs="Arial"/>
          <w:szCs w:val="22"/>
        </w:rPr>
        <w:t>dvě e-tržiště</w:t>
      </w:r>
      <w:r w:rsidRPr="00A24535">
        <w:rPr>
          <w:rFonts w:cs="Arial"/>
          <w:szCs w:val="22"/>
        </w:rPr>
        <w:t>.</w:t>
      </w:r>
    </w:p>
    <w:p w:rsidR="003C4C53" w:rsidRDefault="003C4C53" w:rsidP="00B82AEC">
      <w:pPr>
        <w:spacing w:after="0"/>
        <w:rPr>
          <w:rFonts w:cs="Arial"/>
          <w:szCs w:val="22"/>
        </w:rPr>
      </w:pPr>
    </w:p>
    <w:p w:rsidR="0006089E" w:rsidRPr="003302A5" w:rsidRDefault="0006089E" w:rsidP="00B82AEC">
      <w:pPr>
        <w:spacing w:after="0"/>
        <w:rPr>
          <w:rFonts w:cs="Arial"/>
          <w:szCs w:val="22"/>
        </w:rPr>
      </w:pPr>
      <w:r>
        <w:rPr>
          <w:rFonts w:cs="Arial"/>
          <w:szCs w:val="22"/>
        </w:rPr>
        <w:t xml:space="preserve">Vláda nově stanovila </w:t>
      </w:r>
      <w:r w:rsidR="005E099C">
        <w:rPr>
          <w:rFonts w:cs="Arial"/>
          <w:szCs w:val="22"/>
        </w:rPr>
        <w:t xml:space="preserve">pro </w:t>
      </w:r>
      <w:r w:rsidR="00B82AEC">
        <w:rPr>
          <w:rFonts w:cs="Arial"/>
          <w:szCs w:val="22"/>
        </w:rPr>
        <w:t>E</w:t>
      </w:r>
      <w:r w:rsidR="005E099C">
        <w:rPr>
          <w:rFonts w:cs="Arial"/>
          <w:szCs w:val="22"/>
        </w:rPr>
        <w:t>tapu 1</w:t>
      </w:r>
      <w:r w:rsidR="005E099C" w:rsidRPr="00E6619A">
        <w:rPr>
          <w:rFonts w:cs="Arial"/>
          <w:szCs w:val="22"/>
          <w:vertAlign w:val="superscript"/>
        </w:rPr>
        <w:footnoteReference w:id="3"/>
      </w:r>
      <w:r w:rsidR="005E099C">
        <w:rPr>
          <w:rFonts w:cs="Arial"/>
          <w:szCs w:val="22"/>
        </w:rPr>
        <w:t xml:space="preserve"> </w:t>
      </w:r>
      <w:r w:rsidRPr="00CD18D7">
        <w:rPr>
          <w:rFonts w:cs="Arial"/>
          <w:szCs w:val="22"/>
        </w:rPr>
        <w:t xml:space="preserve">povinnost zadávat </w:t>
      </w:r>
      <w:r w:rsidR="004538D6">
        <w:rPr>
          <w:rFonts w:cs="Arial"/>
          <w:szCs w:val="22"/>
        </w:rPr>
        <w:t>vybrané veřejné zakázky (</w:t>
      </w:r>
      <w:r w:rsidRPr="00CD18D7">
        <w:rPr>
          <w:rFonts w:cs="Arial"/>
          <w:szCs w:val="22"/>
        </w:rPr>
        <w:t xml:space="preserve">VZMR, </w:t>
      </w:r>
      <w:r>
        <w:rPr>
          <w:rFonts w:cs="Arial"/>
          <w:szCs w:val="22"/>
        </w:rPr>
        <w:t>VZ</w:t>
      </w:r>
      <w:r w:rsidR="004538D6">
        <w:rPr>
          <w:rFonts w:cs="Arial"/>
          <w:szCs w:val="22"/>
        </w:rPr>
        <w:t> </w:t>
      </w:r>
      <w:r w:rsidRPr="00A24535">
        <w:rPr>
          <w:rFonts w:cs="Arial"/>
          <w:szCs w:val="22"/>
        </w:rPr>
        <w:t xml:space="preserve">zadávané ve zjednodušeném podlimitním řízení a </w:t>
      </w:r>
      <w:r>
        <w:rPr>
          <w:rFonts w:cs="Arial"/>
          <w:szCs w:val="22"/>
        </w:rPr>
        <w:t>VZ</w:t>
      </w:r>
      <w:r w:rsidRPr="00A24535">
        <w:rPr>
          <w:rFonts w:cs="Arial"/>
          <w:szCs w:val="22"/>
        </w:rPr>
        <w:t xml:space="preserve"> zadávané na základě rámcové smlouvy postupem podle § 92 odst. 3 zákona o </w:t>
      </w:r>
      <w:r>
        <w:rPr>
          <w:rFonts w:cs="Arial"/>
          <w:szCs w:val="22"/>
        </w:rPr>
        <w:t>VZ</w:t>
      </w:r>
      <w:r w:rsidR="004538D6">
        <w:rPr>
          <w:rFonts w:cs="Arial"/>
          <w:szCs w:val="22"/>
        </w:rPr>
        <w:t>)</w:t>
      </w:r>
      <w:r w:rsidRPr="00A24535">
        <w:rPr>
          <w:rFonts w:cs="Arial"/>
          <w:szCs w:val="22"/>
        </w:rPr>
        <w:t xml:space="preserve"> </w:t>
      </w:r>
      <w:r>
        <w:rPr>
          <w:rFonts w:cs="Arial"/>
          <w:szCs w:val="22"/>
        </w:rPr>
        <w:t xml:space="preserve">podle </w:t>
      </w:r>
      <w:r w:rsidR="004538D6">
        <w:rPr>
          <w:rFonts w:cs="Arial"/>
          <w:szCs w:val="22"/>
        </w:rPr>
        <w:t>p</w:t>
      </w:r>
      <w:r>
        <w:rPr>
          <w:rFonts w:cs="Arial"/>
          <w:szCs w:val="22"/>
        </w:rPr>
        <w:t xml:space="preserve">ravidel </w:t>
      </w:r>
      <w:r w:rsidR="00F86B35">
        <w:rPr>
          <w:rFonts w:cs="Arial"/>
          <w:szCs w:val="22"/>
        </w:rPr>
        <w:t xml:space="preserve">schválených </w:t>
      </w:r>
      <w:r w:rsidR="007877DF">
        <w:rPr>
          <w:rFonts w:cs="Arial"/>
          <w:szCs w:val="22"/>
        </w:rPr>
        <w:t xml:space="preserve">UV </w:t>
      </w:r>
      <w:r w:rsidR="004538D6">
        <w:rPr>
          <w:rFonts w:cs="Arial"/>
          <w:szCs w:val="22"/>
        </w:rPr>
        <w:t xml:space="preserve">ze dne 10. 5. 2010 </w:t>
      </w:r>
      <w:r w:rsidR="007877DF">
        <w:rPr>
          <w:rFonts w:cs="Arial"/>
          <w:szCs w:val="22"/>
        </w:rPr>
        <w:t>č. 343</w:t>
      </w:r>
      <w:r w:rsidR="004538D6">
        <w:rPr>
          <w:rFonts w:cs="Arial"/>
          <w:szCs w:val="22"/>
        </w:rPr>
        <w:t xml:space="preserve"> (dále též „Pravidla“)</w:t>
      </w:r>
      <w:r w:rsidR="007877DF">
        <w:rPr>
          <w:rFonts w:cs="Arial"/>
          <w:szCs w:val="22"/>
        </w:rPr>
        <w:t xml:space="preserve"> </w:t>
      </w:r>
      <w:r>
        <w:rPr>
          <w:rFonts w:cs="Arial"/>
          <w:szCs w:val="22"/>
        </w:rPr>
        <w:t xml:space="preserve">s využitím </w:t>
      </w:r>
      <w:r w:rsidRPr="00A24535">
        <w:rPr>
          <w:rFonts w:cs="Arial"/>
          <w:szCs w:val="22"/>
        </w:rPr>
        <w:t xml:space="preserve">nového systému e-tržišť na nákup komodit ze </w:t>
      </w:r>
      <w:r w:rsidR="004538D6">
        <w:rPr>
          <w:rFonts w:cs="Arial"/>
          <w:szCs w:val="22"/>
        </w:rPr>
        <w:t>s</w:t>
      </w:r>
      <w:r w:rsidRPr="00A24535">
        <w:rPr>
          <w:rFonts w:cs="Arial"/>
          <w:szCs w:val="22"/>
        </w:rPr>
        <w:t>eznamu komodit</w:t>
      </w:r>
      <w:r w:rsidR="00064E2F" w:rsidRPr="002E4630">
        <w:rPr>
          <w:rFonts w:cs="Arial"/>
          <w:szCs w:val="22"/>
        </w:rPr>
        <w:t xml:space="preserve"> </w:t>
      </w:r>
      <w:r w:rsidR="00064E2F">
        <w:rPr>
          <w:rFonts w:cs="Arial"/>
          <w:szCs w:val="22"/>
        </w:rPr>
        <w:t>(schváleného usnesením vlády ze dne 15. 6. 2011 č. 451; dále též „Seznam komodit“)</w:t>
      </w:r>
      <w:r w:rsidRPr="00A24535">
        <w:rPr>
          <w:rFonts w:cs="Arial"/>
          <w:szCs w:val="22"/>
        </w:rPr>
        <w:t xml:space="preserve">, a to </w:t>
      </w:r>
      <w:proofErr w:type="gramStart"/>
      <w:r w:rsidRPr="00A24535">
        <w:rPr>
          <w:rFonts w:cs="Arial"/>
          <w:szCs w:val="22"/>
        </w:rPr>
        <w:t>ve</w:t>
      </w:r>
      <w:proofErr w:type="gramEnd"/>
      <w:r w:rsidRPr="00A24535">
        <w:rPr>
          <w:rFonts w:cs="Arial"/>
          <w:szCs w:val="22"/>
        </w:rPr>
        <w:t xml:space="preserve"> 100% objemu předpokládaných finančních prostředků pro </w:t>
      </w:r>
      <w:r>
        <w:rPr>
          <w:rFonts w:cs="Arial"/>
          <w:szCs w:val="22"/>
        </w:rPr>
        <w:t>ÚOSS</w:t>
      </w:r>
      <w:r w:rsidRPr="00A24535">
        <w:rPr>
          <w:rFonts w:cs="Arial"/>
          <w:szCs w:val="22"/>
        </w:rPr>
        <w:t xml:space="preserve"> a 50% objemu</w:t>
      </w:r>
      <w:r>
        <w:rPr>
          <w:rFonts w:cs="Arial"/>
          <w:szCs w:val="22"/>
        </w:rPr>
        <w:t xml:space="preserve"> pro jejich podřízené organizace</w:t>
      </w:r>
      <w:r w:rsidRPr="00A24535">
        <w:rPr>
          <w:rFonts w:cs="Arial"/>
          <w:szCs w:val="22"/>
        </w:rPr>
        <w:t xml:space="preserve">. </w:t>
      </w:r>
      <w:r w:rsidR="00D601F8">
        <w:rPr>
          <w:rFonts w:cs="Arial"/>
          <w:szCs w:val="22"/>
        </w:rPr>
        <w:t xml:space="preserve">Asi </w:t>
      </w:r>
      <w:r>
        <w:rPr>
          <w:rFonts w:cs="Arial"/>
          <w:szCs w:val="22"/>
        </w:rPr>
        <w:t>po 1,5 roce</w:t>
      </w:r>
      <w:r>
        <w:rPr>
          <w:rStyle w:val="Znakapoznpodarou"/>
          <w:szCs w:val="22"/>
        </w:rPr>
        <w:footnoteReference w:id="4"/>
      </w:r>
      <w:r>
        <w:rPr>
          <w:rFonts w:cs="Arial"/>
          <w:szCs w:val="22"/>
        </w:rPr>
        <w:t xml:space="preserve"> mělo MMR </w:t>
      </w:r>
      <w:r w:rsidR="00AC2DAD">
        <w:rPr>
          <w:rFonts w:cs="Arial"/>
          <w:szCs w:val="22"/>
        </w:rPr>
        <w:t>E</w:t>
      </w:r>
      <w:r>
        <w:rPr>
          <w:rFonts w:cs="Arial"/>
          <w:szCs w:val="22"/>
        </w:rPr>
        <w:t>tapu</w:t>
      </w:r>
      <w:r w:rsidR="005E099C">
        <w:rPr>
          <w:rFonts w:cs="Arial"/>
          <w:szCs w:val="22"/>
        </w:rPr>
        <w:t xml:space="preserve"> 1</w:t>
      </w:r>
      <w:r>
        <w:rPr>
          <w:rFonts w:cs="Arial"/>
          <w:szCs w:val="22"/>
        </w:rPr>
        <w:t xml:space="preserve"> vyhodnotit s cílem </w:t>
      </w:r>
      <w:r w:rsidRPr="003302A5">
        <w:rPr>
          <w:rFonts w:cs="Arial"/>
          <w:szCs w:val="22"/>
        </w:rPr>
        <w:t>pote</w:t>
      </w:r>
      <w:r>
        <w:rPr>
          <w:rFonts w:cs="Arial"/>
          <w:szCs w:val="22"/>
        </w:rPr>
        <w:t xml:space="preserve">nciálního rozšíření povinnosti </w:t>
      </w:r>
      <w:r w:rsidRPr="003302A5">
        <w:rPr>
          <w:rFonts w:cs="Arial"/>
          <w:szCs w:val="22"/>
        </w:rPr>
        <w:t>použ</w:t>
      </w:r>
      <w:r>
        <w:rPr>
          <w:rFonts w:cs="Arial"/>
          <w:szCs w:val="22"/>
        </w:rPr>
        <w:t>ití</w:t>
      </w:r>
      <w:r w:rsidRPr="003302A5">
        <w:rPr>
          <w:rFonts w:cs="Arial"/>
          <w:szCs w:val="22"/>
        </w:rPr>
        <w:t xml:space="preserve"> e-tržiš</w:t>
      </w:r>
      <w:r>
        <w:rPr>
          <w:rFonts w:cs="Arial"/>
          <w:szCs w:val="22"/>
        </w:rPr>
        <w:t xml:space="preserve">ť </w:t>
      </w:r>
      <w:r w:rsidRPr="003302A5">
        <w:rPr>
          <w:rFonts w:cs="Arial"/>
          <w:szCs w:val="22"/>
        </w:rPr>
        <w:t xml:space="preserve">i na další kategorie </w:t>
      </w:r>
      <w:r w:rsidR="005E099C">
        <w:rPr>
          <w:rFonts w:cs="Arial"/>
          <w:szCs w:val="22"/>
        </w:rPr>
        <w:t xml:space="preserve">veřejných </w:t>
      </w:r>
      <w:r w:rsidRPr="003302A5">
        <w:rPr>
          <w:rFonts w:cs="Arial"/>
          <w:szCs w:val="22"/>
        </w:rPr>
        <w:t>zad</w:t>
      </w:r>
      <w:r>
        <w:rPr>
          <w:rFonts w:cs="Arial"/>
          <w:szCs w:val="22"/>
        </w:rPr>
        <w:t>avatelů a</w:t>
      </w:r>
      <w:r w:rsidR="00191952">
        <w:rPr>
          <w:rFonts w:cs="Arial"/>
          <w:szCs w:val="22"/>
        </w:rPr>
        <w:t> </w:t>
      </w:r>
      <w:r>
        <w:rPr>
          <w:rFonts w:cs="Arial"/>
          <w:szCs w:val="22"/>
        </w:rPr>
        <w:t xml:space="preserve">komodit (tzv. </w:t>
      </w:r>
      <w:r w:rsidR="00B82AEC">
        <w:rPr>
          <w:rFonts w:cs="Arial"/>
          <w:szCs w:val="22"/>
        </w:rPr>
        <w:t>E</w:t>
      </w:r>
      <w:r>
        <w:rPr>
          <w:rFonts w:cs="Arial"/>
          <w:szCs w:val="22"/>
        </w:rPr>
        <w:t xml:space="preserve">tapa 2). </w:t>
      </w:r>
      <w:r w:rsidR="00D601F8">
        <w:rPr>
          <w:rFonts w:cs="Arial"/>
          <w:szCs w:val="22"/>
        </w:rPr>
        <w:t>P</w:t>
      </w:r>
      <w:r>
        <w:rPr>
          <w:rFonts w:cs="Arial"/>
          <w:szCs w:val="22"/>
        </w:rPr>
        <w:t xml:space="preserve">ro zavedení této povinnosti </w:t>
      </w:r>
      <w:r w:rsidR="00E16066">
        <w:rPr>
          <w:rFonts w:cs="Arial"/>
          <w:szCs w:val="22"/>
        </w:rPr>
        <w:t>by byl</w:t>
      </w:r>
      <w:r w:rsidR="004538D6">
        <w:rPr>
          <w:rFonts w:cs="Arial"/>
          <w:szCs w:val="22"/>
        </w:rPr>
        <w:t>o</w:t>
      </w:r>
      <w:r w:rsidR="00E16066">
        <w:rPr>
          <w:rFonts w:cs="Arial"/>
          <w:szCs w:val="22"/>
        </w:rPr>
        <w:t xml:space="preserve"> </w:t>
      </w:r>
      <w:r>
        <w:rPr>
          <w:rFonts w:cs="Arial"/>
          <w:szCs w:val="22"/>
        </w:rPr>
        <w:t>nutn</w:t>
      </w:r>
      <w:r w:rsidR="004538D6">
        <w:rPr>
          <w:rFonts w:cs="Arial"/>
          <w:szCs w:val="22"/>
        </w:rPr>
        <w:t>é</w:t>
      </w:r>
      <w:r>
        <w:rPr>
          <w:rFonts w:cs="Arial"/>
          <w:szCs w:val="22"/>
        </w:rPr>
        <w:t xml:space="preserve"> noveliz</w:t>
      </w:r>
      <w:r w:rsidR="004538D6">
        <w:rPr>
          <w:rFonts w:cs="Arial"/>
          <w:szCs w:val="22"/>
        </w:rPr>
        <w:t>ovat</w:t>
      </w:r>
      <w:r>
        <w:rPr>
          <w:rFonts w:cs="Arial"/>
          <w:szCs w:val="22"/>
        </w:rPr>
        <w:t xml:space="preserve"> zákon o VZ.</w:t>
      </w:r>
    </w:p>
    <w:p w:rsidR="003C4C53" w:rsidRDefault="003C4C53" w:rsidP="00B82AEC">
      <w:pPr>
        <w:spacing w:after="0"/>
        <w:rPr>
          <w:rFonts w:cs="Arial"/>
          <w:b/>
          <w:szCs w:val="22"/>
        </w:rPr>
      </w:pPr>
    </w:p>
    <w:p w:rsidR="0006089E" w:rsidRDefault="0006089E" w:rsidP="00B82AEC">
      <w:pPr>
        <w:spacing w:after="0"/>
        <w:rPr>
          <w:rFonts w:cs="Arial"/>
          <w:b/>
          <w:szCs w:val="22"/>
        </w:rPr>
      </w:pPr>
      <w:r w:rsidRPr="009E316C">
        <w:rPr>
          <w:rFonts w:cs="Arial"/>
          <w:b/>
          <w:szCs w:val="22"/>
        </w:rPr>
        <w:t xml:space="preserve">MMR </w:t>
      </w:r>
      <w:r w:rsidR="001B2BB3">
        <w:rPr>
          <w:rFonts w:cs="Arial"/>
          <w:b/>
          <w:szCs w:val="22"/>
        </w:rPr>
        <w:t>navrhlo</w:t>
      </w:r>
      <w:r w:rsidR="001B2BB3" w:rsidRPr="009E316C">
        <w:rPr>
          <w:rFonts w:cs="Arial"/>
          <w:b/>
          <w:szCs w:val="22"/>
        </w:rPr>
        <w:t xml:space="preserve"> </w:t>
      </w:r>
      <w:r w:rsidRPr="009E316C">
        <w:rPr>
          <w:rFonts w:cs="Arial"/>
          <w:b/>
          <w:szCs w:val="22"/>
        </w:rPr>
        <w:t xml:space="preserve">povinnost nákupu přes e-tržiště pro </w:t>
      </w:r>
      <w:r w:rsidR="00B82AEC">
        <w:rPr>
          <w:rFonts w:cs="Arial"/>
          <w:b/>
          <w:szCs w:val="22"/>
        </w:rPr>
        <w:t>E</w:t>
      </w:r>
      <w:r>
        <w:rPr>
          <w:rFonts w:cs="Arial"/>
          <w:b/>
          <w:szCs w:val="22"/>
        </w:rPr>
        <w:t>tapu 1</w:t>
      </w:r>
      <w:r w:rsidR="00AF234D">
        <w:rPr>
          <w:rFonts w:cs="Arial"/>
          <w:b/>
          <w:szCs w:val="22"/>
        </w:rPr>
        <w:t xml:space="preserve">, kterou </w:t>
      </w:r>
      <w:r w:rsidR="00940C1A">
        <w:rPr>
          <w:rFonts w:cs="Arial"/>
          <w:b/>
          <w:szCs w:val="22"/>
        </w:rPr>
        <w:t xml:space="preserve">vláda </w:t>
      </w:r>
      <w:r w:rsidR="00372C57">
        <w:rPr>
          <w:rFonts w:cs="Arial"/>
          <w:b/>
          <w:szCs w:val="22"/>
        </w:rPr>
        <w:t xml:space="preserve">svým usnesením </w:t>
      </w:r>
      <w:r w:rsidR="00AF234D">
        <w:rPr>
          <w:rFonts w:cs="Arial"/>
          <w:b/>
          <w:szCs w:val="22"/>
        </w:rPr>
        <w:t xml:space="preserve">schválila </w:t>
      </w:r>
      <w:r w:rsidR="002A405F">
        <w:rPr>
          <w:rFonts w:cs="Arial"/>
          <w:b/>
          <w:szCs w:val="22"/>
        </w:rPr>
        <w:t>v obdobném způsobu řešení</w:t>
      </w:r>
      <w:r w:rsidR="00940C1A">
        <w:rPr>
          <w:rFonts w:cs="Arial"/>
          <w:b/>
          <w:szCs w:val="22"/>
        </w:rPr>
        <w:t>,</w:t>
      </w:r>
      <w:r w:rsidR="002A405F">
        <w:rPr>
          <w:rFonts w:cs="Arial"/>
          <w:b/>
          <w:szCs w:val="22"/>
        </w:rPr>
        <w:t xml:space="preserve"> </w:t>
      </w:r>
      <w:r w:rsidR="00AF234D">
        <w:rPr>
          <w:rFonts w:cs="Arial"/>
          <w:b/>
          <w:szCs w:val="22"/>
        </w:rPr>
        <w:t>jak</w:t>
      </w:r>
      <w:r w:rsidR="00940C1A">
        <w:rPr>
          <w:rFonts w:cs="Arial"/>
          <w:b/>
          <w:szCs w:val="22"/>
        </w:rPr>
        <w:t>ý</w:t>
      </w:r>
      <w:r w:rsidR="00AF234D">
        <w:rPr>
          <w:rFonts w:cs="Arial"/>
          <w:b/>
          <w:szCs w:val="22"/>
        </w:rPr>
        <w:t xml:space="preserve"> </w:t>
      </w:r>
      <w:r w:rsidR="00940C1A">
        <w:rPr>
          <w:rFonts w:cs="Arial"/>
          <w:b/>
          <w:szCs w:val="22"/>
        </w:rPr>
        <w:t>byl zvolen u</w:t>
      </w:r>
      <w:r w:rsidRPr="00F5104C">
        <w:rPr>
          <w:rFonts w:cs="Arial"/>
          <w:b/>
          <w:szCs w:val="22"/>
        </w:rPr>
        <w:t xml:space="preserve"> systému ICT e-tržišť, který byl před </w:t>
      </w:r>
      <w:r w:rsidR="009616F5">
        <w:rPr>
          <w:rFonts w:cs="Arial"/>
          <w:b/>
          <w:szCs w:val="22"/>
        </w:rPr>
        <w:t>zahájením</w:t>
      </w:r>
      <w:r w:rsidRPr="00F5104C">
        <w:rPr>
          <w:rFonts w:cs="Arial"/>
          <w:b/>
          <w:szCs w:val="22"/>
        </w:rPr>
        <w:t xml:space="preserve"> projektu NIPEZ vyhodnocen jako nedostatečný. MMR opět </w:t>
      </w:r>
      <w:r w:rsidR="003B21E8">
        <w:rPr>
          <w:rFonts w:cs="Arial"/>
          <w:b/>
          <w:szCs w:val="22"/>
        </w:rPr>
        <w:t>ne</w:t>
      </w:r>
      <w:r w:rsidR="001B2BB3">
        <w:rPr>
          <w:rFonts w:cs="Arial"/>
          <w:b/>
          <w:szCs w:val="22"/>
        </w:rPr>
        <w:t>navrhlo</w:t>
      </w:r>
      <w:r w:rsidR="001B2BB3" w:rsidRPr="00F5104C">
        <w:rPr>
          <w:rFonts w:cs="Arial"/>
          <w:b/>
          <w:szCs w:val="22"/>
        </w:rPr>
        <w:t xml:space="preserve"> </w:t>
      </w:r>
      <w:r w:rsidRPr="00F5104C">
        <w:rPr>
          <w:rFonts w:cs="Arial"/>
          <w:b/>
          <w:szCs w:val="22"/>
        </w:rPr>
        <w:t xml:space="preserve">kontrolní </w:t>
      </w:r>
      <w:r>
        <w:rPr>
          <w:rFonts w:cs="Arial"/>
          <w:b/>
          <w:szCs w:val="22"/>
        </w:rPr>
        <w:t xml:space="preserve">ani </w:t>
      </w:r>
      <w:r w:rsidRPr="00F5104C">
        <w:rPr>
          <w:rFonts w:cs="Arial"/>
          <w:b/>
          <w:szCs w:val="22"/>
        </w:rPr>
        <w:t>sankční</w:t>
      </w:r>
      <w:r>
        <w:rPr>
          <w:rFonts w:cs="Arial"/>
          <w:b/>
          <w:szCs w:val="22"/>
        </w:rPr>
        <w:t xml:space="preserve"> </w:t>
      </w:r>
      <w:r w:rsidRPr="00F5104C">
        <w:rPr>
          <w:rFonts w:cs="Arial"/>
          <w:b/>
          <w:szCs w:val="22"/>
        </w:rPr>
        <w:t>mechanismus</w:t>
      </w:r>
      <w:r>
        <w:rPr>
          <w:rFonts w:cs="Arial"/>
          <w:b/>
          <w:szCs w:val="22"/>
        </w:rPr>
        <w:t xml:space="preserve"> pro povinné zadavatele</w:t>
      </w:r>
      <w:r w:rsidRPr="00397087">
        <w:rPr>
          <w:rFonts w:cs="Arial"/>
          <w:b/>
          <w:szCs w:val="22"/>
        </w:rPr>
        <w:t xml:space="preserve"> </w:t>
      </w:r>
      <w:r w:rsidR="00940C1A">
        <w:rPr>
          <w:rFonts w:cs="Arial"/>
          <w:b/>
          <w:szCs w:val="22"/>
        </w:rPr>
        <w:t xml:space="preserve">pro případy </w:t>
      </w:r>
      <w:r>
        <w:rPr>
          <w:rFonts w:cs="Arial"/>
          <w:b/>
          <w:szCs w:val="22"/>
        </w:rPr>
        <w:t>nedodržení Pravidel</w:t>
      </w:r>
      <w:r w:rsidRPr="00F5104C">
        <w:rPr>
          <w:rFonts w:cs="Arial"/>
          <w:b/>
          <w:szCs w:val="22"/>
        </w:rPr>
        <w:t xml:space="preserve">. </w:t>
      </w:r>
      <w:r>
        <w:rPr>
          <w:rFonts w:cs="Arial"/>
          <w:b/>
          <w:szCs w:val="22"/>
        </w:rPr>
        <w:t>V průběhu kontroly mělo</w:t>
      </w:r>
      <w:r w:rsidRPr="00F5104C">
        <w:rPr>
          <w:rFonts w:cs="Arial"/>
          <w:b/>
          <w:szCs w:val="22"/>
        </w:rPr>
        <w:t xml:space="preserve"> MMR </w:t>
      </w:r>
      <w:r w:rsidR="00917447">
        <w:rPr>
          <w:rFonts w:cs="Arial"/>
          <w:b/>
          <w:szCs w:val="22"/>
        </w:rPr>
        <w:t xml:space="preserve">ve formě návrhu novely zákona o VZ </w:t>
      </w:r>
      <w:r>
        <w:rPr>
          <w:rFonts w:cs="Arial"/>
          <w:b/>
          <w:szCs w:val="22"/>
        </w:rPr>
        <w:t xml:space="preserve">připraven sankční mechanismus pro uvažovanou </w:t>
      </w:r>
      <w:r w:rsidR="00B82AEC">
        <w:rPr>
          <w:rFonts w:cs="Arial"/>
          <w:b/>
          <w:szCs w:val="22"/>
        </w:rPr>
        <w:t>E</w:t>
      </w:r>
      <w:r w:rsidRPr="00C351EA">
        <w:rPr>
          <w:rFonts w:cs="Arial"/>
          <w:b/>
          <w:szCs w:val="22"/>
        </w:rPr>
        <w:t>tapu 2.</w:t>
      </w:r>
    </w:p>
    <w:p w:rsidR="003C4C53" w:rsidRPr="00C351EA" w:rsidRDefault="003C4C53" w:rsidP="00B82AEC">
      <w:pPr>
        <w:spacing w:after="0"/>
        <w:rPr>
          <w:rFonts w:cs="Arial"/>
          <w:szCs w:val="22"/>
        </w:rPr>
      </w:pPr>
    </w:p>
    <w:p w:rsidR="0006089E" w:rsidRPr="00FC0EB6" w:rsidRDefault="0006089E" w:rsidP="00B82AEC">
      <w:pPr>
        <w:ind w:left="624" w:hanging="624"/>
        <w:jc w:val="left"/>
        <w:rPr>
          <w:rFonts w:cs="Arial"/>
          <w:sz w:val="18"/>
          <w:szCs w:val="18"/>
        </w:rPr>
      </w:pPr>
      <w:r w:rsidRPr="00C351EA">
        <w:rPr>
          <w:rFonts w:cs="Arial"/>
          <w:b/>
          <w:sz w:val="18"/>
          <w:szCs w:val="18"/>
        </w:rPr>
        <w:t>Pozn.:</w:t>
      </w:r>
      <w:r w:rsidRPr="00C351EA">
        <w:rPr>
          <w:rFonts w:cs="Arial"/>
          <w:sz w:val="18"/>
          <w:szCs w:val="18"/>
        </w:rPr>
        <w:t xml:space="preserve"> Podrobnější informace o </w:t>
      </w:r>
      <w:r w:rsidR="00E16066" w:rsidRPr="00C351EA">
        <w:rPr>
          <w:rFonts w:cs="Arial"/>
          <w:sz w:val="18"/>
          <w:szCs w:val="18"/>
        </w:rPr>
        <w:t xml:space="preserve">usneseních vlády </w:t>
      </w:r>
      <w:r w:rsidR="00E16066">
        <w:rPr>
          <w:rFonts w:cs="Arial"/>
          <w:sz w:val="18"/>
          <w:szCs w:val="18"/>
        </w:rPr>
        <w:t xml:space="preserve">a závazných dokumentech pro použití e-tržišť </w:t>
      </w:r>
      <w:r w:rsidRPr="00C351EA">
        <w:rPr>
          <w:rFonts w:cs="Arial"/>
          <w:sz w:val="18"/>
          <w:szCs w:val="18"/>
        </w:rPr>
        <w:t>j</w:t>
      </w:r>
      <w:r w:rsidR="005F6ADD">
        <w:rPr>
          <w:rFonts w:cs="Arial"/>
          <w:sz w:val="18"/>
          <w:szCs w:val="18"/>
        </w:rPr>
        <w:t>sou</w:t>
      </w:r>
      <w:r w:rsidRPr="00C351EA">
        <w:rPr>
          <w:rFonts w:cs="Arial"/>
          <w:sz w:val="18"/>
          <w:szCs w:val="18"/>
        </w:rPr>
        <w:t xml:space="preserve"> uveden</w:t>
      </w:r>
      <w:r w:rsidR="005F6ADD">
        <w:rPr>
          <w:rFonts w:cs="Arial"/>
          <w:sz w:val="18"/>
          <w:szCs w:val="18"/>
        </w:rPr>
        <w:t>y</w:t>
      </w:r>
      <w:r w:rsidRPr="00C351EA">
        <w:rPr>
          <w:rFonts w:cs="Arial"/>
          <w:sz w:val="18"/>
          <w:szCs w:val="18"/>
        </w:rPr>
        <w:t xml:space="preserve"> v</w:t>
      </w:r>
      <w:r w:rsidR="00C351EA">
        <w:rPr>
          <w:rFonts w:cs="Arial"/>
          <w:sz w:val="18"/>
          <w:szCs w:val="18"/>
        </w:rPr>
        <w:t> </w:t>
      </w:r>
      <w:r w:rsidR="005F6ADD">
        <w:rPr>
          <w:rFonts w:cs="Arial"/>
          <w:sz w:val="18"/>
          <w:szCs w:val="18"/>
        </w:rPr>
        <w:t>p</w:t>
      </w:r>
      <w:r w:rsidR="00C351EA">
        <w:rPr>
          <w:rFonts w:cs="Arial"/>
          <w:sz w:val="18"/>
          <w:szCs w:val="18"/>
        </w:rPr>
        <w:t>říloze </w:t>
      </w:r>
      <w:r w:rsidR="009C1955" w:rsidRPr="00C351EA">
        <w:rPr>
          <w:rFonts w:cs="Arial"/>
          <w:sz w:val="18"/>
          <w:szCs w:val="18"/>
        </w:rPr>
        <w:t>č. 1</w:t>
      </w:r>
      <w:r w:rsidRPr="00C351EA">
        <w:rPr>
          <w:rFonts w:cs="Arial"/>
          <w:sz w:val="18"/>
          <w:szCs w:val="18"/>
        </w:rPr>
        <w:t xml:space="preserve"> kontrolního závěru.</w:t>
      </w:r>
    </w:p>
    <w:p w:rsidR="003C4C53" w:rsidRDefault="003C4C53" w:rsidP="00B82AEC">
      <w:pPr>
        <w:pStyle w:val="Nadpis1"/>
        <w:keepNext w:val="0"/>
        <w:keepLines w:val="0"/>
        <w:spacing w:before="0" w:after="0"/>
      </w:pPr>
    </w:p>
    <w:p w:rsidR="00CE03EC" w:rsidRDefault="00814E60" w:rsidP="00B82AEC">
      <w:pPr>
        <w:pStyle w:val="Nadpis1"/>
        <w:keepNext w:val="0"/>
        <w:keepLines w:val="0"/>
        <w:spacing w:before="0"/>
      </w:pPr>
      <w:r>
        <w:t xml:space="preserve">2. </w:t>
      </w:r>
      <w:r w:rsidR="00F727BD">
        <w:t>F</w:t>
      </w:r>
      <w:r w:rsidR="00CE03EC">
        <w:t xml:space="preserve">inanční </w:t>
      </w:r>
      <w:r w:rsidR="00F727BD">
        <w:t xml:space="preserve">a organizační </w:t>
      </w:r>
      <w:r w:rsidR="00CE03EC" w:rsidRPr="003865EC">
        <w:t>zajištění</w:t>
      </w:r>
      <w:r w:rsidR="00CE03EC">
        <w:t xml:space="preserve"> projektu NIPEZ</w:t>
      </w:r>
    </w:p>
    <w:p w:rsidR="0006089E" w:rsidRDefault="0006089E" w:rsidP="00B82AEC">
      <w:pPr>
        <w:spacing w:after="0"/>
        <w:rPr>
          <w:rFonts w:cs="Arial"/>
          <w:szCs w:val="22"/>
        </w:rPr>
      </w:pPr>
      <w:r>
        <w:rPr>
          <w:rFonts w:cs="Arial"/>
          <w:szCs w:val="22"/>
        </w:rPr>
        <w:t xml:space="preserve">Projekt NIPEZ řeší infrastrukturu pro zadávání VZ modulárně, tj. jednotlivými moduly: e-tržiště, </w:t>
      </w:r>
      <w:r w:rsidR="004E1B29" w:rsidRPr="00B82AEC">
        <w:rPr>
          <w:rFonts w:cs="Arial"/>
          <w:i/>
          <w:szCs w:val="22"/>
        </w:rPr>
        <w:t>N</w:t>
      </w:r>
      <w:r w:rsidRPr="00B82AEC">
        <w:rPr>
          <w:rFonts w:cs="Arial"/>
          <w:i/>
          <w:szCs w:val="22"/>
        </w:rPr>
        <w:t>árodní elektronický nástroj</w:t>
      </w:r>
      <w:r>
        <w:rPr>
          <w:rFonts w:cs="Arial"/>
          <w:szCs w:val="22"/>
        </w:rPr>
        <w:t>, individuální elektronické nástroje vytvořené a provozované jednotlivými zadavateli a jednotný uveřejňovací systém. S ohledem na reálné plnění harmonogramu projektu NIPEZ se kontrola NKÚ zaměřila především na modul e-tržiště.</w:t>
      </w:r>
    </w:p>
    <w:p w:rsidR="003C4C53" w:rsidRDefault="003C4C53" w:rsidP="00B82AEC">
      <w:pPr>
        <w:spacing w:after="0"/>
        <w:rPr>
          <w:rFonts w:cs="Arial"/>
          <w:szCs w:val="22"/>
        </w:rPr>
      </w:pPr>
    </w:p>
    <w:p w:rsidR="00474B82" w:rsidRDefault="00F727BD" w:rsidP="00B82AEC">
      <w:pPr>
        <w:spacing w:after="0"/>
        <w:rPr>
          <w:rFonts w:cs="Arial"/>
          <w:szCs w:val="22"/>
        </w:rPr>
      </w:pPr>
      <w:r w:rsidRPr="00907EC6">
        <w:rPr>
          <w:rFonts w:cs="Arial"/>
          <w:szCs w:val="22"/>
        </w:rPr>
        <w:lastRenderedPageBreak/>
        <w:t xml:space="preserve">Financování vytvářené infrastruktury projektu NIPEZ zajistilo MMR prostřednictvím </w:t>
      </w:r>
      <w:r w:rsidRPr="00305D42">
        <w:rPr>
          <w:rFonts w:cs="Arial"/>
          <w:i/>
          <w:szCs w:val="22"/>
        </w:rPr>
        <w:t>Integrovaného operačního programu</w:t>
      </w:r>
      <w:r w:rsidR="00BE7F27">
        <w:rPr>
          <w:rStyle w:val="Znakapoznpodarou"/>
          <w:szCs w:val="22"/>
        </w:rPr>
        <w:footnoteReference w:id="5"/>
      </w:r>
      <w:r w:rsidRPr="00387F66">
        <w:rPr>
          <w:rFonts w:cs="Arial"/>
          <w:szCs w:val="22"/>
        </w:rPr>
        <w:t xml:space="preserve"> (dále jen „IOP“)</w:t>
      </w:r>
      <w:r w:rsidR="0094614D">
        <w:rPr>
          <w:rFonts w:cs="Arial"/>
          <w:szCs w:val="22"/>
        </w:rPr>
        <w:t xml:space="preserve"> </w:t>
      </w:r>
      <w:r w:rsidR="002C671F">
        <w:rPr>
          <w:rFonts w:cs="Arial"/>
          <w:szCs w:val="22"/>
        </w:rPr>
        <w:t>s </w:t>
      </w:r>
      <w:r w:rsidR="0094614D">
        <w:rPr>
          <w:rFonts w:cs="Arial"/>
          <w:szCs w:val="22"/>
        </w:rPr>
        <w:t>p</w:t>
      </w:r>
      <w:r>
        <w:rPr>
          <w:rFonts w:cs="Arial"/>
          <w:szCs w:val="22"/>
        </w:rPr>
        <w:t>lánova</w:t>
      </w:r>
      <w:r w:rsidR="0094614D">
        <w:rPr>
          <w:rFonts w:cs="Arial"/>
          <w:szCs w:val="22"/>
        </w:rPr>
        <w:t>nými</w:t>
      </w:r>
      <w:r>
        <w:rPr>
          <w:rFonts w:cs="Arial"/>
          <w:szCs w:val="22"/>
        </w:rPr>
        <w:t xml:space="preserve"> výdaj</w:t>
      </w:r>
      <w:r w:rsidR="0094614D">
        <w:rPr>
          <w:rFonts w:cs="Arial"/>
          <w:szCs w:val="22"/>
        </w:rPr>
        <w:t>i</w:t>
      </w:r>
      <w:r>
        <w:rPr>
          <w:rFonts w:cs="Arial"/>
          <w:szCs w:val="22"/>
        </w:rPr>
        <w:t xml:space="preserve"> ve výši 279 568</w:t>
      </w:r>
      <w:r w:rsidR="00497759">
        <w:rPr>
          <w:rFonts w:cs="Arial"/>
          <w:szCs w:val="22"/>
        </w:rPr>
        <w:t> </w:t>
      </w:r>
      <w:r>
        <w:rPr>
          <w:rFonts w:cs="Arial"/>
          <w:szCs w:val="22"/>
        </w:rPr>
        <w:t>000</w:t>
      </w:r>
      <w:r w:rsidR="00497759">
        <w:rPr>
          <w:rFonts w:cs="Arial"/>
          <w:szCs w:val="22"/>
        </w:rPr>
        <w:t> </w:t>
      </w:r>
      <w:r>
        <w:rPr>
          <w:rFonts w:cs="Arial"/>
          <w:szCs w:val="22"/>
        </w:rPr>
        <w:t xml:space="preserve">Kč </w:t>
      </w:r>
      <w:r w:rsidR="00275457">
        <w:rPr>
          <w:rFonts w:cs="Arial"/>
          <w:szCs w:val="22"/>
        </w:rPr>
        <w:t>(</w:t>
      </w:r>
      <w:r w:rsidR="002C671F">
        <w:rPr>
          <w:rFonts w:cs="Arial"/>
          <w:szCs w:val="22"/>
        </w:rPr>
        <w:t>s </w:t>
      </w:r>
      <w:r w:rsidR="00275457">
        <w:rPr>
          <w:rFonts w:cs="Arial"/>
          <w:szCs w:val="22"/>
        </w:rPr>
        <w:t xml:space="preserve">85% spoluúčastí </w:t>
      </w:r>
      <w:r w:rsidR="005E099C">
        <w:rPr>
          <w:rFonts w:cs="Arial"/>
          <w:szCs w:val="22"/>
        </w:rPr>
        <w:t xml:space="preserve">prostředků </w:t>
      </w:r>
      <w:r w:rsidR="0054573C">
        <w:rPr>
          <w:rFonts w:cs="Arial"/>
          <w:szCs w:val="22"/>
        </w:rPr>
        <w:t>Evropské unie</w:t>
      </w:r>
      <w:r w:rsidR="00275457">
        <w:rPr>
          <w:rFonts w:cs="Arial"/>
          <w:szCs w:val="22"/>
        </w:rPr>
        <w:t xml:space="preserve">). Jedná se o částku </w:t>
      </w:r>
      <w:r>
        <w:rPr>
          <w:rFonts w:cs="Arial"/>
          <w:szCs w:val="22"/>
        </w:rPr>
        <w:t>bez výdajů na vzdělávání uživatelů, které byly spolufinancovány z </w:t>
      </w:r>
      <w:r w:rsidR="00BD0DE4">
        <w:rPr>
          <w:rFonts w:cs="Arial"/>
          <w:szCs w:val="22"/>
        </w:rPr>
        <w:t>o</w:t>
      </w:r>
      <w:r>
        <w:rPr>
          <w:rFonts w:cs="Arial"/>
          <w:szCs w:val="22"/>
        </w:rPr>
        <w:t xml:space="preserve">peračního programu </w:t>
      </w:r>
      <w:r w:rsidR="00BD0DE4" w:rsidRPr="00305D42">
        <w:rPr>
          <w:rFonts w:cs="Arial"/>
          <w:i/>
          <w:szCs w:val="22"/>
        </w:rPr>
        <w:t>L</w:t>
      </w:r>
      <w:r w:rsidRPr="00305D42">
        <w:rPr>
          <w:rFonts w:cs="Arial"/>
          <w:i/>
          <w:szCs w:val="22"/>
        </w:rPr>
        <w:t>idské zdroje a</w:t>
      </w:r>
      <w:r w:rsidR="00BD0DE4">
        <w:rPr>
          <w:rFonts w:cs="Arial"/>
          <w:i/>
          <w:szCs w:val="22"/>
        </w:rPr>
        <w:t> </w:t>
      </w:r>
      <w:r w:rsidRPr="00305D42">
        <w:rPr>
          <w:rFonts w:cs="Arial"/>
          <w:i/>
          <w:szCs w:val="22"/>
        </w:rPr>
        <w:t>zaměstnanost</w:t>
      </w:r>
      <w:r w:rsidR="00091215">
        <w:rPr>
          <w:rStyle w:val="Znakapoznpodarou"/>
          <w:szCs w:val="22"/>
        </w:rPr>
        <w:footnoteReference w:id="6"/>
      </w:r>
      <w:r>
        <w:rPr>
          <w:rFonts w:cs="Arial"/>
          <w:szCs w:val="22"/>
        </w:rPr>
        <w:t xml:space="preserve"> (</w:t>
      </w:r>
      <w:r w:rsidR="0094614D">
        <w:rPr>
          <w:rFonts w:cs="Arial"/>
          <w:szCs w:val="22"/>
        </w:rPr>
        <w:t>dále jen „</w:t>
      </w:r>
      <w:r>
        <w:rPr>
          <w:rFonts w:cs="Arial"/>
          <w:szCs w:val="22"/>
        </w:rPr>
        <w:t>OP LZZ</w:t>
      </w:r>
      <w:r w:rsidR="0094614D">
        <w:rPr>
          <w:rFonts w:cs="Arial"/>
          <w:szCs w:val="22"/>
        </w:rPr>
        <w:t>“</w:t>
      </w:r>
      <w:r>
        <w:rPr>
          <w:rFonts w:cs="Arial"/>
          <w:szCs w:val="22"/>
        </w:rPr>
        <w:t>)</w:t>
      </w:r>
      <w:r w:rsidR="00BD0DE4">
        <w:rPr>
          <w:rFonts w:cs="Arial"/>
          <w:szCs w:val="22"/>
        </w:rPr>
        <w:t>,</w:t>
      </w:r>
      <w:r w:rsidR="00C135B9">
        <w:rPr>
          <w:rFonts w:cs="Arial"/>
          <w:szCs w:val="22"/>
        </w:rPr>
        <w:t xml:space="preserve"> a </w:t>
      </w:r>
      <w:r w:rsidR="00BD0DE4">
        <w:rPr>
          <w:rFonts w:cs="Arial"/>
          <w:szCs w:val="22"/>
        </w:rPr>
        <w:t xml:space="preserve">bez </w:t>
      </w:r>
      <w:r w:rsidR="00A144C7">
        <w:rPr>
          <w:rFonts w:cs="Arial"/>
          <w:szCs w:val="22"/>
        </w:rPr>
        <w:t xml:space="preserve">výdajů </w:t>
      </w:r>
      <w:r w:rsidR="00C135B9">
        <w:rPr>
          <w:rFonts w:cs="Arial"/>
          <w:szCs w:val="22"/>
        </w:rPr>
        <w:t xml:space="preserve">na provoz </w:t>
      </w:r>
      <w:r w:rsidR="003D4FC8">
        <w:rPr>
          <w:rFonts w:cs="Arial"/>
          <w:szCs w:val="22"/>
        </w:rPr>
        <w:t>e-tržišť</w:t>
      </w:r>
      <w:r w:rsidR="00C135B9">
        <w:rPr>
          <w:rFonts w:cs="Arial"/>
          <w:szCs w:val="22"/>
        </w:rPr>
        <w:t>.</w:t>
      </w:r>
      <w:r w:rsidR="00FE3372">
        <w:rPr>
          <w:rFonts w:cs="Arial"/>
          <w:szCs w:val="22"/>
        </w:rPr>
        <w:t xml:space="preserve"> </w:t>
      </w:r>
      <w:r w:rsidR="00C135B9">
        <w:rPr>
          <w:rFonts w:cs="Arial"/>
          <w:szCs w:val="22"/>
        </w:rPr>
        <w:t>Některé výdaje související s budováním modulu e-tržišť nelze oddělit od výdajů souvisejí</w:t>
      </w:r>
      <w:r w:rsidR="00497759">
        <w:rPr>
          <w:rFonts w:cs="Arial"/>
          <w:szCs w:val="22"/>
        </w:rPr>
        <w:t>cí</w:t>
      </w:r>
      <w:r w:rsidR="00F86B35">
        <w:rPr>
          <w:rFonts w:cs="Arial"/>
          <w:szCs w:val="22"/>
        </w:rPr>
        <w:t>ch</w:t>
      </w:r>
      <w:r w:rsidR="00C135B9">
        <w:rPr>
          <w:rFonts w:cs="Arial"/>
          <w:szCs w:val="22"/>
        </w:rPr>
        <w:t xml:space="preserve"> s ostatními moduly projektu NIPEZ</w:t>
      </w:r>
      <w:r w:rsidR="00FE3372">
        <w:rPr>
          <w:rFonts w:cs="Arial"/>
          <w:szCs w:val="22"/>
        </w:rPr>
        <w:t>.</w:t>
      </w:r>
      <w:r w:rsidR="00C135B9">
        <w:rPr>
          <w:rFonts w:cs="Arial"/>
          <w:szCs w:val="22"/>
        </w:rPr>
        <w:t xml:space="preserve"> </w:t>
      </w:r>
      <w:r w:rsidR="00FE3372">
        <w:rPr>
          <w:rFonts w:cs="Arial"/>
          <w:szCs w:val="22"/>
        </w:rPr>
        <w:t>N</w:t>
      </w:r>
      <w:r w:rsidR="00C135B9">
        <w:rPr>
          <w:rFonts w:cs="Arial"/>
          <w:szCs w:val="22"/>
        </w:rPr>
        <w:t xml:space="preserve">elze proto přesně </w:t>
      </w:r>
      <w:r w:rsidR="00FE3372">
        <w:rPr>
          <w:rFonts w:cs="Arial"/>
          <w:szCs w:val="22"/>
        </w:rPr>
        <w:t xml:space="preserve">stanovit celkovou výši finančních prostředků na </w:t>
      </w:r>
      <w:r w:rsidR="00474B82" w:rsidRPr="0083641C">
        <w:rPr>
          <w:rFonts w:cs="Arial"/>
          <w:szCs w:val="22"/>
        </w:rPr>
        <w:t>vybudování</w:t>
      </w:r>
      <w:r w:rsidR="00474B82" w:rsidRPr="00DA0CEF">
        <w:rPr>
          <w:rFonts w:cs="Arial"/>
          <w:szCs w:val="22"/>
        </w:rPr>
        <w:t xml:space="preserve"> </w:t>
      </w:r>
      <w:r w:rsidR="00FE3372" w:rsidRPr="00DA0CEF">
        <w:rPr>
          <w:rFonts w:cs="Arial"/>
          <w:szCs w:val="22"/>
        </w:rPr>
        <w:t>tohoto modulu.</w:t>
      </w:r>
      <w:r w:rsidR="00C135B9" w:rsidRPr="00DA0CEF">
        <w:rPr>
          <w:rFonts w:cs="Arial"/>
          <w:szCs w:val="22"/>
        </w:rPr>
        <w:t xml:space="preserve"> </w:t>
      </w:r>
    </w:p>
    <w:p w:rsidR="003C4C53" w:rsidRPr="00DA0CEF" w:rsidRDefault="003C4C53" w:rsidP="00B82AEC">
      <w:pPr>
        <w:spacing w:after="0"/>
        <w:rPr>
          <w:rFonts w:cs="Arial"/>
          <w:szCs w:val="22"/>
        </w:rPr>
      </w:pPr>
    </w:p>
    <w:p w:rsidR="00FF552C" w:rsidRDefault="00FF552C" w:rsidP="00B82AEC">
      <w:pPr>
        <w:spacing w:after="0"/>
        <w:rPr>
          <w:rFonts w:cs="Arial"/>
          <w:szCs w:val="22"/>
        </w:rPr>
      </w:pPr>
      <w:r w:rsidRPr="0083641C">
        <w:rPr>
          <w:rFonts w:cs="Arial"/>
          <w:szCs w:val="22"/>
        </w:rPr>
        <w:t>Provoz</w:t>
      </w:r>
      <w:r w:rsidRPr="00DA0CEF">
        <w:rPr>
          <w:rFonts w:cs="Arial"/>
          <w:szCs w:val="22"/>
        </w:rPr>
        <w:t xml:space="preserve"> e</w:t>
      </w:r>
      <w:r>
        <w:rPr>
          <w:rFonts w:cs="Arial"/>
          <w:szCs w:val="22"/>
        </w:rPr>
        <w:t xml:space="preserve">-tržišť </w:t>
      </w:r>
      <w:r w:rsidR="00474B82">
        <w:rPr>
          <w:rFonts w:cs="Arial"/>
          <w:szCs w:val="22"/>
        </w:rPr>
        <w:t>je hra</w:t>
      </w:r>
      <w:r w:rsidR="00A973A5">
        <w:rPr>
          <w:rFonts w:cs="Arial"/>
          <w:szCs w:val="22"/>
        </w:rPr>
        <w:t xml:space="preserve">zen pouze ze státního rozpočtu </w:t>
      </w:r>
      <w:r w:rsidR="00474B82">
        <w:rPr>
          <w:rFonts w:cs="Arial"/>
          <w:szCs w:val="22"/>
        </w:rPr>
        <w:t>a je zajištěn externími subjekty</w:t>
      </w:r>
      <w:r>
        <w:rPr>
          <w:rFonts w:cs="Arial"/>
          <w:szCs w:val="22"/>
        </w:rPr>
        <w:t xml:space="preserve"> </w:t>
      </w:r>
      <w:r w:rsidR="00C7512C">
        <w:rPr>
          <w:rFonts w:cs="Arial"/>
          <w:szCs w:val="22"/>
        </w:rPr>
        <w:t xml:space="preserve">na </w:t>
      </w:r>
      <w:r>
        <w:rPr>
          <w:rFonts w:cs="Arial"/>
          <w:szCs w:val="22"/>
        </w:rPr>
        <w:t>základě koncesních smluv</w:t>
      </w:r>
      <w:r w:rsidR="00474B82">
        <w:rPr>
          <w:rFonts w:cs="Arial"/>
          <w:szCs w:val="22"/>
        </w:rPr>
        <w:t>. P</w:t>
      </w:r>
      <w:r>
        <w:rPr>
          <w:rFonts w:cs="Arial"/>
          <w:szCs w:val="22"/>
        </w:rPr>
        <w:t>ředpokládanou hodnotu</w:t>
      </w:r>
      <w:r w:rsidR="00474B82">
        <w:rPr>
          <w:rFonts w:cs="Arial"/>
          <w:szCs w:val="22"/>
        </w:rPr>
        <w:t xml:space="preserve"> výdajů za pět let provozu sta</w:t>
      </w:r>
      <w:r w:rsidR="001F02D0">
        <w:rPr>
          <w:rFonts w:cs="Arial"/>
          <w:szCs w:val="22"/>
        </w:rPr>
        <w:t>no</w:t>
      </w:r>
      <w:r w:rsidR="00474B82">
        <w:rPr>
          <w:rFonts w:cs="Arial"/>
          <w:szCs w:val="22"/>
        </w:rPr>
        <w:t>vilo</w:t>
      </w:r>
      <w:r w:rsidR="00C351EA">
        <w:rPr>
          <w:rFonts w:cs="Arial"/>
          <w:szCs w:val="22"/>
        </w:rPr>
        <w:t xml:space="preserve"> </w:t>
      </w:r>
      <w:r w:rsidR="00BD0DE4">
        <w:rPr>
          <w:rFonts w:cs="Arial"/>
          <w:szCs w:val="22"/>
        </w:rPr>
        <w:t xml:space="preserve">MMR </w:t>
      </w:r>
      <w:r w:rsidR="00C351EA">
        <w:rPr>
          <w:rFonts w:cs="Arial"/>
          <w:szCs w:val="22"/>
        </w:rPr>
        <w:t>na</w:t>
      </w:r>
      <w:r w:rsidR="00BD0DE4">
        <w:rPr>
          <w:rFonts w:cs="Arial"/>
          <w:szCs w:val="22"/>
        </w:rPr>
        <w:t xml:space="preserve"> </w:t>
      </w:r>
      <w:r>
        <w:rPr>
          <w:rFonts w:cs="Arial"/>
          <w:szCs w:val="22"/>
        </w:rPr>
        <w:t>352</w:t>
      </w:r>
      <w:r w:rsidR="00DA0CEF">
        <w:rPr>
          <w:rFonts w:cs="Arial"/>
          <w:szCs w:val="22"/>
        </w:rPr>
        <w:t> </w:t>
      </w:r>
      <w:r>
        <w:rPr>
          <w:rFonts w:cs="Arial"/>
          <w:szCs w:val="22"/>
        </w:rPr>
        <w:t>mil.</w:t>
      </w:r>
      <w:r w:rsidR="00DA0CEF">
        <w:rPr>
          <w:rFonts w:cs="Arial"/>
          <w:szCs w:val="22"/>
        </w:rPr>
        <w:t> </w:t>
      </w:r>
      <w:r>
        <w:rPr>
          <w:rFonts w:cs="Arial"/>
          <w:szCs w:val="22"/>
        </w:rPr>
        <w:t>Kč bez DPH</w:t>
      </w:r>
      <w:r w:rsidR="0094614D">
        <w:rPr>
          <w:rFonts w:cs="Arial"/>
          <w:szCs w:val="22"/>
        </w:rPr>
        <w:t xml:space="preserve">. </w:t>
      </w:r>
    </w:p>
    <w:p w:rsidR="003C4C53" w:rsidRDefault="003C4C53" w:rsidP="00B82AEC">
      <w:pPr>
        <w:spacing w:after="0"/>
        <w:rPr>
          <w:rFonts w:cs="Arial"/>
          <w:szCs w:val="22"/>
        </w:rPr>
      </w:pPr>
    </w:p>
    <w:p w:rsidR="00F727BD" w:rsidRDefault="00F727BD" w:rsidP="00B82AEC">
      <w:pPr>
        <w:spacing w:after="0"/>
        <w:rPr>
          <w:rFonts w:cs="Arial"/>
          <w:szCs w:val="22"/>
        </w:rPr>
      </w:pPr>
      <w:r w:rsidRPr="00FA3985">
        <w:rPr>
          <w:rFonts w:cs="Arial"/>
          <w:szCs w:val="22"/>
        </w:rPr>
        <w:t xml:space="preserve">MMR </w:t>
      </w:r>
      <w:r w:rsidR="00BD0DE4" w:rsidRPr="00FA3985">
        <w:rPr>
          <w:rFonts w:cs="Arial"/>
          <w:szCs w:val="22"/>
        </w:rPr>
        <w:t xml:space="preserve">plní </w:t>
      </w:r>
      <w:r w:rsidR="002C671F">
        <w:rPr>
          <w:rFonts w:cs="Arial"/>
          <w:szCs w:val="22"/>
        </w:rPr>
        <w:t>v </w:t>
      </w:r>
      <w:r w:rsidRPr="00FA3985">
        <w:rPr>
          <w:rFonts w:cs="Arial"/>
          <w:szCs w:val="22"/>
        </w:rPr>
        <w:t xml:space="preserve">IOP roli </w:t>
      </w:r>
      <w:r w:rsidR="00886482">
        <w:rPr>
          <w:rFonts w:cs="Arial"/>
          <w:szCs w:val="22"/>
        </w:rPr>
        <w:t>ř</w:t>
      </w:r>
      <w:r w:rsidRPr="00FA3985">
        <w:rPr>
          <w:rFonts w:cs="Arial"/>
          <w:szCs w:val="22"/>
        </w:rPr>
        <w:t>íd</w:t>
      </w:r>
      <w:r w:rsidR="00886482">
        <w:rPr>
          <w:rFonts w:cs="Arial"/>
          <w:szCs w:val="22"/>
        </w:rPr>
        <w:t>i</w:t>
      </w:r>
      <w:r w:rsidRPr="00FA3985">
        <w:rPr>
          <w:rFonts w:cs="Arial"/>
          <w:szCs w:val="22"/>
        </w:rPr>
        <w:t>cího orgánu (dále jen „ŘO MMR“) a</w:t>
      </w:r>
      <w:r>
        <w:rPr>
          <w:rFonts w:cs="Arial"/>
          <w:szCs w:val="22"/>
        </w:rPr>
        <w:t xml:space="preserve"> zároveň je</w:t>
      </w:r>
      <w:r w:rsidRPr="00FA3985">
        <w:rPr>
          <w:rFonts w:cs="Arial"/>
          <w:szCs w:val="22"/>
        </w:rPr>
        <w:t xml:space="preserve"> příjemcem dotace </w:t>
      </w:r>
      <w:r>
        <w:rPr>
          <w:rFonts w:cs="Arial"/>
          <w:szCs w:val="22"/>
        </w:rPr>
        <w:t>v</w:t>
      </w:r>
      <w:r w:rsidR="00974CC9">
        <w:rPr>
          <w:rFonts w:cs="Arial"/>
          <w:szCs w:val="22"/>
        </w:rPr>
        <w:t> </w:t>
      </w:r>
      <w:r>
        <w:rPr>
          <w:rFonts w:cs="Arial"/>
          <w:szCs w:val="22"/>
        </w:rPr>
        <w:t>projektu</w:t>
      </w:r>
      <w:r w:rsidRPr="00FA3985">
        <w:rPr>
          <w:rFonts w:cs="Arial"/>
          <w:szCs w:val="22"/>
        </w:rPr>
        <w:t xml:space="preserve"> NIPEZ</w:t>
      </w:r>
      <w:r>
        <w:rPr>
          <w:rFonts w:cs="Arial"/>
          <w:szCs w:val="22"/>
        </w:rPr>
        <w:t>. Spoluodpovědnost v rámci i</w:t>
      </w:r>
      <w:r w:rsidRPr="00FA3985">
        <w:rPr>
          <w:rFonts w:cs="Arial"/>
          <w:szCs w:val="22"/>
        </w:rPr>
        <w:t xml:space="preserve">mplementace IOP </w:t>
      </w:r>
      <w:r w:rsidR="002C671F">
        <w:rPr>
          <w:rFonts w:cs="Arial"/>
          <w:szCs w:val="22"/>
        </w:rPr>
        <w:t>v </w:t>
      </w:r>
      <w:r w:rsidRPr="00FA3985">
        <w:rPr>
          <w:rFonts w:cs="Arial"/>
          <w:szCs w:val="22"/>
        </w:rPr>
        <w:t xml:space="preserve">prioritní ose 1a a 1b </w:t>
      </w:r>
      <w:r w:rsidR="0021330D">
        <w:rPr>
          <w:rFonts w:cs="Arial"/>
          <w:szCs w:val="22"/>
        </w:rPr>
        <w:t xml:space="preserve">– </w:t>
      </w:r>
      <w:r w:rsidR="00CF6DD2" w:rsidRPr="00F86483">
        <w:rPr>
          <w:rFonts w:cs="Arial"/>
          <w:i/>
          <w:szCs w:val="22"/>
        </w:rPr>
        <w:t>Modernizace veřejné správy</w:t>
      </w:r>
      <w:r w:rsidR="00F94451">
        <w:rPr>
          <w:rFonts w:cs="Arial"/>
          <w:szCs w:val="22"/>
        </w:rPr>
        <w:t xml:space="preserve"> </w:t>
      </w:r>
      <w:r w:rsidR="00886482">
        <w:rPr>
          <w:rFonts w:cs="Arial"/>
          <w:szCs w:val="22"/>
        </w:rPr>
        <w:t>má u v</w:t>
      </w:r>
      <w:r w:rsidR="00F94451">
        <w:rPr>
          <w:rFonts w:cs="Arial"/>
          <w:szCs w:val="22"/>
        </w:rPr>
        <w:t>ýzv</w:t>
      </w:r>
      <w:r w:rsidR="00886482">
        <w:rPr>
          <w:rFonts w:cs="Arial"/>
          <w:szCs w:val="22"/>
        </w:rPr>
        <w:t>y</w:t>
      </w:r>
      <w:r w:rsidR="00F94451">
        <w:rPr>
          <w:rFonts w:cs="Arial"/>
          <w:szCs w:val="22"/>
        </w:rPr>
        <w:t xml:space="preserve"> č. 7</w:t>
      </w:r>
      <w:r w:rsidR="0021330D">
        <w:rPr>
          <w:rFonts w:cs="Arial"/>
          <w:szCs w:val="22"/>
        </w:rPr>
        <w:t xml:space="preserve"> </w:t>
      </w:r>
      <w:r>
        <w:rPr>
          <w:rFonts w:cs="Arial"/>
          <w:szCs w:val="22"/>
        </w:rPr>
        <w:t>i</w:t>
      </w:r>
      <w:r w:rsidR="00974CC9">
        <w:rPr>
          <w:rFonts w:cs="Arial"/>
          <w:szCs w:val="22"/>
        </w:rPr>
        <w:t> </w:t>
      </w:r>
      <w:r>
        <w:rPr>
          <w:rFonts w:cs="Arial"/>
          <w:szCs w:val="22"/>
        </w:rPr>
        <w:t>Ministerstvo</w:t>
      </w:r>
      <w:r w:rsidRPr="00FA3985">
        <w:rPr>
          <w:rFonts w:cs="Arial"/>
          <w:szCs w:val="22"/>
        </w:rPr>
        <w:t xml:space="preserve"> vnitra </w:t>
      </w:r>
      <w:r w:rsidR="002C671F">
        <w:rPr>
          <w:rFonts w:cs="Arial"/>
          <w:szCs w:val="22"/>
        </w:rPr>
        <w:t>v </w:t>
      </w:r>
      <w:r>
        <w:rPr>
          <w:rFonts w:cs="Arial"/>
          <w:szCs w:val="22"/>
        </w:rPr>
        <w:t xml:space="preserve">roli </w:t>
      </w:r>
      <w:r w:rsidR="00886482">
        <w:rPr>
          <w:rFonts w:cs="Arial"/>
          <w:szCs w:val="22"/>
        </w:rPr>
        <w:t>z</w:t>
      </w:r>
      <w:r w:rsidRPr="00FA3985">
        <w:rPr>
          <w:rFonts w:cs="Arial"/>
          <w:szCs w:val="22"/>
        </w:rPr>
        <w:t>prostředkujícího subjektu</w:t>
      </w:r>
      <w:r w:rsidR="00D601F8">
        <w:rPr>
          <w:rFonts w:cs="Arial"/>
          <w:szCs w:val="22"/>
        </w:rPr>
        <w:t>, kterému</w:t>
      </w:r>
      <w:r>
        <w:rPr>
          <w:rFonts w:cs="Arial"/>
          <w:szCs w:val="22"/>
        </w:rPr>
        <w:t xml:space="preserve"> byly UV</w:t>
      </w:r>
      <w:r w:rsidRPr="00FA3985">
        <w:rPr>
          <w:rFonts w:cs="Arial"/>
          <w:szCs w:val="22"/>
        </w:rPr>
        <w:t xml:space="preserve"> </w:t>
      </w:r>
      <w:r w:rsidR="00886482">
        <w:rPr>
          <w:rFonts w:cs="Arial"/>
          <w:szCs w:val="22"/>
        </w:rPr>
        <w:t xml:space="preserve">ze dne 9. 7. 2008 </w:t>
      </w:r>
      <w:r w:rsidRPr="00FA3985">
        <w:rPr>
          <w:rFonts w:cs="Arial"/>
          <w:szCs w:val="22"/>
        </w:rPr>
        <w:t>č.</w:t>
      </w:r>
      <w:r w:rsidR="00974CC9">
        <w:rPr>
          <w:rFonts w:cs="Arial"/>
          <w:szCs w:val="22"/>
        </w:rPr>
        <w:t> </w:t>
      </w:r>
      <w:r w:rsidRPr="00FA3985">
        <w:rPr>
          <w:rFonts w:cs="Arial"/>
          <w:szCs w:val="22"/>
        </w:rPr>
        <w:t>854</w:t>
      </w:r>
      <w:r w:rsidRPr="00C351EA">
        <w:rPr>
          <w:rFonts w:cs="Arial"/>
          <w:szCs w:val="22"/>
        </w:rPr>
        <w:t xml:space="preserve"> uloženy závazné postupy pro koordinaci ICT projektů </w:t>
      </w:r>
      <w:r w:rsidRPr="00C351EA">
        <w:rPr>
          <w:rFonts w:cs="Arial"/>
          <w:i/>
          <w:szCs w:val="22"/>
        </w:rPr>
        <w:t>Smart Administration</w:t>
      </w:r>
      <w:r w:rsidRPr="00C351EA">
        <w:rPr>
          <w:rFonts w:cs="Arial"/>
          <w:szCs w:val="22"/>
        </w:rPr>
        <w:t xml:space="preserve"> (více informací v </w:t>
      </w:r>
      <w:r w:rsidR="00886482">
        <w:rPr>
          <w:rFonts w:cs="Arial"/>
          <w:szCs w:val="22"/>
        </w:rPr>
        <w:t>p</w:t>
      </w:r>
      <w:r w:rsidR="009C1955" w:rsidRPr="00C351EA">
        <w:rPr>
          <w:rFonts w:cs="Arial"/>
          <w:szCs w:val="22"/>
        </w:rPr>
        <w:t>říloze č. 1</w:t>
      </w:r>
      <w:r w:rsidRPr="00C351EA">
        <w:rPr>
          <w:rFonts w:cs="Arial"/>
          <w:szCs w:val="22"/>
        </w:rPr>
        <w:t xml:space="preserve"> kontrolního závěru).</w:t>
      </w:r>
    </w:p>
    <w:p w:rsidR="003C4C53" w:rsidRPr="00C351EA" w:rsidRDefault="003C4C53" w:rsidP="00B82AEC">
      <w:pPr>
        <w:spacing w:after="0"/>
        <w:rPr>
          <w:rFonts w:cs="Arial"/>
          <w:szCs w:val="22"/>
        </w:rPr>
      </w:pPr>
    </w:p>
    <w:p w:rsidR="004A1FA6" w:rsidRDefault="004A1FA6" w:rsidP="00B82AEC">
      <w:pPr>
        <w:spacing w:after="0"/>
        <w:rPr>
          <w:rFonts w:cs="Arial"/>
          <w:szCs w:val="22"/>
        </w:rPr>
      </w:pPr>
      <w:r w:rsidRPr="00C351EA">
        <w:rPr>
          <w:rFonts w:cs="Arial"/>
          <w:szCs w:val="22"/>
        </w:rPr>
        <w:t>Pro kontrolu projektu slouží tzv. monitorovací indikátory a systém reportingu</w:t>
      </w:r>
      <w:r w:rsidR="00917447" w:rsidRPr="00C351EA">
        <w:rPr>
          <w:rFonts w:cs="Arial"/>
          <w:szCs w:val="22"/>
        </w:rPr>
        <w:t xml:space="preserve">. Tyto monitorovací indikátory </w:t>
      </w:r>
      <w:r w:rsidR="007C6E92" w:rsidRPr="00C351EA">
        <w:rPr>
          <w:rFonts w:cs="Arial"/>
          <w:szCs w:val="22"/>
        </w:rPr>
        <w:t>může nastavit či upravit</w:t>
      </w:r>
      <w:r w:rsidR="00917447" w:rsidRPr="00C351EA">
        <w:rPr>
          <w:rFonts w:cs="Arial"/>
          <w:szCs w:val="22"/>
        </w:rPr>
        <w:t xml:space="preserve"> </w:t>
      </w:r>
      <w:r w:rsidRPr="00C351EA">
        <w:rPr>
          <w:rFonts w:cs="Arial"/>
          <w:szCs w:val="22"/>
        </w:rPr>
        <w:t xml:space="preserve">ŘO MMR </w:t>
      </w:r>
      <w:r w:rsidR="00DF1407">
        <w:rPr>
          <w:rFonts w:cs="Arial"/>
          <w:szCs w:val="22"/>
        </w:rPr>
        <w:t>nebo</w:t>
      </w:r>
      <w:r w:rsidRPr="00C351EA">
        <w:rPr>
          <w:rFonts w:cs="Arial"/>
          <w:szCs w:val="22"/>
        </w:rPr>
        <w:t xml:space="preserve"> </w:t>
      </w:r>
      <w:r w:rsidR="00886482">
        <w:rPr>
          <w:rFonts w:cs="Arial"/>
          <w:szCs w:val="22"/>
        </w:rPr>
        <w:t>z</w:t>
      </w:r>
      <w:r w:rsidR="00DF1407">
        <w:rPr>
          <w:rFonts w:cs="Arial"/>
          <w:szCs w:val="22"/>
        </w:rPr>
        <w:t>prostředkující subjekt</w:t>
      </w:r>
      <w:r w:rsidR="00DF1407" w:rsidRPr="00C351EA">
        <w:rPr>
          <w:rFonts w:cs="Arial"/>
          <w:szCs w:val="22"/>
        </w:rPr>
        <w:t xml:space="preserve"> </w:t>
      </w:r>
      <w:r w:rsidR="007C6E92" w:rsidRPr="00C351EA">
        <w:rPr>
          <w:rFonts w:cs="Arial"/>
          <w:szCs w:val="22"/>
        </w:rPr>
        <w:t xml:space="preserve">před uzavřením příslušné </w:t>
      </w:r>
      <w:r w:rsidR="00886482">
        <w:rPr>
          <w:rFonts w:cs="Arial"/>
          <w:szCs w:val="22"/>
        </w:rPr>
        <w:t>v</w:t>
      </w:r>
      <w:r w:rsidR="007C6E92" w:rsidRPr="00C351EA">
        <w:rPr>
          <w:rFonts w:cs="Arial"/>
          <w:szCs w:val="22"/>
        </w:rPr>
        <w:t>ýzvy, tj. před podáváním žádostí o dotaci</w:t>
      </w:r>
      <w:r w:rsidR="00B61D78">
        <w:rPr>
          <w:rFonts w:cs="Arial"/>
          <w:szCs w:val="22"/>
        </w:rPr>
        <w:t>. ŘO MMR t</w:t>
      </w:r>
      <w:r w:rsidR="00CD00EF" w:rsidRPr="00C351EA">
        <w:rPr>
          <w:rFonts w:cs="Arial"/>
          <w:szCs w:val="22"/>
        </w:rPr>
        <w:t xml:space="preserve">éto možnosti </w:t>
      </w:r>
      <w:r w:rsidR="00B61D78">
        <w:rPr>
          <w:rFonts w:cs="Arial"/>
          <w:szCs w:val="22"/>
        </w:rPr>
        <w:t>ne</w:t>
      </w:r>
      <w:r w:rsidR="007C6E92">
        <w:rPr>
          <w:rFonts w:cs="Arial"/>
          <w:szCs w:val="22"/>
        </w:rPr>
        <w:t>využi</w:t>
      </w:r>
      <w:r w:rsidR="00B61D78">
        <w:rPr>
          <w:rFonts w:cs="Arial"/>
          <w:szCs w:val="22"/>
        </w:rPr>
        <w:t>l</w:t>
      </w:r>
      <w:r>
        <w:rPr>
          <w:rFonts w:cs="Arial"/>
          <w:szCs w:val="22"/>
        </w:rPr>
        <w:t xml:space="preserve">. </w:t>
      </w:r>
      <w:r w:rsidR="00392665">
        <w:rPr>
          <w:rFonts w:cs="Arial"/>
          <w:szCs w:val="22"/>
        </w:rPr>
        <w:t xml:space="preserve">V žádosti </w:t>
      </w:r>
      <w:r w:rsidR="00372C57">
        <w:rPr>
          <w:rFonts w:cs="Arial"/>
          <w:szCs w:val="22"/>
        </w:rPr>
        <w:t xml:space="preserve">o poskytnutí dotace </w:t>
      </w:r>
      <w:r w:rsidR="00392665">
        <w:rPr>
          <w:rFonts w:cs="Arial"/>
          <w:szCs w:val="22"/>
        </w:rPr>
        <w:t xml:space="preserve">na projekt NIPEZ </w:t>
      </w:r>
      <w:r w:rsidRPr="00FA3985">
        <w:rPr>
          <w:rFonts w:cs="Arial"/>
          <w:szCs w:val="22"/>
        </w:rPr>
        <w:t xml:space="preserve">si MMR </w:t>
      </w:r>
      <w:r>
        <w:rPr>
          <w:rFonts w:cs="Arial"/>
          <w:szCs w:val="22"/>
        </w:rPr>
        <w:t>v roli příjemce dotace</w:t>
      </w:r>
      <w:r w:rsidRPr="00FA3985">
        <w:rPr>
          <w:rFonts w:cs="Arial"/>
          <w:szCs w:val="22"/>
        </w:rPr>
        <w:t xml:space="preserve"> </w:t>
      </w:r>
      <w:r w:rsidR="00CD00EF">
        <w:rPr>
          <w:rFonts w:cs="Arial"/>
          <w:szCs w:val="22"/>
        </w:rPr>
        <w:t xml:space="preserve">zvolilo </w:t>
      </w:r>
      <w:r w:rsidR="00392665">
        <w:rPr>
          <w:rFonts w:cs="Arial"/>
          <w:szCs w:val="22"/>
        </w:rPr>
        <w:t>p</w:t>
      </w:r>
      <w:r w:rsidR="00392665" w:rsidRPr="00FA3985">
        <w:rPr>
          <w:rFonts w:cs="Arial"/>
          <w:szCs w:val="22"/>
        </w:rPr>
        <w:t xml:space="preserve">ro hodnocení projektu </w:t>
      </w:r>
      <w:r w:rsidRPr="00FA3985">
        <w:rPr>
          <w:rFonts w:cs="Arial"/>
          <w:szCs w:val="22"/>
        </w:rPr>
        <w:t>výstupový monitorovací indikátor „</w:t>
      </w:r>
      <w:r w:rsidRPr="00C10EA8">
        <w:rPr>
          <w:rFonts w:cs="Arial"/>
          <w:i/>
          <w:szCs w:val="22"/>
        </w:rPr>
        <w:t>15.01.12 Podíl digitalizovaných dokumentů</w:t>
      </w:r>
      <w:r w:rsidRPr="00DC4C76">
        <w:rPr>
          <w:rFonts w:cs="Arial"/>
          <w:szCs w:val="22"/>
        </w:rPr>
        <w:t>”</w:t>
      </w:r>
      <w:r>
        <w:rPr>
          <w:rFonts w:cs="Arial"/>
          <w:szCs w:val="22"/>
        </w:rPr>
        <w:t xml:space="preserve"> s cílovou hodnotou 10 %</w:t>
      </w:r>
      <w:r w:rsidRPr="006C5A85">
        <w:rPr>
          <w:rFonts w:cs="Arial"/>
          <w:szCs w:val="22"/>
        </w:rPr>
        <w:t xml:space="preserve"> </w:t>
      </w:r>
      <w:r>
        <w:rPr>
          <w:rFonts w:cs="Arial"/>
          <w:szCs w:val="22"/>
        </w:rPr>
        <w:t>(</w:t>
      </w:r>
      <w:r w:rsidR="002E089B">
        <w:rPr>
          <w:rFonts w:cs="Arial"/>
          <w:szCs w:val="22"/>
        </w:rPr>
        <w:t>výchozí stav</w:t>
      </w:r>
      <w:r w:rsidR="002C671F">
        <w:rPr>
          <w:rFonts w:cs="Arial"/>
          <w:szCs w:val="22"/>
        </w:rPr>
        <w:t xml:space="preserve"> </w:t>
      </w:r>
      <w:r w:rsidRPr="00FA3985">
        <w:rPr>
          <w:rFonts w:cs="Arial"/>
          <w:szCs w:val="22"/>
        </w:rPr>
        <w:t>0</w:t>
      </w:r>
      <w:r w:rsidR="00F94451">
        <w:rPr>
          <w:rFonts w:cs="Arial"/>
          <w:szCs w:val="22"/>
        </w:rPr>
        <w:t> </w:t>
      </w:r>
      <w:r w:rsidRPr="00FA3985">
        <w:rPr>
          <w:rFonts w:cs="Arial"/>
          <w:szCs w:val="22"/>
        </w:rPr>
        <w:t>%)</w:t>
      </w:r>
      <w:r w:rsidRPr="00DC4C76">
        <w:rPr>
          <w:rFonts w:cs="Arial"/>
          <w:szCs w:val="22"/>
        </w:rPr>
        <w:t xml:space="preserve">. </w:t>
      </w:r>
      <w:r>
        <w:rPr>
          <w:rFonts w:cs="Arial"/>
          <w:szCs w:val="22"/>
        </w:rPr>
        <w:t>Způsob stanovení hodnoty a</w:t>
      </w:r>
      <w:r w:rsidR="004E1B29">
        <w:rPr>
          <w:rFonts w:cs="Arial"/>
          <w:szCs w:val="22"/>
        </w:rPr>
        <w:t>ni</w:t>
      </w:r>
      <w:r>
        <w:rPr>
          <w:rFonts w:cs="Arial"/>
          <w:szCs w:val="22"/>
        </w:rPr>
        <w:t xml:space="preserve"> výpočet indikátoru nebyl</w:t>
      </w:r>
      <w:r w:rsidR="00886482">
        <w:rPr>
          <w:rFonts w:cs="Arial"/>
          <w:szCs w:val="22"/>
        </w:rPr>
        <w:t>y</w:t>
      </w:r>
      <w:r>
        <w:rPr>
          <w:rFonts w:cs="Arial"/>
          <w:szCs w:val="22"/>
        </w:rPr>
        <w:t xml:space="preserve"> obsahem žádného </w:t>
      </w:r>
      <w:r w:rsidR="002C671F">
        <w:rPr>
          <w:rFonts w:cs="Arial"/>
          <w:szCs w:val="22"/>
        </w:rPr>
        <w:t>z </w:t>
      </w:r>
      <w:r>
        <w:rPr>
          <w:rFonts w:cs="Arial"/>
          <w:szCs w:val="22"/>
        </w:rPr>
        <w:t xml:space="preserve">dokladů k projektu NIPEZ. </w:t>
      </w:r>
      <w:r w:rsidR="007D378C">
        <w:rPr>
          <w:rFonts w:cs="Arial"/>
          <w:szCs w:val="22"/>
        </w:rPr>
        <w:t xml:space="preserve">Na dotazy NKÚ uvedlo MMR, že podíl digitalizace by se rovnal podílu elektronizace VZ. </w:t>
      </w:r>
      <w:r w:rsidR="00435C42">
        <w:rPr>
          <w:rFonts w:cs="Arial"/>
          <w:szCs w:val="22"/>
        </w:rPr>
        <w:t>Podle definice</w:t>
      </w:r>
      <w:r w:rsidR="00435C42">
        <w:rPr>
          <w:rStyle w:val="Znakapoznpodarou"/>
          <w:szCs w:val="22"/>
        </w:rPr>
        <w:footnoteReference w:id="7"/>
      </w:r>
      <w:r w:rsidR="00435C42">
        <w:rPr>
          <w:rFonts w:cs="Arial"/>
          <w:szCs w:val="22"/>
        </w:rPr>
        <w:t xml:space="preserve"> tohoto indikátoru by měl tento indikátor sloužit pro monitoring převádění listinných dokumentů do digitální podoby. </w:t>
      </w:r>
      <w:r w:rsidRPr="00DF1407">
        <w:rPr>
          <w:rFonts w:cs="Arial"/>
          <w:b/>
          <w:szCs w:val="22"/>
        </w:rPr>
        <w:t>NKÚ zjištěný stav vyhodnotil tak, že zvolený indikátor má m</w:t>
      </w:r>
      <w:r w:rsidR="00AD2A4B">
        <w:rPr>
          <w:rFonts w:cs="Arial"/>
          <w:b/>
          <w:szCs w:val="22"/>
        </w:rPr>
        <w:t>inimální vypovídací schopnost o </w:t>
      </w:r>
      <w:r w:rsidRPr="00DF1407">
        <w:rPr>
          <w:rFonts w:cs="Arial"/>
          <w:b/>
          <w:szCs w:val="22"/>
        </w:rPr>
        <w:t>efektivnosti a účelnosti vynaloženýc</w:t>
      </w:r>
      <w:r w:rsidR="002E089B" w:rsidRPr="00DF1407">
        <w:rPr>
          <w:rFonts w:cs="Arial"/>
          <w:b/>
          <w:szCs w:val="22"/>
        </w:rPr>
        <w:t>h prostředků na projekt NIPEZ a </w:t>
      </w:r>
      <w:r w:rsidR="00001C43" w:rsidRPr="00DF1407">
        <w:rPr>
          <w:rFonts w:cs="Arial"/>
          <w:b/>
          <w:szCs w:val="22"/>
        </w:rPr>
        <w:t>ne</w:t>
      </w:r>
      <w:r w:rsidR="00001C43">
        <w:rPr>
          <w:rFonts w:cs="Arial"/>
          <w:b/>
          <w:szCs w:val="22"/>
        </w:rPr>
        <w:t>navazuje</w:t>
      </w:r>
      <w:r w:rsidR="00001C43" w:rsidRPr="00DF1407">
        <w:rPr>
          <w:rFonts w:cs="Arial"/>
          <w:b/>
          <w:szCs w:val="22"/>
        </w:rPr>
        <w:t xml:space="preserve"> </w:t>
      </w:r>
      <w:r w:rsidRPr="00DF1407">
        <w:rPr>
          <w:rFonts w:cs="Arial"/>
          <w:b/>
          <w:szCs w:val="22"/>
        </w:rPr>
        <w:t>na hlavní cíl tohoto projektu, který</w:t>
      </w:r>
      <w:r w:rsidR="00C67E4F" w:rsidRPr="00DF1407">
        <w:rPr>
          <w:rFonts w:cs="Arial"/>
          <w:b/>
          <w:szCs w:val="22"/>
        </w:rPr>
        <w:t>m</w:t>
      </w:r>
      <w:r w:rsidRPr="00DF1407">
        <w:rPr>
          <w:rFonts w:cs="Arial"/>
          <w:b/>
          <w:szCs w:val="22"/>
        </w:rPr>
        <w:t xml:space="preserve"> je dosažení úspor.</w:t>
      </w:r>
      <w:r>
        <w:rPr>
          <w:rFonts w:cs="Arial"/>
          <w:szCs w:val="22"/>
        </w:rPr>
        <w:t xml:space="preserve"> </w:t>
      </w:r>
    </w:p>
    <w:p w:rsidR="003C4C53" w:rsidRDefault="003C4C53" w:rsidP="00B82AEC">
      <w:pPr>
        <w:spacing w:after="0"/>
        <w:rPr>
          <w:rFonts w:cs="Arial"/>
          <w:szCs w:val="22"/>
        </w:rPr>
      </w:pPr>
    </w:p>
    <w:p w:rsidR="0082784D" w:rsidRDefault="00F727BD" w:rsidP="00B82AEC">
      <w:pPr>
        <w:spacing w:after="0"/>
        <w:rPr>
          <w:rFonts w:cs="Arial"/>
          <w:szCs w:val="22"/>
        </w:rPr>
      </w:pPr>
      <w:r w:rsidRPr="00387F66">
        <w:rPr>
          <w:rFonts w:cs="Arial"/>
          <w:szCs w:val="22"/>
        </w:rPr>
        <w:t xml:space="preserve">Pro řízení projektu NIPEZ byla </w:t>
      </w:r>
      <w:r w:rsidR="00115D7D">
        <w:rPr>
          <w:rFonts w:cs="Arial"/>
          <w:szCs w:val="22"/>
        </w:rPr>
        <w:t xml:space="preserve">navržena </w:t>
      </w:r>
      <w:r w:rsidRPr="00387F66">
        <w:rPr>
          <w:rFonts w:cs="Arial"/>
          <w:szCs w:val="22"/>
        </w:rPr>
        <w:t>projektová struktura, která mj. zahrnovala čtyři projektové týmy. Jeden z těchto týmů byl odpovědný za realizaci modulu e-tržišť. Pro</w:t>
      </w:r>
      <w:r w:rsidR="00397087">
        <w:rPr>
          <w:rFonts w:cs="Arial"/>
          <w:szCs w:val="22"/>
        </w:rPr>
        <w:t xml:space="preserve"> </w:t>
      </w:r>
      <w:r w:rsidRPr="00387F66">
        <w:rPr>
          <w:rFonts w:cs="Arial"/>
          <w:szCs w:val="22"/>
        </w:rPr>
        <w:t xml:space="preserve">dohled nad realizací všech dílčích částí projektu NIPEZ byl založen </w:t>
      </w:r>
      <w:r w:rsidR="003D44AC">
        <w:rPr>
          <w:rFonts w:cs="Arial"/>
          <w:szCs w:val="22"/>
        </w:rPr>
        <w:t>a</w:t>
      </w:r>
      <w:r w:rsidRPr="00387F66">
        <w:rPr>
          <w:rFonts w:cs="Arial"/>
          <w:szCs w:val="22"/>
        </w:rPr>
        <w:t xml:space="preserve">utorský dozor. </w:t>
      </w:r>
      <w:r w:rsidR="00EA422A" w:rsidRPr="00397087">
        <w:rPr>
          <w:rFonts w:cs="Arial"/>
          <w:b/>
          <w:szCs w:val="22"/>
        </w:rPr>
        <w:t>Projektová struktura řízení nebyla v praxi důsledně uplatňována</w:t>
      </w:r>
      <w:r w:rsidR="0082784D">
        <w:rPr>
          <w:rFonts w:cs="Arial"/>
          <w:b/>
          <w:szCs w:val="22"/>
        </w:rPr>
        <w:t>. S</w:t>
      </w:r>
      <w:r w:rsidR="00EA422A" w:rsidRPr="00397087">
        <w:rPr>
          <w:rFonts w:cs="Arial"/>
          <w:b/>
          <w:szCs w:val="22"/>
        </w:rPr>
        <w:t xml:space="preserve">vědčí </w:t>
      </w:r>
      <w:r w:rsidR="0082784D">
        <w:rPr>
          <w:rFonts w:cs="Arial"/>
          <w:b/>
          <w:szCs w:val="22"/>
        </w:rPr>
        <w:t xml:space="preserve">o tom </w:t>
      </w:r>
      <w:r w:rsidR="00EA422A" w:rsidRPr="00397087">
        <w:rPr>
          <w:rFonts w:cs="Arial"/>
          <w:b/>
          <w:szCs w:val="22"/>
        </w:rPr>
        <w:t xml:space="preserve">zejména </w:t>
      </w:r>
      <w:r w:rsidR="0082784D">
        <w:rPr>
          <w:rFonts w:cs="Arial"/>
          <w:b/>
          <w:szCs w:val="22"/>
        </w:rPr>
        <w:t xml:space="preserve">řízení projektu na bázi liniové organizační struktury MMR namísto projektové </w:t>
      </w:r>
      <w:r w:rsidR="003D44AC">
        <w:rPr>
          <w:rFonts w:cs="Arial"/>
          <w:b/>
          <w:szCs w:val="22"/>
        </w:rPr>
        <w:t>či</w:t>
      </w:r>
      <w:r w:rsidR="0082784D" w:rsidRPr="00397087">
        <w:rPr>
          <w:rFonts w:cs="Arial"/>
          <w:b/>
          <w:szCs w:val="22"/>
        </w:rPr>
        <w:t xml:space="preserve"> </w:t>
      </w:r>
      <w:r w:rsidR="00EA422A" w:rsidRPr="00397087">
        <w:rPr>
          <w:rFonts w:cs="Arial"/>
          <w:b/>
          <w:szCs w:val="22"/>
        </w:rPr>
        <w:t>neexistence dokladů z</w:t>
      </w:r>
      <w:r w:rsidR="00397087" w:rsidRPr="00397087">
        <w:rPr>
          <w:rFonts w:cs="Arial"/>
          <w:b/>
          <w:szCs w:val="22"/>
        </w:rPr>
        <w:t> říd</w:t>
      </w:r>
      <w:r w:rsidR="003D44AC">
        <w:rPr>
          <w:rFonts w:cs="Arial"/>
          <w:b/>
          <w:szCs w:val="22"/>
        </w:rPr>
        <w:t>i</w:t>
      </w:r>
      <w:r w:rsidR="00397087" w:rsidRPr="00397087">
        <w:rPr>
          <w:rFonts w:cs="Arial"/>
          <w:b/>
          <w:szCs w:val="22"/>
        </w:rPr>
        <w:t>cí a r</w:t>
      </w:r>
      <w:r w:rsidR="00EA422A" w:rsidRPr="00397087">
        <w:rPr>
          <w:rFonts w:cs="Arial"/>
          <w:b/>
          <w:szCs w:val="22"/>
        </w:rPr>
        <w:t>ealizační úrovně</w:t>
      </w:r>
      <w:r w:rsidR="0082784D">
        <w:rPr>
          <w:rFonts w:cs="Arial"/>
          <w:b/>
          <w:szCs w:val="22"/>
        </w:rPr>
        <w:t xml:space="preserve"> a z úrovně </w:t>
      </w:r>
      <w:r w:rsidR="003D44AC">
        <w:rPr>
          <w:rFonts w:cs="Arial"/>
          <w:b/>
          <w:szCs w:val="22"/>
        </w:rPr>
        <w:t>a</w:t>
      </w:r>
      <w:r w:rsidR="00397087" w:rsidRPr="00397087">
        <w:rPr>
          <w:rFonts w:cs="Arial"/>
          <w:b/>
          <w:szCs w:val="22"/>
        </w:rPr>
        <w:t>utorského dozoru</w:t>
      </w:r>
      <w:r w:rsidR="00C75EDD">
        <w:rPr>
          <w:rFonts w:cs="Arial"/>
          <w:b/>
          <w:szCs w:val="22"/>
        </w:rPr>
        <w:t>.</w:t>
      </w:r>
      <w:r w:rsidR="00C75EDD" w:rsidDel="00C75EDD">
        <w:rPr>
          <w:rFonts w:cs="Arial"/>
          <w:szCs w:val="22"/>
        </w:rPr>
        <w:t xml:space="preserve"> </w:t>
      </w:r>
    </w:p>
    <w:p w:rsidR="003C4C53" w:rsidRDefault="003C4C53" w:rsidP="00B82AEC">
      <w:pPr>
        <w:spacing w:after="0"/>
        <w:rPr>
          <w:rFonts w:cs="Arial"/>
          <w:szCs w:val="22"/>
        </w:rPr>
      </w:pPr>
    </w:p>
    <w:p w:rsidR="00A61B3D" w:rsidRDefault="00814E60" w:rsidP="00305D42">
      <w:pPr>
        <w:pStyle w:val="Nadpis1"/>
        <w:keepNext w:val="0"/>
        <w:keepLines w:val="0"/>
        <w:spacing w:before="0"/>
      </w:pPr>
      <w:r>
        <w:t xml:space="preserve">3. </w:t>
      </w:r>
      <w:r w:rsidR="00A61B3D" w:rsidRPr="00A24535">
        <w:t xml:space="preserve">Zakázky </w:t>
      </w:r>
      <w:r w:rsidR="009002C1">
        <w:t xml:space="preserve">na </w:t>
      </w:r>
      <w:r w:rsidR="00DE29D3">
        <w:t>přípravu, realizaci</w:t>
      </w:r>
      <w:r w:rsidR="009002C1">
        <w:t xml:space="preserve"> a </w:t>
      </w:r>
      <w:r w:rsidR="009002C1" w:rsidRPr="003865EC">
        <w:t>monitoring</w:t>
      </w:r>
      <w:r w:rsidR="009002C1">
        <w:t xml:space="preserve"> </w:t>
      </w:r>
      <w:r w:rsidR="00C67E4F">
        <w:t xml:space="preserve">provozu </w:t>
      </w:r>
      <w:r w:rsidR="009002C1">
        <w:t>modulu e-tržišť</w:t>
      </w:r>
      <w:r w:rsidR="00DE29D3">
        <w:t xml:space="preserve"> a da</w:t>
      </w:r>
      <w:r w:rsidR="003901EF">
        <w:t>lší služby</w:t>
      </w:r>
      <w:r w:rsidR="009002C1">
        <w:t xml:space="preserve"> </w:t>
      </w:r>
    </w:p>
    <w:p w:rsidR="00DE29D3" w:rsidRDefault="00DE29D3" w:rsidP="00305D42">
      <w:pPr>
        <w:spacing w:after="0"/>
        <w:rPr>
          <w:rFonts w:cs="Arial"/>
          <w:szCs w:val="22"/>
        </w:rPr>
      </w:pPr>
      <w:r>
        <w:rPr>
          <w:rFonts w:cs="Arial"/>
          <w:szCs w:val="22"/>
        </w:rPr>
        <w:t>MMR zajišťovalo veškeré činnosti související s přípravou a monitoringem e-tržišť</w:t>
      </w:r>
      <w:r w:rsidR="002C671F">
        <w:rPr>
          <w:rFonts w:cs="Arial"/>
          <w:szCs w:val="22"/>
        </w:rPr>
        <w:t xml:space="preserve"> </w:t>
      </w:r>
      <w:r w:rsidR="00001C43">
        <w:rPr>
          <w:rFonts w:cs="Arial"/>
          <w:szCs w:val="22"/>
        </w:rPr>
        <w:t>s</w:t>
      </w:r>
      <w:r w:rsidR="002C671F">
        <w:rPr>
          <w:rFonts w:cs="Arial"/>
          <w:szCs w:val="22"/>
        </w:rPr>
        <w:t> </w:t>
      </w:r>
      <w:r>
        <w:rPr>
          <w:rFonts w:cs="Arial"/>
          <w:szCs w:val="22"/>
        </w:rPr>
        <w:t>vy</w:t>
      </w:r>
      <w:r w:rsidR="0006320E">
        <w:rPr>
          <w:rFonts w:cs="Arial"/>
          <w:szCs w:val="22"/>
        </w:rPr>
        <w:t>u</w:t>
      </w:r>
      <w:r>
        <w:rPr>
          <w:rFonts w:cs="Arial"/>
          <w:szCs w:val="22"/>
        </w:rPr>
        <w:t xml:space="preserve">žitím externích subjektů na základě </w:t>
      </w:r>
      <w:r w:rsidR="00204FA5">
        <w:rPr>
          <w:rFonts w:cs="Arial"/>
          <w:szCs w:val="22"/>
        </w:rPr>
        <w:t>jim zadaných veřejných zakázek. Realizace e-tržišť pak byla spojena s udělením koncese, která byla výsledkem koncesního řízení, na jehož základě provozovatel</w:t>
      </w:r>
      <w:r w:rsidR="00A144C7">
        <w:rPr>
          <w:rFonts w:cs="Arial"/>
          <w:szCs w:val="22"/>
        </w:rPr>
        <w:t>é</w:t>
      </w:r>
      <w:r w:rsidR="00204FA5">
        <w:rPr>
          <w:rFonts w:cs="Arial"/>
          <w:szCs w:val="22"/>
        </w:rPr>
        <w:t xml:space="preserve"> připravil</w:t>
      </w:r>
      <w:r w:rsidR="00A144C7">
        <w:rPr>
          <w:rFonts w:cs="Arial"/>
          <w:szCs w:val="22"/>
        </w:rPr>
        <w:t>i</w:t>
      </w:r>
      <w:r w:rsidR="00204FA5">
        <w:rPr>
          <w:rFonts w:cs="Arial"/>
          <w:szCs w:val="22"/>
        </w:rPr>
        <w:t xml:space="preserve"> e-tržiště ke spuštění a následně je měl</w:t>
      </w:r>
      <w:r w:rsidR="00D24074">
        <w:rPr>
          <w:rFonts w:cs="Arial"/>
          <w:szCs w:val="22"/>
        </w:rPr>
        <w:t>i</w:t>
      </w:r>
      <w:r w:rsidR="00204FA5">
        <w:rPr>
          <w:rFonts w:cs="Arial"/>
          <w:szCs w:val="22"/>
        </w:rPr>
        <w:t xml:space="preserve"> </w:t>
      </w:r>
      <w:r w:rsidR="00204FA5" w:rsidRPr="00C351EA">
        <w:rPr>
          <w:rFonts w:cs="Arial"/>
          <w:szCs w:val="22"/>
        </w:rPr>
        <w:t>po dobu pěti let provozovat. Přehled všech veřejných zakázek a koncesních smluv</w:t>
      </w:r>
      <w:r w:rsidRPr="00C351EA">
        <w:rPr>
          <w:rFonts w:cs="Arial"/>
          <w:szCs w:val="22"/>
        </w:rPr>
        <w:t xml:space="preserve"> </w:t>
      </w:r>
      <w:r w:rsidR="00204FA5" w:rsidRPr="00C351EA">
        <w:rPr>
          <w:rFonts w:cs="Arial"/>
          <w:szCs w:val="22"/>
        </w:rPr>
        <w:t xml:space="preserve">je </w:t>
      </w:r>
      <w:r w:rsidR="003D44AC">
        <w:rPr>
          <w:rFonts w:cs="Arial"/>
          <w:szCs w:val="22"/>
        </w:rPr>
        <w:t xml:space="preserve">uveden </w:t>
      </w:r>
      <w:r w:rsidR="00204FA5" w:rsidRPr="00C351EA">
        <w:rPr>
          <w:rFonts w:cs="Arial"/>
          <w:szCs w:val="22"/>
        </w:rPr>
        <w:t>v </w:t>
      </w:r>
      <w:r w:rsidR="003D44AC">
        <w:rPr>
          <w:rFonts w:cs="Arial"/>
          <w:szCs w:val="22"/>
        </w:rPr>
        <w:t>p</w:t>
      </w:r>
      <w:r w:rsidR="00204FA5" w:rsidRPr="00C351EA">
        <w:rPr>
          <w:rFonts w:cs="Arial"/>
          <w:szCs w:val="22"/>
        </w:rPr>
        <w:t xml:space="preserve">říloze č. </w:t>
      </w:r>
      <w:r w:rsidR="003901EF" w:rsidRPr="00C351EA">
        <w:rPr>
          <w:rFonts w:cs="Arial"/>
          <w:szCs w:val="22"/>
        </w:rPr>
        <w:t>2</w:t>
      </w:r>
      <w:r w:rsidR="00204FA5" w:rsidRPr="00C351EA">
        <w:rPr>
          <w:rFonts w:cs="Arial"/>
          <w:szCs w:val="22"/>
        </w:rPr>
        <w:t>.</w:t>
      </w:r>
    </w:p>
    <w:p w:rsidR="003C4C53" w:rsidRPr="00C351EA" w:rsidRDefault="003C4C53" w:rsidP="00305D42">
      <w:pPr>
        <w:spacing w:after="0"/>
        <w:rPr>
          <w:rFonts w:cs="Arial"/>
          <w:szCs w:val="22"/>
        </w:rPr>
      </w:pPr>
    </w:p>
    <w:p w:rsidR="00FA0051" w:rsidRDefault="00DE29D3" w:rsidP="00305D42">
      <w:pPr>
        <w:spacing w:after="0"/>
        <w:rPr>
          <w:rFonts w:cs="Arial"/>
          <w:szCs w:val="22"/>
        </w:rPr>
      </w:pPr>
      <w:r w:rsidRPr="00C351EA">
        <w:rPr>
          <w:rFonts w:cs="Arial"/>
          <w:szCs w:val="22"/>
        </w:rPr>
        <w:t>P</w:t>
      </w:r>
      <w:r w:rsidR="001C29B2" w:rsidRPr="00C351EA">
        <w:rPr>
          <w:rFonts w:cs="Arial"/>
          <w:szCs w:val="22"/>
        </w:rPr>
        <w:t>říprav</w:t>
      </w:r>
      <w:r w:rsidR="00B62E57" w:rsidRPr="00C351EA">
        <w:rPr>
          <w:rFonts w:cs="Arial"/>
          <w:szCs w:val="22"/>
        </w:rPr>
        <w:t xml:space="preserve">u </w:t>
      </w:r>
      <w:r w:rsidR="001C29B2" w:rsidRPr="00C351EA">
        <w:rPr>
          <w:rFonts w:cs="Arial"/>
          <w:szCs w:val="22"/>
        </w:rPr>
        <w:t xml:space="preserve">modulu e-tržišť </w:t>
      </w:r>
      <w:r w:rsidR="002A78ED" w:rsidRPr="00C351EA">
        <w:rPr>
          <w:rFonts w:cs="Arial"/>
          <w:szCs w:val="22"/>
        </w:rPr>
        <w:t xml:space="preserve">a proškolení jejich uživatelů (zadavatelů i dodavatelů) </w:t>
      </w:r>
      <w:r w:rsidRPr="00C351EA">
        <w:rPr>
          <w:rFonts w:cs="Arial"/>
          <w:szCs w:val="22"/>
        </w:rPr>
        <w:t xml:space="preserve">realizovalo MMR </w:t>
      </w:r>
      <w:r w:rsidR="002A78ED" w:rsidRPr="00C351EA">
        <w:rPr>
          <w:rFonts w:cs="Arial"/>
          <w:szCs w:val="22"/>
        </w:rPr>
        <w:t>veřejnými zakázkami spolufinancovanými z </w:t>
      </w:r>
      <w:r w:rsidR="003D4FC8">
        <w:rPr>
          <w:rFonts w:cs="Arial"/>
          <w:szCs w:val="22"/>
        </w:rPr>
        <w:t>prostředků</w:t>
      </w:r>
      <w:r w:rsidR="003D4FC8" w:rsidRPr="00C351EA">
        <w:rPr>
          <w:rFonts w:cs="Arial"/>
          <w:szCs w:val="22"/>
        </w:rPr>
        <w:t xml:space="preserve"> </w:t>
      </w:r>
      <w:r w:rsidR="002A78ED" w:rsidRPr="00C351EA">
        <w:rPr>
          <w:rFonts w:cs="Arial"/>
          <w:szCs w:val="22"/>
        </w:rPr>
        <w:t xml:space="preserve">Evropské unie. </w:t>
      </w:r>
      <w:r w:rsidR="00FA0051" w:rsidRPr="00C351EA">
        <w:rPr>
          <w:rFonts w:cs="Arial"/>
          <w:szCs w:val="22"/>
        </w:rPr>
        <w:t>V případě</w:t>
      </w:r>
      <w:r w:rsidR="00FA0051">
        <w:rPr>
          <w:rFonts w:cs="Arial"/>
          <w:szCs w:val="22"/>
        </w:rPr>
        <w:t xml:space="preserve"> jedné VZ (</w:t>
      </w:r>
      <w:r w:rsidR="003D44AC">
        <w:rPr>
          <w:rFonts w:cs="Arial"/>
          <w:szCs w:val="22"/>
        </w:rPr>
        <w:t>číslo smlouvy v</w:t>
      </w:r>
      <w:r w:rsidR="00074CAE">
        <w:rPr>
          <w:rFonts w:cs="Arial"/>
          <w:szCs w:val="22"/>
        </w:rPr>
        <w:t> </w:t>
      </w:r>
      <w:r w:rsidR="00FA0051">
        <w:rPr>
          <w:rFonts w:cs="Arial"/>
          <w:szCs w:val="22"/>
        </w:rPr>
        <w:t>CES 4897</w:t>
      </w:r>
      <w:r w:rsidR="003D44AC">
        <w:rPr>
          <w:rFonts w:cs="Arial"/>
          <w:szCs w:val="22"/>
        </w:rPr>
        <w:t>, viz příloha č. 2</w:t>
      </w:r>
      <w:r w:rsidR="00FA0051">
        <w:rPr>
          <w:rFonts w:cs="Arial"/>
          <w:szCs w:val="22"/>
        </w:rPr>
        <w:t xml:space="preserve">) </w:t>
      </w:r>
      <w:r w:rsidR="003D44AC">
        <w:rPr>
          <w:rFonts w:cs="Arial"/>
          <w:szCs w:val="22"/>
        </w:rPr>
        <w:t xml:space="preserve">zadané </w:t>
      </w:r>
      <w:r w:rsidR="00FA0051">
        <w:rPr>
          <w:rFonts w:cs="Arial"/>
          <w:szCs w:val="22"/>
        </w:rPr>
        <w:t>v otevřeném nadlimitním řízení</w:t>
      </w:r>
      <w:r w:rsidR="00FA0051">
        <w:t xml:space="preserve"> </w:t>
      </w:r>
      <w:r w:rsidR="00FA0051" w:rsidRPr="00FC3251">
        <w:rPr>
          <w:rFonts w:cs="Arial"/>
          <w:szCs w:val="22"/>
        </w:rPr>
        <w:t xml:space="preserve">neuchovalo </w:t>
      </w:r>
      <w:r w:rsidR="003D44AC">
        <w:rPr>
          <w:rFonts w:cs="Arial"/>
          <w:szCs w:val="22"/>
        </w:rPr>
        <w:t xml:space="preserve">MMR </w:t>
      </w:r>
      <w:r w:rsidR="00FA0051" w:rsidRPr="00FC3251">
        <w:rPr>
          <w:rFonts w:cs="Arial"/>
          <w:szCs w:val="22"/>
        </w:rPr>
        <w:t xml:space="preserve">kompletní dokumentaci po dobu pěti let, </w:t>
      </w:r>
      <w:r w:rsidR="003D44AC">
        <w:rPr>
          <w:rFonts w:cs="Arial"/>
          <w:szCs w:val="22"/>
        </w:rPr>
        <w:t>čímž</w:t>
      </w:r>
      <w:r w:rsidR="00F30269">
        <w:rPr>
          <w:rFonts w:cs="Arial"/>
          <w:szCs w:val="22"/>
        </w:rPr>
        <w:t xml:space="preserve"> </w:t>
      </w:r>
      <w:r w:rsidR="00FA0051" w:rsidRPr="00FC3251">
        <w:rPr>
          <w:rFonts w:cs="Arial"/>
          <w:szCs w:val="22"/>
        </w:rPr>
        <w:t xml:space="preserve">porušilo ustanovení § 155 odst. 1 zákona o </w:t>
      </w:r>
      <w:r w:rsidR="00FA0051">
        <w:rPr>
          <w:rFonts w:cs="Arial"/>
          <w:szCs w:val="22"/>
        </w:rPr>
        <w:t>VZ</w:t>
      </w:r>
      <w:r w:rsidR="00FA0051" w:rsidRPr="00FC3251">
        <w:rPr>
          <w:rFonts w:cs="Arial"/>
          <w:szCs w:val="22"/>
        </w:rPr>
        <w:t>.</w:t>
      </w:r>
    </w:p>
    <w:p w:rsidR="003C4C53" w:rsidRDefault="003C4C53" w:rsidP="00305D42">
      <w:pPr>
        <w:spacing w:after="0"/>
        <w:rPr>
          <w:rFonts w:cs="Arial"/>
          <w:szCs w:val="22"/>
        </w:rPr>
      </w:pPr>
    </w:p>
    <w:p w:rsidR="001C29B2" w:rsidRDefault="00835EDF" w:rsidP="00305D42">
      <w:pPr>
        <w:spacing w:after="0"/>
        <w:rPr>
          <w:rFonts w:cs="Arial"/>
          <w:szCs w:val="22"/>
        </w:rPr>
      </w:pPr>
      <w:r>
        <w:rPr>
          <w:rFonts w:cs="Arial"/>
          <w:szCs w:val="22"/>
        </w:rPr>
        <w:t xml:space="preserve">MMR </w:t>
      </w:r>
      <w:r w:rsidR="004E468D">
        <w:rPr>
          <w:rFonts w:cs="Arial"/>
          <w:szCs w:val="22"/>
        </w:rPr>
        <w:t xml:space="preserve">dále </w:t>
      </w:r>
      <w:r w:rsidR="001C7A50">
        <w:rPr>
          <w:rFonts w:cs="Arial"/>
          <w:szCs w:val="22"/>
        </w:rPr>
        <w:t xml:space="preserve">pomocí externích </w:t>
      </w:r>
      <w:r w:rsidR="004E468D">
        <w:rPr>
          <w:rFonts w:cs="Arial"/>
          <w:szCs w:val="22"/>
        </w:rPr>
        <w:t>subjektů</w:t>
      </w:r>
      <w:r w:rsidR="001C7A50">
        <w:rPr>
          <w:rFonts w:cs="Arial"/>
          <w:szCs w:val="22"/>
        </w:rPr>
        <w:t xml:space="preserve"> </w:t>
      </w:r>
      <w:r>
        <w:rPr>
          <w:rFonts w:cs="Arial"/>
          <w:szCs w:val="22"/>
        </w:rPr>
        <w:t xml:space="preserve">zajistilo administraci koncesního řízení </w:t>
      </w:r>
      <w:r w:rsidR="002A78ED">
        <w:rPr>
          <w:rFonts w:cs="Arial"/>
          <w:szCs w:val="22"/>
        </w:rPr>
        <w:t xml:space="preserve">vč. </w:t>
      </w:r>
      <w:r>
        <w:rPr>
          <w:rFonts w:cs="Arial"/>
          <w:szCs w:val="22"/>
        </w:rPr>
        <w:t>konzultační podpor</w:t>
      </w:r>
      <w:r w:rsidR="002A78ED">
        <w:rPr>
          <w:rFonts w:cs="Arial"/>
          <w:szCs w:val="22"/>
        </w:rPr>
        <w:t>y</w:t>
      </w:r>
      <w:r>
        <w:rPr>
          <w:rFonts w:cs="Arial"/>
          <w:szCs w:val="22"/>
        </w:rPr>
        <w:t xml:space="preserve">, úpravu klíčových dokumentů </w:t>
      </w:r>
      <w:r w:rsidR="00071D31">
        <w:rPr>
          <w:rFonts w:cs="Arial"/>
          <w:szCs w:val="22"/>
        </w:rPr>
        <w:t>e-</w:t>
      </w:r>
      <w:r w:rsidR="001C7A50">
        <w:rPr>
          <w:rFonts w:cs="Arial"/>
          <w:szCs w:val="22"/>
        </w:rPr>
        <w:t>tržišť</w:t>
      </w:r>
      <w:r w:rsidR="00071D31">
        <w:rPr>
          <w:rFonts w:cs="Arial"/>
          <w:szCs w:val="22"/>
        </w:rPr>
        <w:t xml:space="preserve"> </w:t>
      </w:r>
      <w:r w:rsidR="00DE5FB2">
        <w:rPr>
          <w:rFonts w:cs="Arial"/>
          <w:szCs w:val="22"/>
        </w:rPr>
        <w:t xml:space="preserve">dle novely zákona o </w:t>
      </w:r>
      <w:r w:rsidR="00A87780">
        <w:rPr>
          <w:rFonts w:cs="Arial"/>
          <w:szCs w:val="22"/>
        </w:rPr>
        <w:t>VZ</w:t>
      </w:r>
      <w:r w:rsidR="00B344FE">
        <w:rPr>
          <w:rFonts w:cs="Arial"/>
          <w:szCs w:val="22"/>
        </w:rPr>
        <w:t xml:space="preserve"> </w:t>
      </w:r>
      <w:r w:rsidR="001C7A50">
        <w:rPr>
          <w:rFonts w:cs="Arial"/>
          <w:szCs w:val="22"/>
        </w:rPr>
        <w:t>či</w:t>
      </w:r>
      <w:r w:rsidR="00074CAE">
        <w:rPr>
          <w:rFonts w:cs="Arial"/>
          <w:szCs w:val="22"/>
        </w:rPr>
        <w:t xml:space="preserve"> </w:t>
      </w:r>
      <w:r w:rsidR="00A87780">
        <w:rPr>
          <w:rFonts w:cs="Arial"/>
          <w:szCs w:val="22"/>
        </w:rPr>
        <w:t>akceptační testy</w:t>
      </w:r>
      <w:r w:rsidR="00D74274" w:rsidRPr="00D74274">
        <w:rPr>
          <w:rFonts w:cs="Arial"/>
          <w:szCs w:val="22"/>
        </w:rPr>
        <w:t xml:space="preserve"> </w:t>
      </w:r>
      <w:r w:rsidR="00D74274">
        <w:rPr>
          <w:rFonts w:cs="Arial"/>
          <w:szCs w:val="22"/>
        </w:rPr>
        <w:t>pro ověření shody elektronického tržiště s </w:t>
      </w:r>
      <w:r w:rsidR="00074CAE">
        <w:rPr>
          <w:rFonts w:cs="Arial"/>
          <w:i/>
          <w:szCs w:val="22"/>
        </w:rPr>
        <w:t>t</w:t>
      </w:r>
      <w:r w:rsidR="00D74274" w:rsidRPr="00DF1407">
        <w:rPr>
          <w:rFonts w:cs="Arial"/>
          <w:i/>
          <w:szCs w:val="22"/>
        </w:rPr>
        <w:t>echnickou specifikací</w:t>
      </w:r>
      <w:r w:rsidR="00064325" w:rsidRPr="00305D42">
        <w:rPr>
          <w:rStyle w:val="Znakapoznpodarou"/>
          <w:szCs w:val="22"/>
        </w:rPr>
        <w:footnoteReference w:id="8"/>
      </w:r>
      <w:r w:rsidR="00A87780">
        <w:rPr>
          <w:rFonts w:cs="Arial"/>
          <w:szCs w:val="22"/>
        </w:rPr>
        <w:t>.</w:t>
      </w:r>
      <w:r w:rsidR="00E2157E">
        <w:rPr>
          <w:rFonts w:cs="Arial"/>
          <w:szCs w:val="22"/>
        </w:rPr>
        <w:t xml:space="preserve"> </w:t>
      </w:r>
      <w:r w:rsidR="00071D31">
        <w:rPr>
          <w:rFonts w:cs="Arial"/>
          <w:szCs w:val="22"/>
        </w:rPr>
        <w:t>V</w:t>
      </w:r>
      <w:r w:rsidR="00E2157E">
        <w:rPr>
          <w:rFonts w:cs="Arial"/>
          <w:szCs w:val="22"/>
        </w:rPr>
        <w:t xml:space="preserve"> květnu 2013 </w:t>
      </w:r>
      <w:r w:rsidR="001C7A50">
        <w:rPr>
          <w:rFonts w:cs="Arial"/>
          <w:szCs w:val="22"/>
        </w:rPr>
        <w:t xml:space="preserve">MMR </w:t>
      </w:r>
      <w:r>
        <w:rPr>
          <w:rFonts w:cs="Arial"/>
          <w:szCs w:val="22"/>
        </w:rPr>
        <w:t>uzavřelo</w:t>
      </w:r>
      <w:r w:rsidR="00071D31">
        <w:rPr>
          <w:rFonts w:cs="Arial"/>
          <w:szCs w:val="22"/>
        </w:rPr>
        <w:t xml:space="preserve"> </w:t>
      </w:r>
      <w:r>
        <w:rPr>
          <w:rFonts w:cs="Arial"/>
          <w:szCs w:val="22"/>
        </w:rPr>
        <w:t xml:space="preserve">smlouvu </w:t>
      </w:r>
      <w:r w:rsidR="000234E7">
        <w:rPr>
          <w:rFonts w:cs="Arial"/>
          <w:szCs w:val="22"/>
        </w:rPr>
        <w:t>na</w:t>
      </w:r>
      <w:r>
        <w:rPr>
          <w:rFonts w:cs="Arial"/>
          <w:szCs w:val="22"/>
        </w:rPr>
        <w:t xml:space="preserve"> </w:t>
      </w:r>
      <w:r w:rsidR="00074CAE">
        <w:rPr>
          <w:rFonts w:cs="Arial"/>
          <w:szCs w:val="22"/>
        </w:rPr>
        <w:t>vy</w:t>
      </w:r>
      <w:r>
        <w:rPr>
          <w:rFonts w:cs="Arial"/>
          <w:szCs w:val="22"/>
        </w:rPr>
        <w:t>pracování zprávy o</w:t>
      </w:r>
      <w:r w:rsidR="00974CC9">
        <w:rPr>
          <w:rFonts w:cs="Arial"/>
          <w:szCs w:val="22"/>
        </w:rPr>
        <w:t> </w:t>
      </w:r>
      <w:r>
        <w:rPr>
          <w:rFonts w:cs="Arial"/>
          <w:szCs w:val="22"/>
        </w:rPr>
        <w:t>fungování e-tržišť a dalš</w:t>
      </w:r>
      <w:r w:rsidR="00A87780">
        <w:rPr>
          <w:rFonts w:cs="Arial"/>
          <w:szCs w:val="22"/>
        </w:rPr>
        <w:t>í změny v klíčových dokumentech.</w:t>
      </w:r>
      <w:r w:rsidR="002A78ED" w:rsidRPr="002A78ED">
        <w:rPr>
          <w:rFonts w:cs="Arial"/>
          <w:szCs w:val="22"/>
        </w:rPr>
        <w:t xml:space="preserve"> </w:t>
      </w:r>
      <w:r w:rsidR="002A78ED">
        <w:rPr>
          <w:rFonts w:cs="Arial"/>
          <w:szCs w:val="22"/>
        </w:rPr>
        <w:t>Tyto zakázky byly financovány</w:t>
      </w:r>
      <w:r w:rsidR="0013173A">
        <w:rPr>
          <w:rFonts w:cs="Arial"/>
          <w:szCs w:val="22"/>
        </w:rPr>
        <w:t xml:space="preserve"> pouze</w:t>
      </w:r>
      <w:r w:rsidR="002A78ED">
        <w:rPr>
          <w:rFonts w:cs="Arial"/>
          <w:szCs w:val="22"/>
        </w:rPr>
        <w:t xml:space="preserve"> ze státního rozpočtu.</w:t>
      </w:r>
    </w:p>
    <w:p w:rsidR="003C4C53" w:rsidRDefault="003C4C53" w:rsidP="00305D42">
      <w:pPr>
        <w:spacing w:after="0"/>
        <w:rPr>
          <w:rFonts w:cs="Arial"/>
          <w:szCs w:val="22"/>
        </w:rPr>
      </w:pPr>
    </w:p>
    <w:p w:rsidR="00F30269" w:rsidRDefault="00F30269" w:rsidP="00305D42">
      <w:pPr>
        <w:spacing w:after="0"/>
        <w:rPr>
          <w:rFonts w:cs="Arial"/>
          <w:szCs w:val="22"/>
        </w:rPr>
      </w:pPr>
      <w:r>
        <w:rPr>
          <w:rFonts w:cs="Arial"/>
          <w:szCs w:val="22"/>
        </w:rPr>
        <w:t xml:space="preserve">NKÚ zjistil, že při přípravě modulu e-tržišť rozdělilo </w:t>
      </w:r>
      <w:r w:rsidR="002A28F6">
        <w:rPr>
          <w:rFonts w:cs="Arial"/>
          <w:szCs w:val="22"/>
        </w:rPr>
        <w:t xml:space="preserve">MMR </w:t>
      </w:r>
      <w:r>
        <w:rPr>
          <w:rFonts w:cs="Arial"/>
          <w:szCs w:val="22"/>
        </w:rPr>
        <w:t xml:space="preserve">veřejnou zakázku </w:t>
      </w:r>
      <w:r w:rsidRPr="006353B4">
        <w:rPr>
          <w:rFonts w:cs="Arial"/>
          <w:szCs w:val="22"/>
        </w:rPr>
        <w:t>na konzultační odbornou podporu k</w:t>
      </w:r>
      <w:r>
        <w:rPr>
          <w:rFonts w:cs="Arial"/>
          <w:szCs w:val="22"/>
        </w:rPr>
        <w:t xml:space="preserve"> přípravě a </w:t>
      </w:r>
      <w:r w:rsidRPr="006353B4">
        <w:rPr>
          <w:rFonts w:cs="Arial"/>
          <w:szCs w:val="22"/>
        </w:rPr>
        <w:t xml:space="preserve">průběhu koncesního řízení </w:t>
      </w:r>
      <w:r>
        <w:rPr>
          <w:rFonts w:cs="Arial"/>
          <w:szCs w:val="22"/>
        </w:rPr>
        <w:t xml:space="preserve">na dvě </w:t>
      </w:r>
      <w:r w:rsidR="000F756C">
        <w:rPr>
          <w:rFonts w:cs="Arial"/>
          <w:szCs w:val="22"/>
        </w:rPr>
        <w:t>VZMR</w:t>
      </w:r>
      <w:r>
        <w:rPr>
          <w:rFonts w:cs="Arial"/>
          <w:szCs w:val="22"/>
        </w:rPr>
        <w:t>, jejichž celková hodnota činila 2 190 000 Kč bez DPH.</w:t>
      </w:r>
      <w:r w:rsidRPr="006353B4">
        <w:rPr>
          <w:rFonts w:cs="Arial"/>
          <w:szCs w:val="22"/>
        </w:rPr>
        <w:t xml:space="preserve"> </w:t>
      </w:r>
      <w:r w:rsidR="00D40A2E">
        <w:rPr>
          <w:rFonts w:cs="Arial"/>
          <w:szCs w:val="22"/>
        </w:rPr>
        <w:t>Druhou VZMR zadalo přímou výzvou jednomu dodavateli</w:t>
      </w:r>
      <w:r w:rsidR="002A28F6">
        <w:rPr>
          <w:rFonts w:cs="Arial"/>
          <w:szCs w:val="22"/>
        </w:rPr>
        <w:t>,</w:t>
      </w:r>
      <w:r w:rsidR="00D40A2E">
        <w:rPr>
          <w:rFonts w:cs="Arial"/>
          <w:szCs w:val="22"/>
        </w:rPr>
        <w:t xml:space="preserve"> a nevyužilo tak možnost dosáhnou</w:t>
      </w:r>
      <w:r w:rsidR="002A28F6">
        <w:rPr>
          <w:rFonts w:cs="Arial"/>
          <w:szCs w:val="22"/>
        </w:rPr>
        <w:t>t</w:t>
      </w:r>
      <w:r w:rsidR="00D40A2E">
        <w:rPr>
          <w:rFonts w:cs="Arial"/>
          <w:szCs w:val="22"/>
        </w:rPr>
        <w:t xml:space="preserve"> nižší ceny zakázky v konkurenčním prostředí jiného</w:t>
      </w:r>
      <w:r w:rsidR="00494248">
        <w:rPr>
          <w:rFonts w:cs="Arial"/>
          <w:szCs w:val="22"/>
        </w:rPr>
        <w:t>,</w:t>
      </w:r>
      <w:r w:rsidR="00D40A2E">
        <w:rPr>
          <w:rFonts w:cs="Arial"/>
          <w:szCs w:val="22"/>
        </w:rPr>
        <w:t xml:space="preserve"> odpovídajícího druhu řízení. </w:t>
      </w:r>
      <w:r w:rsidRPr="006353B4">
        <w:rPr>
          <w:rFonts w:cs="Arial"/>
          <w:szCs w:val="22"/>
        </w:rPr>
        <w:t xml:space="preserve">MMR k těmto dvěma zakázkám navíc </w:t>
      </w:r>
      <w:r>
        <w:rPr>
          <w:rFonts w:cs="Arial"/>
          <w:szCs w:val="22"/>
        </w:rPr>
        <w:t>nedoložilo</w:t>
      </w:r>
      <w:r w:rsidRPr="006353B4">
        <w:rPr>
          <w:rFonts w:cs="Arial"/>
          <w:szCs w:val="22"/>
        </w:rPr>
        <w:t xml:space="preserve"> roz</w:t>
      </w:r>
      <w:r>
        <w:rPr>
          <w:rFonts w:cs="Arial"/>
          <w:szCs w:val="22"/>
        </w:rPr>
        <w:t>sah</w:t>
      </w:r>
      <w:r w:rsidRPr="006353B4">
        <w:rPr>
          <w:rFonts w:cs="Arial"/>
          <w:szCs w:val="22"/>
        </w:rPr>
        <w:t xml:space="preserve"> čerpaných konzultačních služeb</w:t>
      </w:r>
      <w:r>
        <w:rPr>
          <w:rFonts w:cs="Arial"/>
          <w:szCs w:val="22"/>
        </w:rPr>
        <w:t xml:space="preserve">. Předávací protokoly o předání výsledného díla </w:t>
      </w:r>
      <w:r w:rsidR="002E0847">
        <w:rPr>
          <w:rFonts w:cs="Arial"/>
          <w:szCs w:val="22"/>
        </w:rPr>
        <w:t xml:space="preserve">byly </w:t>
      </w:r>
      <w:r w:rsidR="000F756C">
        <w:rPr>
          <w:rFonts w:cs="Arial"/>
          <w:szCs w:val="22"/>
        </w:rPr>
        <w:t xml:space="preserve">zpracovány </w:t>
      </w:r>
      <w:r w:rsidR="00662710">
        <w:rPr>
          <w:rFonts w:cs="Arial"/>
          <w:szCs w:val="22"/>
        </w:rPr>
        <w:t>a</w:t>
      </w:r>
      <w:r w:rsidR="00AD2A4B">
        <w:rPr>
          <w:rFonts w:cs="Arial"/>
          <w:szCs w:val="22"/>
        </w:rPr>
        <w:t> </w:t>
      </w:r>
      <w:r w:rsidR="000F756C">
        <w:rPr>
          <w:rFonts w:cs="Arial"/>
          <w:szCs w:val="22"/>
        </w:rPr>
        <w:t xml:space="preserve">následně </w:t>
      </w:r>
      <w:r>
        <w:rPr>
          <w:rFonts w:cs="Arial"/>
          <w:szCs w:val="22"/>
        </w:rPr>
        <w:t xml:space="preserve">opatřeny </w:t>
      </w:r>
      <w:r w:rsidR="00662710">
        <w:rPr>
          <w:rFonts w:cs="Arial"/>
          <w:szCs w:val="22"/>
        </w:rPr>
        <w:t xml:space="preserve">podpisy </w:t>
      </w:r>
      <w:r>
        <w:rPr>
          <w:rFonts w:cs="Arial"/>
          <w:szCs w:val="22"/>
        </w:rPr>
        <w:t>pouze za ministerstvo</w:t>
      </w:r>
      <w:r w:rsidRPr="006353B4">
        <w:rPr>
          <w:rFonts w:cs="Arial"/>
          <w:szCs w:val="22"/>
        </w:rPr>
        <w:t xml:space="preserve">. </w:t>
      </w:r>
    </w:p>
    <w:p w:rsidR="003C4C53" w:rsidRDefault="003C4C53" w:rsidP="00305D42">
      <w:pPr>
        <w:spacing w:after="0"/>
        <w:rPr>
          <w:rFonts w:cs="Arial"/>
          <w:szCs w:val="22"/>
        </w:rPr>
      </w:pPr>
    </w:p>
    <w:p w:rsidR="00F30269" w:rsidRDefault="00F30269" w:rsidP="00305D42">
      <w:pPr>
        <w:spacing w:after="0"/>
        <w:rPr>
          <w:rFonts w:cs="Arial"/>
          <w:b/>
          <w:szCs w:val="22"/>
        </w:rPr>
      </w:pPr>
      <w:r w:rsidRPr="00290F51">
        <w:rPr>
          <w:rFonts w:cs="Arial"/>
          <w:b/>
          <w:szCs w:val="22"/>
        </w:rPr>
        <w:t xml:space="preserve">NKÚ </w:t>
      </w:r>
      <w:r w:rsidR="00A457A4">
        <w:rPr>
          <w:rFonts w:cs="Arial"/>
          <w:b/>
          <w:szCs w:val="22"/>
        </w:rPr>
        <w:t>tento postup, který nebyl</w:t>
      </w:r>
      <w:r>
        <w:rPr>
          <w:rFonts w:cs="Arial"/>
          <w:b/>
          <w:szCs w:val="22"/>
        </w:rPr>
        <w:t xml:space="preserve"> v souladu se zákonem o </w:t>
      </w:r>
      <w:r w:rsidR="000F756C">
        <w:rPr>
          <w:rFonts w:cs="Arial"/>
          <w:b/>
          <w:szCs w:val="22"/>
        </w:rPr>
        <w:t>VZ</w:t>
      </w:r>
      <w:r w:rsidR="00A457A4">
        <w:rPr>
          <w:rFonts w:cs="Arial"/>
          <w:b/>
          <w:szCs w:val="22"/>
        </w:rPr>
        <w:t>,</w:t>
      </w:r>
      <w:r>
        <w:rPr>
          <w:rFonts w:cs="Arial"/>
          <w:b/>
          <w:szCs w:val="22"/>
        </w:rPr>
        <w:t xml:space="preserve"> hodnotí </w:t>
      </w:r>
      <w:r w:rsidRPr="00290F51">
        <w:rPr>
          <w:rFonts w:cs="Arial"/>
          <w:b/>
          <w:szCs w:val="22"/>
        </w:rPr>
        <w:t>jako porušení rozpočtové kázně</w:t>
      </w:r>
      <w:r w:rsidR="00D40A2E">
        <w:rPr>
          <w:rFonts w:cs="Arial"/>
          <w:b/>
          <w:szCs w:val="22"/>
        </w:rPr>
        <w:t>. U</w:t>
      </w:r>
      <w:r w:rsidRPr="00290F51">
        <w:rPr>
          <w:rFonts w:cs="Arial"/>
          <w:b/>
          <w:szCs w:val="22"/>
        </w:rPr>
        <w:t>rčené úkoly MMR v uvedeném případě neplnilo nejhospodárnějším způsobem, jak ukládá</w:t>
      </w:r>
      <w:r w:rsidR="006A6299">
        <w:rPr>
          <w:rFonts w:cs="Arial"/>
          <w:b/>
          <w:szCs w:val="22"/>
        </w:rPr>
        <w:t xml:space="preserve"> zákon </w:t>
      </w:r>
      <w:r w:rsidR="009977C9">
        <w:rPr>
          <w:rFonts w:cs="Arial"/>
          <w:b/>
          <w:szCs w:val="22"/>
        </w:rPr>
        <w:t xml:space="preserve">č. 218/2000 Sb., </w:t>
      </w:r>
      <w:r w:rsidR="006A6299">
        <w:rPr>
          <w:rFonts w:cs="Arial"/>
          <w:b/>
          <w:szCs w:val="22"/>
        </w:rPr>
        <w:t>o rozpočtových pravidlech</w:t>
      </w:r>
      <w:r w:rsidR="009977C9">
        <w:rPr>
          <w:rFonts w:cs="Arial"/>
          <w:b/>
          <w:szCs w:val="22"/>
        </w:rPr>
        <w:t xml:space="preserve"> </w:t>
      </w:r>
      <w:r w:rsidR="009977C9" w:rsidRPr="009977C9">
        <w:rPr>
          <w:rFonts w:cs="Arial"/>
          <w:b/>
          <w:szCs w:val="22"/>
        </w:rPr>
        <w:t>a o změně některých souvisejících zákonů</w:t>
      </w:r>
      <w:r w:rsidRPr="00290F51">
        <w:rPr>
          <w:rFonts w:cs="Arial"/>
          <w:b/>
          <w:szCs w:val="22"/>
        </w:rPr>
        <w:t xml:space="preserve">. </w:t>
      </w:r>
      <w:r w:rsidR="00ED7932">
        <w:rPr>
          <w:rFonts w:cs="Arial"/>
          <w:b/>
          <w:szCs w:val="22"/>
        </w:rPr>
        <w:t>Tímto j</w:t>
      </w:r>
      <w:r w:rsidRPr="00290F51">
        <w:rPr>
          <w:rFonts w:cs="Arial"/>
          <w:b/>
          <w:szCs w:val="22"/>
        </w:rPr>
        <w:t>ednání</w:t>
      </w:r>
      <w:r w:rsidR="00ED7932">
        <w:rPr>
          <w:rFonts w:cs="Arial"/>
          <w:b/>
          <w:szCs w:val="22"/>
        </w:rPr>
        <w:t>m</w:t>
      </w:r>
      <w:r w:rsidRPr="00290F51">
        <w:rPr>
          <w:rFonts w:cs="Arial"/>
          <w:b/>
          <w:szCs w:val="22"/>
        </w:rPr>
        <w:t xml:space="preserve"> MMR </w:t>
      </w:r>
      <w:r w:rsidR="006A6299">
        <w:rPr>
          <w:rFonts w:cs="Arial"/>
          <w:b/>
          <w:szCs w:val="22"/>
        </w:rPr>
        <w:t xml:space="preserve">dále </w:t>
      </w:r>
      <w:r w:rsidR="00ED7932">
        <w:rPr>
          <w:rFonts w:cs="Arial"/>
          <w:b/>
          <w:szCs w:val="22"/>
        </w:rPr>
        <w:t>porušilo</w:t>
      </w:r>
      <w:r w:rsidRPr="00290F51">
        <w:rPr>
          <w:rFonts w:cs="Arial"/>
          <w:b/>
          <w:szCs w:val="22"/>
        </w:rPr>
        <w:t xml:space="preserve"> </w:t>
      </w:r>
      <w:r w:rsidR="009977C9">
        <w:rPr>
          <w:rFonts w:cs="Arial"/>
          <w:b/>
          <w:szCs w:val="22"/>
        </w:rPr>
        <w:t>p</w:t>
      </w:r>
      <w:r w:rsidRPr="00290F51">
        <w:rPr>
          <w:rFonts w:cs="Arial"/>
          <w:b/>
          <w:szCs w:val="22"/>
        </w:rPr>
        <w:t>odmín</w:t>
      </w:r>
      <w:r w:rsidR="00ED7932">
        <w:rPr>
          <w:rFonts w:cs="Arial"/>
          <w:b/>
          <w:szCs w:val="22"/>
        </w:rPr>
        <w:t>ky</w:t>
      </w:r>
      <w:r w:rsidRPr="00290F51">
        <w:rPr>
          <w:rFonts w:cs="Arial"/>
          <w:b/>
          <w:szCs w:val="22"/>
        </w:rPr>
        <w:t xml:space="preserve">, za kterých byly prostředky </w:t>
      </w:r>
      <w:r w:rsidR="00021828">
        <w:rPr>
          <w:rFonts w:cs="Arial"/>
          <w:b/>
          <w:szCs w:val="22"/>
        </w:rPr>
        <w:t xml:space="preserve">z IOP </w:t>
      </w:r>
      <w:r w:rsidRPr="00290F51">
        <w:rPr>
          <w:rFonts w:cs="Arial"/>
          <w:b/>
          <w:szCs w:val="22"/>
        </w:rPr>
        <w:t>poskytnuty</w:t>
      </w:r>
      <w:r w:rsidR="00ED7932">
        <w:rPr>
          <w:rFonts w:cs="Arial"/>
          <w:b/>
          <w:szCs w:val="22"/>
        </w:rPr>
        <w:t>.</w:t>
      </w:r>
      <w:r w:rsidR="00021828">
        <w:rPr>
          <w:rFonts w:cs="Arial"/>
          <w:b/>
          <w:szCs w:val="22"/>
        </w:rPr>
        <w:t xml:space="preserve"> </w:t>
      </w:r>
      <w:r w:rsidR="00ED7932">
        <w:rPr>
          <w:rFonts w:cs="Arial"/>
          <w:b/>
          <w:szCs w:val="22"/>
        </w:rPr>
        <w:t>T</w:t>
      </w:r>
      <w:r>
        <w:rPr>
          <w:rFonts w:cs="Arial"/>
          <w:b/>
          <w:szCs w:val="22"/>
        </w:rPr>
        <w:t xml:space="preserve">ento postup </w:t>
      </w:r>
      <w:r w:rsidR="00021828">
        <w:rPr>
          <w:rFonts w:cs="Arial"/>
          <w:b/>
          <w:szCs w:val="22"/>
        </w:rPr>
        <w:t>NKÚ</w:t>
      </w:r>
      <w:r w:rsidR="00021828" w:rsidRPr="00290F51">
        <w:rPr>
          <w:rFonts w:cs="Arial"/>
          <w:b/>
          <w:szCs w:val="22"/>
        </w:rPr>
        <w:t xml:space="preserve"> </w:t>
      </w:r>
      <w:r w:rsidRPr="00290F51">
        <w:rPr>
          <w:rFonts w:cs="Arial"/>
          <w:b/>
          <w:szCs w:val="22"/>
        </w:rPr>
        <w:t>kvalifikov</w:t>
      </w:r>
      <w:r>
        <w:rPr>
          <w:rFonts w:cs="Arial"/>
          <w:b/>
          <w:szCs w:val="22"/>
        </w:rPr>
        <w:t>al</w:t>
      </w:r>
      <w:r w:rsidRPr="00290F51">
        <w:rPr>
          <w:rFonts w:cs="Arial"/>
          <w:b/>
          <w:szCs w:val="22"/>
        </w:rPr>
        <w:t xml:space="preserve"> jako nesrovnalost </w:t>
      </w:r>
      <w:r w:rsidR="009977C9">
        <w:rPr>
          <w:rFonts w:cs="Arial"/>
          <w:b/>
          <w:szCs w:val="22"/>
        </w:rPr>
        <w:t>(</w:t>
      </w:r>
      <w:r w:rsidRPr="00290F51">
        <w:rPr>
          <w:rFonts w:cs="Arial"/>
          <w:b/>
          <w:szCs w:val="22"/>
        </w:rPr>
        <w:t>ve</w:t>
      </w:r>
      <w:r>
        <w:rPr>
          <w:rFonts w:cs="Arial"/>
          <w:b/>
          <w:szCs w:val="22"/>
        </w:rPr>
        <w:t> </w:t>
      </w:r>
      <w:r w:rsidRPr="00290F51">
        <w:rPr>
          <w:rFonts w:cs="Arial"/>
          <w:b/>
          <w:szCs w:val="22"/>
        </w:rPr>
        <w:t>smyslu č</w:t>
      </w:r>
      <w:r w:rsidR="001731E1">
        <w:rPr>
          <w:rFonts w:cs="Arial"/>
          <w:b/>
          <w:szCs w:val="22"/>
        </w:rPr>
        <w:t>l</w:t>
      </w:r>
      <w:r w:rsidRPr="00290F51">
        <w:rPr>
          <w:rFonts w:cs="Arial"/>
          <w:b/>
          <w:szCs w:val="22"/>
        </w:rPr>
        <w:t xml:space="preserve">. 2 odst. 7 </w:t>
      </w:r>
      <w:r w:rsidR="009977C9">
        <w:rPr>
          <w:rFonts w:cs="Arial"/>
          <w:b/>
          <w:szCs w:val="22"/>
        </w:rPr>
        <w:t>n</w:t>
      </w:r>
      <w:r w:rsidR="006E2FCB">
        <w:rPr>
          <w:rFonts w:cs="Arial"/>
          <w:b/>
          <w:szCs w:val="22"/>
        </w:rPr>
        <w:t xml:space="preserve">ařízení </w:t>
      </w:r>
      <w:r w:rsidRPr="00290F51">
        <w:rPr>
          <w:rFonts w:cs="Arial"/>
          <w:b/>
          <w:szCs w:val="22"/>
        </w:rPr>
        <w:t>Rady (ES) č. 1083/2006</w:t>
      </w:r>
      <w:r w:rsidR="009977C9">
        <w:rPr>
          <w:rFonts w:cs="Arial"/>
          <w:b/>
          <w:szCs w:val="22"/>
        </w:rPr>
        <w:t>)</w:t>
      </w:r>
      <w:r w:rsidRPr="00290F51">
        <w:rPr>
          <w:rFonts w:cs="Arial"/>
          <w:b/>
          <w:szCs w:val="22"/>
        </w:rPr>
        <w:t xml:space="preserve"> ve výši až 1 445 000 Kč.</w:t>
      </w:r>
      <w:r w:rsidR="00ED7932">
        <w:rPr>
          <w:rStyle w:val="Znakapoznpodarou"/>
          <w:b/>
          <w:szCs w:val="22"/>
        </w:rPr>
        <w:footnoteReference w:id="9"/>
      </w:r>
      <w:r>
        <w:rPr>
          <w:rFonts w:cs="Arial"/>
          <w:b/>
          <w:szCs w:val="22"/>
        </w:rPr>
        <w:t xml:space="preserve"> </w:t>
      </w:r>
    </w:p>
    <w:p w:rsidR="003C4C53" w:rsidRDefault="003C4C53" w:rsidP="00305D42">
      <w:pPr>
        <w:spacing w:after="0"/>
        <w:rPr>
          <w:rFonts w:cs="Arial"/>
          <w:b/>
          <w:szCs w:val="22"/>
        </w:rPr>
      </w:pPr>
    </w:p>
    <w:p w:rsidR="00B62E57" w:rsidRDefault="001C7A50" w:rsidP="00305D42">
      <w:pPr>
        <w:spacing w:after="0"/>
        <w:rPr>
          <w:rFonts w:cs="Arial"/>
          <w:b/>
          <w:szCs w:val="22"/>
        </w:rPr>
      </w:pPr>
      <w:r w:rsidRPr="0083641C">
        <w:rPr>
          <w:b/>
        </w:rPr>
        <w:t>Č</w:t>
      </w:r>
      <w:r w:rsidR="00E2157E" w:rsidRPr="0083641C">
        <w:rPr>
          <w:b/>
        </w:rPr>
        <w:t>innosti</w:t>
      </w:r>
      <w:r w:rsidR="002055FA" w:rsidRPr="0083641C">
        <w:rPr>
          <w:b/>
        </w:rPr>
        <w:t xml:space="preserve"> a dokumentac</w:t>
      </w:r>
      <w:r w:rsidR="00071D31" w:rsidRPr="0083641C">
        <w:rPr>
          <w:b/>
        </w:rPr>
        <w:t>e</w:t>
      </w:r>
      <w:r w:rsidR="00E2157E" w:rsidRPr="0083641C">
        <w:rPr>
          <w:b/>
        </w:rPr>
        <w:t xml:space="preserve"> </w:t>
      </w:r>
      <w:r w:rsidR="00B344FE" w:rsidRPr="0083641C">
        <w:rPr>
          <w:b/>
        </w:rPr>
        <w:t xml:space="preserve">související </w:t>
      </w:r>
      <w:r w:rsidR="002C671F">
        <w:rPr>
          <w:b/>
        </w:rPr>
        <w:t>s </w:t>
      </w:r>
      <w:r w:rsidRPr="0083641C">
        <w:rPr>
          <w:b/>
        </w:rPr>
        <w:t xml:space="preserve">přípravou </w:t>
      </w:r>
      <w:r w:rsidR="00234755" w:rsidRPr="0083641C">
        <w:rPr>
          <w:b/>
        </w:rPr>
        <w:t xml:space="preserve">modulu </w:t>
      </w:r>
      <w:r w:rsidRPr="0083641C">
        <w:rPr>
          <w:b/>
        </w:rPr>
        <w:t>e-tržišť,</w:t>
      </w:r>
      <w:r w:rsidR="002C48E4">
        <w:rPr>
          <w:b/>
        </w:rPr>
        <w:t xml:space="preserve"> s</w:t>
      </w:r>
      <w:r w:rsidRPr="0083641C">
        <w:rPr>
          <w:b/>
        </w:rPr>
        <w:t> </w:t>
      </w:r>
      <w:r w:rsidR="00B61D78">
        <w:rPr>
          <w:b/>
        </w:rPr>
        <w:t>průběhem</w:t>
      </w:r>
      <w:r w:rsidR="00234755" w:rsidRPr="0083641C">
        <w:rPr>
          <w:b/>
        </w:rPr>
        <w:t xml:space="preserve"> </w:t>
      </w:r>
      <w:r w:rsidRPr="0083641C">
        <w:rPr>
          <w:b/>
        </w:rPr>
        <w:t xml:space="preserve">koncesního řízení a </w:t>
      </w:r>
      <w:r w:rsidR="00B344FE" w:rsidRPr="0083641C">
        <w:rPr>
          <w:b/>
        </w:rPr>
        <w:t>s následnou úpravou klíčové dokumentace</w:t>
      </w:r>
      <w:r w:rsidR="00071D31" w:rsidRPr="0083641C">
        <w:rPr>
          <w:b/>
        </w:rPr>
        <w:t xml:space="preserve"> byly zajištěny externě </w:t>
      </w:r>
      <w:r w:rsidR="00A144C7" w:rsidRPr="0083641C">
        <w:rPr>
          <w:b/>
        </w:rPr>
        <w:t xml:space="preserve">s náklady </w:t>
      </w:r>
      <w:r w:rsidR="00E2157E" w:rsidRPr="0083641C">
        <w:rPr>
          <w:b/>
        </w:rPr>
        <w:t>v</w:t>
      </w:r>
      <w:r w:rsidR="00071D31" w:rsidRPr="0083641C">
        <w:rPr>
          <w:b/>
        </w:rPr>
        <w:t>e</w:t>
      </w:r>
      <w:r w:rsidR="00B62E57" w:rsidRPr="0083641C">
        <w:rPr>
          <w:b/>
        </w:rPr>
        <w:t> </w:t>
      </w:r>
      <w:r w:rsidR="00071D31" w:rsidRPr="0083641C">
        <w:rPr>
          <w:b/>
        </w:rPr>
        <w:t>výši téměř 37 mil. Kč</w:t>
      </w:r>
      <w:r w:rsidR="00597CBC">
        <w:rPr>
          <w:b/>
        </w:rPr>
        <w:t xml:space="preserve"> vč. DPH</w:t>
      </w:r>
      <w:r w:rsidR="002C48E4">
        <w:rPr>
          <w:b/>
        </w:rPr>
        <w:t>.</w:t>
      </w:r>
      <w:r w:rsidR="00FA0051" w:rsidRPr="0083641C">
        <w:rPr>
          <w:rStyle w:val="Znakapoznpodarou"/>
          <w:b/>
        </w:rPr>
        <w:footnoteReference w:id="10"/>
      </w:r>
      <w:r w:rsidRPr="0083641C">
        <w:rPr>
          <w:b/>
        </w:rPr>
        <w:t xml:space="preserve"> </w:t>
      </w:r>
      <w:r w:rsidR="00FA0051" w:rsidRPr="002A78ED">
        <w:rPr>
          <w:rFonts w:cs="Arial"/>
          <w:b/>
          <w:szCs w:val="22"/>
        </w:rPr>
        <w:t>V</w:t>
      </w:r>
      <w:r w:rsidR="00FA0051">
        <w:rPr>
          <w:rFonts w:cs="Arial"/>
          <w:b/>
          <w:szCs w:val="22"/>
        </w:rPr>
        <w:t xml:space="preserve"> případě </w:t>
      </w:r>
      <w:r w:rsidR="00B62E57" w:rsidRPr="00805C9A">
        <w:rPr>
          <w:rFonts w:cs="Arial"/>
          <w:b/>
          <w:szCs w:val="22"/>
        </w:rPr>
        <w:t>smluv a</w:t>
      </w:r>
      <w:r w:rsidR="00FA0051">
        <w:rPr>
          <w:rFonts w:cs="Arial"/>
          <w:b/>
          <w:szCs w:val="22"/>
        </w:rPr>
        <w:t> </w:t>
      </w:r>
      <w:r w:rsidR="00B62E57" w:rsidRPr="00805C9A">
        <w:rPr>
          <w:rFonts w:cs="Arial"/>
          <w:b/>
          <w:szCs w:val="22"/>
        </w:rPr>
        <w:t xml:space="preserve">objednávek </w:t>
      </w:r>
      <w:r w:rsidR="00FA0051">
        <w:rPr>
          <w:rFonts w:cs="Arial"/>
          <w:b/>
          <w:szCs w:val="22"/>
        </w:rPr>
        <w:t xml:space="preserve">ve výši 32 mil. Kč </w:t>
      </w:r>
      <w:r w:rsidR="00597CBC">
        <w:rPr>
          <w:rFonts w:cs="Arial"/>
          <w:b/>
          <w:szCs w:val="22"/>
        </w:rPr>
        <w:t>vč.</w:t>
      </w:r>
      <w:r w:rsidR="00EB6920">
        <w:rPr>
          <w:rFonts w:cs="Arial"/>
          <w:b/>
          <w:szCs w:val="22"/>
        </w:rPr>
        <w:t> </w:t>
      </w:r>
      <w:r w:rsidR="00597CBC">
        <w:rPr>
          <w:rFonts w:cs="Arial"/>
          <w:b/>
          <w:szCs w:val="22"/>
        </w:rPr>
        <w:t xml:space="preserve">DPH </w:t>
      </w:r>
      <w:r w:rsidR="00FA0051">
        <w:rPr>
          <w:rFonts w:cs="Arial"/>
          <w:b/>
          <w:szCs w:val="22"/>
        </w:rPr>
        <w:t xml:space="preserve">vybraných ke kontrole </w:t>
      </w:r>
      <w:r w:rsidR="00B62E57" w:rsidRPr="00805C9A">
        <w:rPr>
          <w:rFonts w:cs="Arial"/>
          <w:b/>
          <w:szCs w:val="22"/>
        </w:rPr>
        <w:t>nebyly doklad</w:t>
      </w:r>
      <w:r w:rsidR="00A16A49">
        <w:rPr>
          <w:rFonts w:cs="Arial"/>
          <w:b/>
          <w:szCs w:val="22"/>
        </w:rPr>
        <w:t>y</w:t>
      </w:r>
      <w:r w:rsidR="00B62E57" w:rsidRPr="00805C9A">
        <w:rPr>
          <w:rFonts w:cs="Arial"/>
          <w:b/>
          <w:szCs w:val="22"/>
        </w:rPr>
        <w:t xml:space="preserve"> o</w:t>
      </w:r>
      <w:r w:rsidR="00FA0051">
        <w:rPr>
          <w:rFonts w:cs="Arial"/>
          <w:b/>
          <w:szCs w:val="22"/>
        </w:rPr>
        <w:t> </w:t>
      </w:r>
      <w:r w:rsidR="00B62E57" w:rsidRPr="00805C9A">
        <w:rPr>
          <w:rFonts w:cs="Arial"/>
          <w:b/>
          <w:szCs w:val="22"/>
        </w:rPr>
        <w:t xml:space="preserve">provedení finanční kontroly </w:t>
      </w:r>
      <w:r w:rsidR="00A16A49">
        <w:rPr>
          <w:rFonts w:cs="Arial"/>
          <w:b/>
          <w:szCs w:val="22"/>
        </w:rPr>
        <w:t>podepsány oprávněnými zaměstnanci</w:t>
      </w:r>
      <w:r w:rsidR="00B62E57" w:rsidRPr="00805C9A">
        <w:rPr>
          <w:rFonts w:cs="Arial"/>
          <w:b/>
          <w:szCs w:val="22"/>
        </w:rPr>
        <w:t xml:space="preserve">. </w:t>
      </w:r>
      <w:r w:rsidR="00FA0051">
        <w:rPr>
          <w:rFonts w:cs="Arial"/>
          <w:b/>
          <w:szCs w:val="22"/>
        </w:rPr>
        <w:t>MMR tak p</w:t>
      </w:r>
      <w:r w:rsidR="00FA0051" w:rsidRPr="00805C9A">
        <w:rPr>
          <w:rFonts w:cs="Arial"/>
          <w:b/>
          <w:szCs w:val="22"/>
        </w:rPr>
        <w:t>ři výkonu předběžné říd</w:t>
      </w:r>
      <w:r w:rsidR="002C48E4">
        <w:rPr>
          <w:rFonts w:cs="Arial"/>
          <w:b/>
          <w:szCs w:val="22"/>
        </w:rPr>
        <w:t>i</w:t>
      </w:r>
      <w:r w:rsidR="00FA0051" w:rsidRPr="00805C9A">
        <w:rPr>
          <w:rFonts w:cs="Arial"/>
          <w:b/>
          <w:szCs w:val="22"/>
        </w:rPr>
        <w:t xml:space="preserve">cí kontroly před </w:t>
      </w:r>
      <w:r w:rsidR="002C48E4">
        <w:rPr>
          <w:rFonts w:cs="Arial"/>
          <w:b/>
          <w:szCs w:val="22"/>
        </w:rPr>
        <w:t>vznikem závazku i</w:t>
      </w:r>
      <w:r w:rsidR="00FA0051" w:rsidRPr="00805C9A">
        <w:rPr>
          <w:rFonts w:cs="Arial"/>
          <w:b/>
          <w:szCs w:val="22"/>
        </w:rPr>
        <w:t xml:space="preserve"> po </w:t>
      </w:r>
      <w:r w:rsidR="002C48E4">
        <w:rPr>
          <w:rFonts w:cs="Arial"/>
          <w:b/>
          <w:szCs w:val="22"/>
        </w:rPr>
        <w:t xml:space="preserve">jeho </w:t>
      </w:r>
      <w:r w:rsidR="00FA0051" w:rsidRPr="00805C9A">
        <w:rPr>
          <w:rFonts w:cs="Arial"/>
          <w:b/>
          <w:szCs w:val="22"/>
        </w:rPr>
        <w:t xml:space="preserve">vzniku nepostupovalo dle zákona č. 320/2001 Sb., o finanční kontrole </w:t>
      </w:r>
      <w:r w:rsidR="002C48E4">
        <w:rPr>
          <w:rFonts w:cs="Arial"/>
          <w:b/>
          <w:szCs w:val="22"/>
        </w:rPr>
        <w:t>ve veřejné správě</w:t>
      </w:r>
      <w:r w:rsidR="007767A8">
        <w:rPr>
          <w:rFonts w:cs="Arial"/>
          <w:b/>
          <w:szCs w:val="22"/>
        </w:rPr>
        <w:t xml:space="preserve"> </w:t>
      </w:r>
      <w:r w:rsidR="007767A8" w:rsidRPr="007767A8">
        <w:rPr>
          <w:rFonts w:cs="Arial"/>
          <w:b/>
          <w:szCs w:val="22"/>
        </w:rPr>
        <w:t>a o změně některých zákonů</w:t>
      </w:r>
      <w:r w:rsidR="002C48E4">
        <w:rPr>
          <w:rFonts w:cs="Arial"/>
          <w:b/>
          <w:szCs w:val="22"/>
        </w:rPr>
        <w:t xml:space="preserve">, ani dle </w:t>
      </w:r>
      <w:r w:rsidR="00FA0051" w:rsidRPr="00805C9A">
        <w:rPr>
          <w:rFonts w:cs="Arial"/>
          <w:b/>
          <w:szCs w:val="22"/>
        </w:rPr>
        <w:t>prováděcí vyhlášky</w:t>
      </w:r>
      <w:r w:rsidR="00401292">
        <w:rPr>
          <w:rFonts w:cs="Arial"/>
          <w:b/>
          <w:szCs w:val="22"/>
        </w:rPr>
        <w:t xml:space="preserve"> č.</w:t>
      </w:r>
      <w:r w:rsidR="007767A8">
        <w:rPr>
          <w:rFonts w:cs="Arial"/>
          <w:b/>
          <w:szCs w:val="22"/>
        </w:rPr>
        <w:t> </w:t>
      </w:r>
      <w:r w:rsidR="00401292">
        <w:rPr>
          <w:rFonts w:cs="Arial"/>
          <w:b/>
          <w:szCs w:val="22"/>
        </w:rPr>
        <w:t>416/2004 Sb.</w:t>
      </w:r>
    </w:p>
    <w:p w:rsidR="003C4C53" w:rsidRPr="00805C9A" w:rsidRDefault="003C4C53" w:rsidP="00305D42">
      <w:pPr>
        <w:spacing w:after="0"/>
        <w:rPr>
          <w:rFonts w:cs="Arial"/>
          <w:b/>
          <w:szCs w:val="22"/>
        </w:rPr>
      </w:pPr>
    </w:p>
    <w:p w:rsidR="003258C5" w:rsidRDefault="00814E60" w:rsidP="00305D42">
      <w:pPr>
        <w:pStyle w:val="Nadpis1"/>
        <w:keepNext w:val="0"/>
        <w:keepLines w:val="0"/>
        <w:spacing w:before="0"/>
      </w:pPr>
      <w:r>
        <w:t xml:space="preserve">4. </w:t>
      </w:r>
      <w:r w:rsidR="007C4D26">
        <w:t xml:space="preserve">Koncesní řízení </w:t>
      </w:r>
      <w:r w:rsidR="00B83829">
        <w:t xml:space="preserve">a </w:t>
      </w:r>
      <w:r w:rsidR="007C4D26" w:rsidRPr="003865EC">
        <w:t>výkonové</w:t>
      </w:r>
      <w:r w:rsidR="007C4D26">
        <w:t xml:space="preserve"> platby provozovatelům e-tržišť</w:t>
      </w:r>
    </w:p>
    <w:p w:rsidR="006F417C" w:rsidRDefault="0054573C" w:rsidP="00305D42">
      <w:pPr>
        <w:spacing w:after="0"/>
        <w:rPr>
          <w:rFonts w:cs="Arial"/>
          <w:szCs w:val="22"/>
        </w:rPr>
      </w:pPr>
      <w:r>
        <w:t xml:space="preserve">Dokument </w:t>
      </w:r>
      <w:r w:rsidR="006F417C" w:rsidRPr="0054573C">
        <w:rPr>
          <w:i/>
        </w:rPr>
        <w:t>Návrh modelu fungování NIPEZ</w:t>
      </w:r>
      <w:r w:rsidR="006F417C">
        <w:t xml:space="preserve">, který vycházel ze </w:t>
      </w:r>
      <w:r w:rsidR="002C48E4">
        <w:t>s</w:t>
      </w:r>
      <w:r w:rsidR="006F417C">
        <w:t xml:space="preserve">tudie proveditelnosti, předpokládal pět </w:t>
      </w:r>
      <w:r w:rsidR="006F417C" w:rsidRPr="001928F8">
        <w:t>provozovatelů e-tržišť</w:t>
      </w:r>
      <w:r w:rsidR="006F417C">
        <w:t xml:space="preserve">, kteří měli být vybráni v koncesním řízení. </w:t>
      </w:r>
      <w:r w:rsidR="006F417C">
        <w:rPr>
          <w:rFonts w:cs="Arial"/>
          <w:szCs w:val="22"/>
        </w:rPr>
        <w:t>P</w:t>
      </w:r>
      <w:r w:rsidR="006F417C" w:rsidRPr="00443EDF">
        <w:rPr>
          <w:rFonts w:cs="Arial"/>
          <w:szCs w:val="22"/>
        </w:rPr>
        <w:t xml:space="preserve">ředmětem koncese bylo </w:t>
      </w:r>
      <w:r w:rsidR="006F417C">
        <w:rPr>
          <w:rFonts w:cs="Arial"/>
          <w:szCs w:val="22"/>
        </w:rPr>
        <w:t>p</w:t>
      </w:r>
      <w:r w:rsidR="006F417C" w:rsidRPr="00443EDF">
        <w:rPr>
          <w:rFonts w:cs="Arial"/>
          <w:szCs w:val="22"/>
        </w:rPr>
        <w:t xml:space="preserve">odle </w:t>
      </w:r>
      <w:r w:rsidR="007767A8" w:rsidRPr="00305D42">
        <w:rPr>
          <w:rFonts w:cs="Arial"/>
          <w:szCs w:val="22"/>
        </w:rPr>
        <w:t>k</w:t>
      </w:r>
      <w:r w:rsidR="006F417C" w:rsidRPr="00305D42">
        <w:rPr>
          <w:rFonts w:cs="Arial"/>
          <w:szCs w:val="22"/>
        </w:rPr>
        <w:t>oncesní dokumentace</w:t>
      </w:r>
      <w:r w:rsidR="006F417C" w:rsidRPr="00443EDF">
        <w:rPr>
          <w:rFonts w:cs="Arial"/>
          <w:szCs w:val="22"/>
        </w:rPr>
        <w:t xml:space="preserve"> ze dne 30. </w:t>
      </w:r>
      <w:r w:rsidR="00D836C9">
        <w:rPr>
          <w:rFonts w:cs="Arial"/>
          <w:szCs w:val="22"/>
        </w:rPr>
        <w:t>listopadu</w:t>
      </w:r>
      <w:r w:rsidR="006F417C" w:rsidRPr="00443EDF">
        <w:rPr>
          <w:rFonts w:cs="Arial"/>
          <w:szCs w:val="22"/>
        </w:rPr>
        <w:t xml:space="preserve"> 2010 </w:t>
      </w:r>
      <w:r w:rsidR="006F417C" w:rsidRPr="00705E3D">
        <w:rPr>
          <w:rFonts w:cs="Arial"/>
          <w:szCs w:val="22"/>
        </w:rPr>
        <w:t xml:space="preserve">vytvoření systému </w:t>
      </w:r>
      <w:r w:rsidR="007767A8">
        <w:rPr>
          <w:rFonts w:cs="Arial"/>
          <w:szCs w:val="22"/>
        </w:rPr>
        <w:br/>
      </w:r>
      <w:r w:rsidR="006F417C" w:rsidRPr="00705E3D">
        <w:rPr>
          <w:rFonts w:cs="Arial"/>
          <w:szCs w:val="22"/>
        </w:rPr>
        <w:t>e-tržiště provozovatel</w:t>
      </w:r>
      <w:r w:rsidR="007767A8">
        <w:rPr>
          <w:rFonts w:cs="Arial"/>
          <w:szCs w:val="22"/>
        </w:rPr>
        <w:t>em</w:t>
      </w:r>
      <w:r w:rsidR="006F417C">
        <w:rPr>
          <w:rFonts w:cs="Arial"/>
          <w:szCs w:val="22"/>
        </w:rPr>
        <w:t xml:space="preserve"> (fáze 1), </w:t>
      </w:r>
      <w:r w:rsidR="00B61D78">
        <w:rPr>
          <w:rFonts w:cs="Arial"/>
          <w:szCs w:val="22"/>
        </w:rPr>
        <w:t>provedení</w:t>
      </w:r>
      <w:r w:rsidR="006F417C" w:rsidRPr="00705E3D">
        <w:rPr>
          <w:rFonts w:cs="Arial"/>
          <w:szCs w:val="22"/>
        </w:rPr>
        <w:t xml:space="preserve"> akceptačních testů před spuštěním e-tržiště do běžného provozu</w:t>
      </w:r>
      <w:r w:rsidR="00D836C9">
        <w:rPr>
          <w:rFonts w:cs="Arial"/>
          <w:szCs w:val="22"/>
        </w:rPr>
        <w:t xml:space="preserve"> (fáze 2) a </w:t>
      </w:r>
      <w:r w:rsidR="006F417C" w:rsidRPr="00705E3D">
        <w:rPr>
          <w:rFonts w:cs="Arial"/>
          <w:szCs w:val="22"/>
        </w:rPr>
        <w:t>zajištění běžného provozu e-tržiště</w:t>
      </w:r>
      <w:r w:rsidR="006F417C">
        <w:rPr>
          <w:rFonts w:cs="Arial"/>
          <w:szCs w:val="22"/>
        </w:rPr>
        <w:t xml:space="preserve"> (fáze 3), a to za dodržení podmínek stanovených </w:t>
      </w:r>
      <w:r w:rsidR="007767A8">
        <w:rPr>
          <w:rFonts w:cs="Arial"/>
          <w:szCs w:val="22"/>
        </w:rPr>
        <w:t>v </w:t>
      </w:r>
      <w:r w:rsidR="007767A8" w:rsidRPr="00305D42">
        <w:rPr>
          <w:rFonts w:cs="Arial"/>
          <w:szCs w:val="22"/>
        </w:rPr>
        <w:t>t</w:t>
      </w:r>
      <w:r w:rsidR="006F417C" w:rsidRPr="00305D42">
        <w:rPr>
          <w:rFonts w:cs="Arial"/>
          <w:szCs w:val="22"/>
        </w:rPr>
        <w:t>echnick</w:t>
      </w:r>
      <w:r w:rsidR="007767A8" w:rsidRPr="00305D42">
        <w:rPr>
          <w:rFonts w:cs="Arial"/>
          <w:szCs w:val="22"/>
        </w:rPr>
        <w:t>é</w:t>
      </w:r>
      <w:r w:rsidR="006F417C" w:rsidRPr="00305D42">
        <w:rPr>
          <w:rFonts w:cs="Arial"/>
          <w:szCs w:val="22"/>
        </w:rPr>
        <w:t xml:space="preserve"> specifikac</w:t>
      </w:r>
      <w:r w:rsidR="007767A8" w:rsidRPr="00305D42">
        <w:rPr>
          <w:rFonts w:cs="Arial"/>
          <w:szCs w:val="22"/>
        </w:rPr>
        <w:t>i</w:t>
      </w:r>
      <w:r w:rsidR="006F417C">
        <w:rPr>
          <w:rFonts w:cs="Arial"/>
          <w:szCs w:val="22"/>
        </w:rPr>
        <w:t>.</w:t>
      </w:r>
    </w:p>
    <w:p w:rsidR="003C4C53" w:rsidRDefault="003C4C53" w:rsidP="00305D42">
      <w:pPr>
        <w:spacing w:after="0"/>
        <w:rPr>
          <w:rFonts w:cs="Arial"/>
          <w:szCs w:val="22"/>
        </w:rPr>
      </w:pPr>
    </w:p>
    <w:p w:rsidR="001C43BB" w:rsidRDefault="001C43BB" w:rsidP="00305D42">
      <w:pPr>
        <w:spacing w:after="0"/>
        <w:rPr>
          <w:rFonts w:cs="Arial"/>
          <w:szCs w:val="22"/>
        </w:rPr>
      </w:pPr>
      <w:r>
        <w:t xml:space="preserve">Dne 21. </w:t>
      </w:r>
      <w:r w:rsidR="00D836C9">
        <w:t>ledna</w:t>
      </w:r>
      <w:r>
        <w:t xml:space="preserve"> 2011 uveřejnilo MMR ve věstníku veřejných </w:t>
      </w:r>
      <w:r w:rsidRPr="00443EDF">
        <w:rPr>
          <w:rFonts w:cs="Arial"/>
        </w:rPr>
        <w:t xml:space="preserve">zakázek </w:t>
      </w:r>
      <w:r>
        <w:rPr>
          <w:rFonts w:cs="Arial"/>
        </w:rPr>
        <w:t xml:space="preserve">oznámení o </w:t>
      </w:r>
      <w:r w:rsidRPr="00443EDF">
        <w:rPr>
          <w:rFonts w:cs="Arial"/>
        </w:rPr>
        <w:t>koncesní</w:t>
      </w:r>
      <w:r>
        <w:rPr>
          <w:rFonts w:cs="Arial"/>
        </w:rPr>
        <w:t>m</w:t>
      </w:r>
      <w:r w:rsidRPr="00443EDF">
        <w:rPr>
          <w:rFonts w:cs="Arial"/>
        </w:rPr>
        <w:t xml:space="preserve"> řízení </w:t>
      </w:r>
      <w:r w:rsidRPr="008D6AB7">
        <w:rPr>
          <w:rFonts w:cs="Arial"/>
          <w:i/>
        </w:rPr>
        <w:t>Výběr provozovatelů, kteří zajistí vytvoření a</w:t>
      </w:r>
      <w:r w:rsidR="00BC3C3C" w:rsidRPr="008D6AB7">
        <w:rPr>
          <w:rFonts w:cs="Arial"/>
          <w:i/>
        </w:rPr>
        <w:t xml:space="preserve"> </w:t>
      </w:r>
      <w:r w:rsidRPr="008D6AB7">
        <w:rPr>
          <w:rFonts w:cs="Arial"/>
          <w:i/>
        </w:rPr>
        <w:t>provoz elektronických tržišť veřejné správy</w:t>
      </w:r>
      <w:r w:rsidRPr="00443EDF">
        <w:rPr>
          <w:rFonts w:cs="Arial"/>
        </w:rPr>
        <w:t xml:space="preserve">. </w:t>
      </w:r>
      <w:r>
        <w:rPr>
          <w:rFonts w:cs="Arial"/>
        </w:rPr>
        <w:lastRenderedPageBreak/>
        <w:t>K</w:t>
      </w:r>
      <w:r w:rsidRPr="00443EDF">
        <w:rPr>
          <w:rFonts w:cs="Arial"/>
        </w:rPr>
        <w:t xml:space="preserve">oncesní smlouva </w:t>
      </w:r>
      <w:r>
        <w:rPr>
          <w:rFonts w:cs="Arial"/>
        </w:rPr>
        <w:t>měla</w:t>
      </w:r>
      <w:r w:rsidRPr="00443EDF">
        <w:rPr>
          <w:rFonts w:cs="Arial"/>
        </w:rPr>
        <w:t xml:space="preserve"> </w:t>
      </w:r>
      <w:r>
        <w:rPr>
          <w:rFonts w:cs="Arial"/>
        </w:rPr>
        <w:t xml:space="preserve">být </w:t>
      </w:r>
      <w:r w:rsidRPr="00443EDF">
        <w:rPr>
          <w:rFonts w:cs="Arial"/>
          <w:szCs w:val="22"/>
        </w:rPr>
        <w:t xml:space="preserve">uzavřena </w:t>
      </w:r>
      <w:r w:rsidR="00BC3C3C">
        <w:t>nejvýše</w:t>
      </w:r>
      <w:r w:rsidR="00BC3C3C" w:rsidRPr="00443EDF">
        <w:rPr>
          <w:rFonts w:cs="Arial"/>
          <w:szCs w:val="22"/>
        </w:rPr>
        <w:t xml:space="preserve"> </w:t>
      </w:r>
      <w:r w:rsidR="002C671F">
        <w:rPr>
          <w:rFonts w:cs="Arial"/>
          <w:szCs w:val="22"/>
        </w:rPr>
        <w:t>s </w:t>
      </w:r>
      <w:r w:rsidRPr="00443EDF">
        <w:rPr>
          <w:rFonts w:cs="Arial"/>
          <w:szCs w:val="22"/>
        </w:rPr>
        <w:t xml:space="preserve">pěti koncesionáři </w:t>
      </w:r>
      <w:r w:rsidR="00C351EA">
        <w:rPr>
          <w:rFonts w:cs="Arial"/>
          <w:szCs w:val="22"/>
        </w:rPr>
        <w:t xml:space="preserve">na dobu pěti let </w:t>
      </w:r>
      <w:r w:rsidR="002C671F">
        <w:rPr>
          <w:rFonts w:cs="Arial"/>
          <w:szCs w:val="22"/>
        </w:rPr>
        <w:t>s </w:t>
      </w:r>
      <w:r w:rsidR="00C351EA">
        <w:rPr>
          <w:rFonts w:cs="Arial"/>
          <w:szCs w:val="22"/>
        </w:rPr>
        <w:t>účinností od </w:t>
      </w:r>
      <w:r w:rsidRPr="00443EDF">
        <w:rPr>
          <w:rFonts w:cs="Arial"/>
          <w:szCs w:val="22"/>
        </w:rPr>
        <w:t xml:space="preserve">1. </w:t>
      </w:r>
      <w:r w:rsidR="00D836C9">
        <w:rPr>
          <w:rFonts w:cs="Arial"/>
          <w:szCs w:val="22"/>
        </w:rPr>
        <w:t>ledna</w:t>
      </w:r>
      <w:r w:rsidRPr="00443EDF">
        <w:rPr>
          <w:rFonts w:cs="Arial"/>
          <w:szCs w:val="22"/>
        </w:rPr>
        <w:t xml:space="preserve"> 2012 a ukončením do 31. </w:t>
      </w:r>
      <w:r w:rsidR="00D836C9">
        <w:rPr>
          <w:rFonts w:cs="Arial"/>
          <w:szCs w:val="22"/>
        </w:rPr>
        <w:t>prosince</w:t>
      </w:r>
      <w:r w:rsidRPr="00443EDF">
        <w:rPr>
          <w:rFonts w:cs="Arial"/>
          <w:szCs w:val="22"/>
        </w:rPr>
        <w:t xml:space="preserve"> 2016.</w:t>
      </w:r>
    </w:p>
    <w:p w:rsidR="003C4C53" w:rsidRPr="00443EDF" w:rsidRDefault="003C4C53" w:rsidP="00305D42">
      <w:pPr>
        <w:spacing w:after="0"/>
        <w:rPr>
          <w:rFonts w:cs="Arial"/>
          <w:szCs w:val="22"/>
        </w:rPr>
      </w:pPr>
    </w:p>
    <w:p w:rsidR="001C43BB" w:rsidRDefault="00E64171" w:rsidP="00305D42">
      <w:pPr>
        <w:spacing w:after="0"/>
        <w:rPr>
          <w:rFonts w:cs="Arial"/>
          <w:szCs w:val="22"/>
        </w:rPr>
      </w:pPr>
      <w:r>
        <w:rPr>
          <w:rFonts w:cs="Arial"/>
          <w:szCs w:val="22"/>
        </w:rPr>
        <w:t>Důležitým</w:t>
      </w:r>
      <w:r w:rsidR="00542F31" w:rsidRPr="004D0E8F">
        <w:rPr>
          <w:rFonts w:cs="Arial"/>
          <w:szCs w:val="22"/>
        </w:rPr>
        <w:t xml:space="preserve"> krokem </w:t>
      </w:r>
      <w:r>
        <w:rPr>
          <w:rFonts w:cs="Arial"/>
          <w:szCs w:val="22"/>
        </w:rPr>
        <w:t xml:space="preserve">v průběhu koncesního řízení </w:t>
      </w:r>
      <w:r w:rsidR="00542F31" w:rsidRPr="004D0E8F">
        <w:rPr>
          <w:rFonts w:cs="Arial"/>
          <w:szCs w:val="22"/>
        </w:rPr>
        <w:t xml:space="preserve">bylo nastavení </w:t>
      </w:r>
      <w:r w:rsidR="00261FB1">
        <w:rPr>
          <w:rFonts w:cs="Arial"/>
          <w:szCs w:val="22"/>
        </w:rPr>
        <w:t xml:space="preserve">jednotného </w:t>
      </w:r>
      <w:r w:rsidR="00712024">
        <w:rPr>
          <w:rFonts w:cs="Arial"/>
          <w:szCs w:val="22"/>
        </w:rPr>
        <w:t>c</w:t>
      </w:r>
      <w:r w:rsidR="00542F31" w:rsidRPr="004D0E8F">
        <w:rPr>
          <w:rFonts w:cs="Arial"/>
          <w:szCs w:val="22"/>
        </w:rPr>
        <w:t>eníku za</w:t>
      </w:r>
      <w:r w:rsidR="00982F10">
        <w:rPr>
          <w:rFonts w:cs="Arial"/>
          <w:szCs w:val="22"/>
        </w:rPr>
        <w:t xml:space="preserve"> </w:t>
      </w:r>
      <w:r w:rsidR="00542F31" w:rsidRPr="004D0E8F">
        <w:rPr>
          <w:rFonts w:cs="Arial"/>
          <w:szCs w:val="22"/>
        </w:rPr>
        <w:t xml:space="preserve">poskytování </w:t>
      </w:r>
      <w:r w:rsidR="00712024">
        <w:rPr>
          <w:rFonts w:cs="Arial"/>
          <w:szCs w:val="22"/>
        </w:rPr>
        <w:t>z</w:t>
      </w:r>
      <w:r w:rsidR="00542F31" w:rsidRPr="004D0E8F">
        <w:rPr>
          <w:rFonts w:cs="Arial"/>
          <w:szCs w:val="22"/>
        </w:rPr>
        <w:t>ákladních služeb (d</w:t>
      </w:r>
      <w:r w:rsidR="00542F31">
        <w:rPr>
          <w:rFonts w:cs="Arial"/>
          <w:szCs w:val="22"/>
        </w:rPr>
        <w:t>ále jen „Ceník</w:t>
      </w:r>
      <w:r w:rsidR="00542F31" w:rsidRPr="004D0E8F">
        <w:rPr>
          <w:rFonts w:cs="Arial"/>
          <w:szCs w:val="22"/>
        </w:rPr>
        <w:t>“)</w:t>
      </w:r>
      <w:r w:rsidR="00B12CBA">
        <w:rPr>
          <w:rFonts w:cs="Arial"/>
          <w:szCs w:val="22"/>
        </w:rPr>
        <w:t xml:space="preserve"> z nabídek od vybraných pěti uchazečů. Tento Ceník se následně stal součástí </w:t>
      </w:r>
      <w:r w:rsidR="00712024">
        <w:rPr>
          <w:rFonts w:cs="Arial"/>
          <w:szCs w:val="22"/>
        </w:rPr>
        <w:t>k</w:t>
      </w:r>
      <w:r w:rsidR="00B12CBA">
        <w:rPr>
          <w:rFonts w:cs="Arial"/>
          <w:szCs w:val="22"/>
        </w:rPr>
        <w:t>oncesní smlouvy a slouží</w:t>
      </w:r>
      <w:r w:rsidR="00261FB1">
        <w:rPr>
          <w:rFonts w:cs="Arial"/>
          <w:szCs w:val="22"/>
        </w:rPr>
        <w:t xml:space="preserve"> pro výpočet plateb za zakázky přes e-tržiště</w:t>
      </w:r>
      <w:r w:rsidR="00852F5A">
        <w:rPr>
          <w:rFonts w:cs="Arial"/>
          <w:szCs w:val="22"/>
        </w:rPr>
        <w:t>, u kterých byla uzavřena smlouva</w:t>
      </w:r>
      <w:r w:rsidR="000F756C">
        <w:rPr>
          <w:rFonts w:cs="Arial"/>
          <w:szCs w:val="22"/>
        </w:rPr>
        <w:t>, tzv. zadané zakázky</w:t>
      </w:r>
      <w:r w:rsidR="001C60B7">
        <w:rPr>
          <w:rFonts w:cs="Arial"/>
          <w:szCs w:val="22"/>
        </w:rPr>
        <w:t>.</w:t>
      </w:r>
      <w:r w:rsidR="00542F31">
        <w:rPr>
          <w:rFonts w:cs="Arial"/>
          <w:szCs w:val="22"/>
        </w:rPr>
        <w:t xml:space="preserve"> </w:t>
      </w:r>
      <w:r w:rsidR="00542F31" w:rsidRPr="002579CF">
        <w:rPr>
          <w:rFonts w:cs="Arial"/>
          <w:szCs w:val="22"/>
        </w:rPr>
        <w:t xml:space="preserve">MMR </w:t>
      </w:r>
      <w:r w:rsidR="001C60B7">
        <w:rPr>
          <w:rFonts w:cs="Arial"/>
          <w:szCs w:val="22"/>
        </w:rPr>
        <w:t xml:space="preserve">však do výpočtu </w:t>
      </w:r>
      <w:r w:rsidR="00526BF6">
        <w:rPr>
          <w:rFonts w:cs="Arial"/>
          <w:szCs w:val="22"/>
        </w:rPr>
        <w:t>šesti položek (z </w:t>
      </w:r>
      <w:r w:rsidR="00031C48">
        <w:rPr>
          <w:rFonts w:cs="Arial"/>
          <w:szCs w:val="22"/>
        </w:rPr>
        <w:t xml:space="preserve">celkových jedenácti) </w:t>
      </w:r>
      <w:r w:rsidR="00542F31" w:rsidRPr="002579CF">
        <w:rPr>
          <w:rFonts w:cs="Arial"/>
          <w:szCs w:val="22"/>
        </w:rPr>
        <w:t>nez</w:t>
      </w:r>
      <w:r w:rsidR="00542F31">
        <w:rPr>
          <w:rFonts w:cs="Arial"/>
          <w:szCs w:val="22"/>
        </w:rPr>
        <w:t>apočetlo</w:t>
      </w:r>
      <w:r w:rsidR="00542F31" w:rsidRPr="002579CF">
        <w:rPr>
          <w:rFonts w:cs="Arial"/>
          <w:szCs w:val="22"/>
        </w:rPr>
        <w:t xml:space="preserve"> </w:t>
      </w:r>
      <w:r w:rsidR="00542F31">
        <w:rPr>
          <w:rFonts w:cs="Arial"/>
          <w:szCs w:val="22"/>
        </w:rPr>
        <w:t xml:space="preserve">hodnoty z nabídky jednoho uchazeče </w:t>
      </w:r>
      <w:r w:rsidR="002C671F">
        <w:rPr>
          <w:rFonts w:cs="Arial"/>
          <w:szCs w:val="22"/>
        </w:rPr>
        <w:t>s </w:t>
      </w:r>
      <w:r w:rsidR="00542F31">
        <w:rPr>
          <w:rFonts w:cs="Arial"/>
          <w:szCs w:val="22"/>
        </w:rPr>
        <w:t xml:space="preserve">odůvodněním, že </w:t>
      </w:r>
      <w:r w:rsidR="00511CF7">
        <w:rPr>
          <w:rFonts w:cs="Arial"/>
          <w:szCs w:val="22"/>
        </w:rPr>
        <w:t>je</w:t>
      </w:r>
      <w:r w:rsidR="00542F31" w:rsidRPr="002579CF">
        <w:rPr>
          <w:rFonts w:cs="Arial"/>
          <w:szCs w:val="22"/>
        </w:rPr>
        <w:t xml:space="preserve"> </w:t>
      </w:r>
      <w:r w:rsidR="00542F31">
        <w:rPr>
          <w:rFonts w:cs="Arial"/>
          <w:szCs w:val="22"/>
        </w:rPr>
        <w:t>shled</w:t>
      </w:r>
      <w:r w:rsidR="00511CF7">
        <w:rPr>
          <w:rFonts w:cs="Arial"/>
          <w:szCs w:val="22"/>
        </w:rPr>
        <w:t>alo</w:t>
      </w:r>
      <w:r w:rsidR="00542F31">
        <w:rPr>
          <w:rFonts w:cs="Arial"/>
          <w:szCs w:val="22"/>
        </w:rPr>
        <w:t xml:space="preserve"> </w:t>
      </w:r>
      <w:r w:rsidR="00031C48">
        <w:rPr>
          <w:rFonts w:cs="Arial"/>
          <w:szCs w:val="22"/>
        </w:rPr>
        <w:t>(</w:t>
      </w:r>
      <w:r w:rsidR="00031C48" w:rsidRPr="002579CF">
        <w:rPr>
          <w:rFonts w:cs="Arial"/>
          <w:szCs w:val="22"/>
        </w:rPr>
        <w:t>MMR</w:t>
      </w:r>
      <w:r w:rsidR="00031C48">
        <w:rPr>
          <w:rFonts w:cs="Arial"/>
          <w:szCs w:val="22"/>
        </w:rPr>
        <w:t xml:space="preserve">) </w:t>
      </w:r>
      <w:r w:rsidR="00542F31">
        <w:rPr>
          <w:rFonts w:cs="Arial"/>
          <w:szCs w:val="22"/>
        </w:rPr>
        <w:t>jako mimořádně nízké ve</w:t>
      </w:r>
      <w:r w:rsidR="00031C48">
        <w:rPr>
          <w:rFonts w:cs="Arial"/>
          <w:szCs w:val="22"/>
        </w:rPr>
        <w:t xml:space="preserve"> </w:t>
      </w:r>
      <w:r w:rsidR="00542F31">
        <w:rPr>
          <w:rFonts w:cs="Arial"/>
          <w:szCs w:val="22"/>
        </w:rPr>
        <w:t>smyslu § 77 zákona o VZ</w:t>
      </w:r>
      <w:r w:rsidR="00B12CBA">
        <w:rPr>
          <w:rFonts w:cs="Arial"/>
          <w:szCs w:val="22"/>
        </w:rPr>
        <w:t>, ačkoliv</w:t>
      </w:r>
      <w:r w:rsidR="00B12CBA" w:rsidRPr="00B12CBA">
        <w:rPr>
          <w:rFonts w:cs="Arial"/>
          <w:szCs w:val="22"/>
        </w:rPr>
        <w:t xml:space="preserve"> </w:t>
      </w:r>
      <w:r w:rsidR="00B12CBA">
        <w:rPr>
          <w:rFonts w:cs="Arial"/>
          <w:szCs w:val="22"/>
        </w:rPr>
        <w:t>hodnot</w:t>
      </w:r>
      <w:r w:rsidR="00031C48">
        <w:rPr>
          <w:rFonts w:cs="Arial"/>
          <w:szCs w:val="22"/>
        </w:rPr>
        <w:t>i</w:t>
      </w:r>
      <w:r w:rsidR="00B12CBA">
        <w:rPr>
          <w:rFonts w:cs="Arial"/>
          <w:szCs w:val="22"/>
        </w:rPr>
        <w:t>cí komise nabídku tohoto uchazeče jako mimořádně nízkou neshledala</w:t>
      </w:r>
      <w:r w:rsidR="00AA1B0C">
        <w:rPr>
          <w:rFonts w:cs="Arial"/>
          <w:szCs w:val="22"/>
        </w:rPr>
        <w:t xml:space="preserve">. </w:t>
      </w:r>
      <w:r w:rsidR="0027609C">
        <w:rPr>
          <w:rFonts w:cs="Arial"/>
          <w:szCs w:val="22"/>
        </w:rPr>
        <w:t>Tímto postupem MMR u </w:t>
      </w:r>
      <w:r w:rsidR="00511CF7">
        <w:rPr>
          <w:rFonts w:cs="Arial"/>
          <w:szCs w:val="22"/>
        </w:rPr>
        <w:t>uvedených položek stanovilo vyšší ceny</w:t>
      </w:r>
      <w:r w:rsidR="00031C48">
        <w:rPr>
          <w:rFonts w:cs="Arial"/>
          <w:szCs w:val="22"/>
        </w:rPr>
        <w:t>,</w:t>
      </w:r>
      <w:r w:rsidR="00511CF7">
        <w:rPr>
          <w:rFonts w:cs="Arial"/>
          <w:szCs w:val="22"/>
        </w:rPr>
        <w:t xml:space="preserve"> než </w:t>
      </w:r>
      <w:r w:rsidR="00031C48">
        <w:rPr>
          <w:rFonts w:cs="Arial"/>
          <w:szCs w:val="22"/>
        </w:rPr>
        <w:t xml:space="preserve">by tomu bylo </w:t>
      </w:r>
      <w:r w:rsidR="00511CF7">
        <w:rPr>
          <w:rFonts w:cs="Arial"/>
          <w:szCs w:val="22"/>
        </w:rPr>
        <w:t>při započ</w:t>
      </w:r>
      <w:r w:rsidR="00DA5C02">
        <w:rPr>
          <w:rFonts w:cs="Arial"/>
          <w:szCs w:val="22"/>
        </w:rPr>
        <w:t>tení</w:t>
      </w:r>
      <w:r w:rsidR="00511CF7">
        <w:rPr>
          <w:rFonts w:cs="Arial"/>
          <w:szCs w:val="22"/>
        </w:rPr>
        <w:t xml:space="preserve"> nabídek všech vybraných uchazečů. Nejvyšší rozdíl byl zjištěn u položky </w:t>
      </w:r>
      <w:r w:rsidR="00511CF7" w:rsidRPr="008D6AB7">
        <w:rPr>
          <w:rFonts w:cs="Arial"/>
          <w:i/>
          <w:szCs w:val="22"/>
        </w:rPr>
        <w:t>zadání VZMR formou e-aukce</w:t>
      </w:r>
      <w:r w:rsidR="00511CF7">
        <w:rPr>
          <w:rFonts w:cs="Arial"/>
          <w:szCs w:val="22"/>
        </w:rPr>
        <w:t>, kte</w:t>
      </w:r>
      <w:r w:rsidR="00C351EA">
        <w:rPr>
          <w:rFonts w:cs="Arial"/>
          <w:szCs w:val="22"/>
        </w:rPr>
        <w:t>rá byla navýšen</w:t>
      </w:r>
      <w:r w:rsidR="00031C48">
        <w:rPr>
          <w:rFonts w:cs="Arial"/>
          <w:szCs w:val="22"/>
        </w:rPr>
        <w:t>a</w:t>
      </w:r>
      <w:r w:rsidR="00C351EA">
        <w:rPr>
          <w:rFonts w:cs="Arial"/>
          <w:szCs w:val="22"/>
        </w:rPr>
        <w:t xml:space="preserve"> ze</w:t>
      </w:r>
      <w:r w:rsidR="00031C48">
        <w:rPr>
          <w:rFonts w:cs="Arial"/>
          <w:szCs w:val="22"/>
        </w:rPr>
        <w:t xml:space="preserve"> </w:t>
      </w:r>
      <w:r w:rsidR="00C351EA">
        <w:rPr>
          <w:rFonts w:cs="Arial"/>
          <w:szCs w:val="22"/>
        </w:rPr>
        <w:t>770 Kč na</w:t>
      </w:r>
      <w:r w:rsidR="00031C48">
        <w:rPr>
          <w:rFonts w:cs="Arial"/>
          <w:szCs w:val="22"/>
        </w:rPr>
        <w:t xml:space="preserve"> </w:t>
      </w:r>
      <w:r w:rsidR="00C351EA">
        <w:rPr>
          <w:rFonts w:cs="Arial"/>
          <w:szCs w:val="22"/>
        </w:rPr>
        <w:t>1 </w:t>
      </w:r>
      <w:r w:rsidR="00511CF7">
        <w:rPr>
          <w:rFonts w:cs="Arial"/>
          <w:szCs w:val="22"/>
        </w:rPr>
        <w:t xml:space="preserve">384 Kč bez DPH. </w:t>
      </w:r>
      <w:r w:rsidR="00350848">
        <w:rPr>
          <w:rFonts w:cs="Arial"/>
          <w:szCs w:val="22"/>
        </w:rPr>
        <w:t xml:space="preserve">Ceník s takto navýšenými jednotkovými cenami byl následně bez dalších změn akceptován všemi hodnocenými uchazeči. </w:t>
      </w:r>
      <w:r w:rsidR="00AF234D">
        <w:rPr>
          <w:rFonts w:cs="Arial"/>
          <w:szCs w:val="22"/>
        </w:rPr>
        <w:t>P</w:t>
      </w:r>
      <w:r w:rsidR="00DA5C02">
        <w:rPr>
          <w:rFonts w:cs="Arial"/>
          <w:szCs w:val="22"/>
        </w:rPr>
        <w:t>ostup popsaný v</w:t>
      </w:r>
      <w:r w:rsidR="00AF234D">
        <w:rPr>
          <w:rFonts w:cs="Arial"/>
          <w:szCs w:val="22"/>
        </w:rPr>
        <w:t> </w:t>
      </w:r>
      <w:r w:rsidR="00031C48" w:rsidRPr="00C144AD">
        <w:rPr>
          <w:rFonts w:cs="Arial"/>
          <w:szCs w:val="22"/>
        </w:rPr>
        <w:t>k</w:t>
      </w:r>
      <w:r w:rsidR="00AF234D" w:rsidRPr="00C144AD">
        <w:rPr>
          <w:rFonts w:cs="Arial"/>
          <w:szCs w:val="22"/>
        </w:rPr>
        <w:t xml:space="preserve">oncesní </w:t>
      </w:r>
      <w:r w:rsidR="00DA5C02" w:rsidRPr="00C144AD">
        <w:rPr>
          <w:rFonts w:cs="Arial"/>
          <w:szCs w:val="22"/>
        </w:rPr>
        <w:t>dokumentaci</w:t>
      </w:r>
      <w:r w:rsidR="00AF234D">
        <w:rPr>
          <w:rFonts w:cs="Arial"/>
          <w:szCs w:val="22"/>
        </w:rPr>
        <w:t>, který MMR uplatnilo,</w:t>
      </w:r>
      <w:r w:rsidR="00DA5C02">
        <w:rPr>
          <w:rFonts w:cs="Arial"/>
          <w:szCs w:val="22"/>
        </w:rPr>
        <w:t xml:space="preserve"> byl</w:t>
      </w:r>
      <w:r w:rsidR="00B12CBA">
        <w:rPr>
          <w:rFonts w:cs="Arial"/>
          <w:szCs w:val="22"/>
        </w:rPr>
        <w:t xml:space="preserve"> podle zjištěn</w:t>
      </w:r>
      <w:r w:rsidR="0027609C">
        <w:rPr>
          <w:rFonts w:cs="Arial"/>
          <w:szCs w:val="22"/>
        </w:rPr>
        <w:t>í NKÚ v rozporu s § 77 zákona o </w:t>
      </w:r>
      <w:r w:rsidR="00B12CBA">
        <w:rPr>
          <w:rFonts w:cs="Arial"/>
          <w:szCs w:val="22"/>
        </w:rPr>
        <w:t>VZ</w:t>
      </w:r>
      <w:r w:rsidR="00D0274E">
        <w:rPr>
          <w:rFonts w:cs="Arial"/>
          <w:szCs w:val="22"/>
        </w:rPr>
        <w:t>.</w:t>
      </w:r>
      <w:r w:rsidR="00B12CBA">
        <w:rPr>
          <w:rFonts w:cs="Arial"/>
          <w:szCs w:val="22"/>
        </w:rPr>
        <w:t xml:space="preserve"> </w:t>
      </w:r>
    </w:p>
    <w:p w:rsidR="003C4C53" w:rsidRDefault="003C4C53" w:rsidP="00305D42">
      <w:pPr>
        <w:spacing w:after="0"/>
        <w:rPr>
          <w:rFonts w:cs="Arial"/>
          <w:szCs w:val="22"/>
        </w:rPr>
      </w:pPr>
    </w:p>
    <w:p w:rsidR="007D2A80" w:rsidRDefault="001C43BB" w:rsidP="00305D42">
      <w:pPr>
        <w:spacing w:after="0"/>
        <w:rPr>
          <w:rFonts w:cs="Arial"/>
          <w:szCs w:val="22"/>
        </w:rPr>
      </w:pPr>
      <w:r w:rsidRPr="00705E3D">
        <w:rPr>
          <w:rFonts w:cs="Arial"/>
          <w:szCs w:val="22"/>
        </w:rPr>
        <w:t xml:space="preserve">Dne 30. </w:t>
      </w:r>
      <w:r w:rsidR="00C06DA4">
        <w:rPr>
          <w:rFonts w:cs="Arial"/>
          <w:szCs w:val="22"/>
        </w:rPr>
        <w:t>září</w:t>
      </w:r>
      <w:r w:rsidRPr="00705E3D">
        <w:rPr>
          <w:rFonts w:cs="Arial"/>
          <w:szCs w:val="22"/>
        </w:rPr>
        <w:t xml:space="preserve"> 2011 uz</w:t>
      </w:r>
      <w:r>
        <w:rPr>
          <w:rFonts w:cs="Arial"/>
          <w:szCs w:val="22"/>
        </w:rPr>
        <w:t xml:space="preserve">avřelo MMR </w:t>
      </w:r>
      <w:r w:rsidR="002C671F">
        <w:rPr>
          <w:rFonts w:cs="Arial"/>
          <w:szCs w:val="22"/>
        </w:rPr>
        <w:t>s </w:t>
      </w:r>
      <w:r>
        <w:rPr>
          <w:rFonts w:cs="Arial"/>
          <w:szCs w:val="22"/>
        </w:rPr>
        <w:t xml:space="preserve">vítěznými uchazeči </w:t>
      </w:r>
      <w:r w:rsidRPr="00705E3D">
        <w:rPr>
          <w:rFonts w:cs="Arial"/>
          <w:szCs w:val="22"/>
        </w:rPr>
        <w:t xml:space="preserve">pět identických </w:t>
      </w:r>
      <w:r w:rsidR="00031C48">
        <w:rPr>
          <w:rFonts w:cs="Arial"/>
          <w:szCs w:val="22"/>
        </w:rPr>
        <w:t>k</w:t>
      </w:r>
      <w:r w:rsidRPr="00705E3D">
        <w:rPr>
          <w:rFonts w:cs="Arial"/>
          <w:szCs w:val="22"/>
        </w:rPr>
        <w:t>oncesních smluv</w:t>
      </w:r>
      <w:r>
        <w:rPr>
          <w:rFonts w:cs="Arial"/>
          <w:szCs w:val="22"/>
        </w:rPr>
        <w:t xml:space="preserve">, které </w:t>
      </w:r>
      <w:r w:rsidR="00A973A5">
        <w:rPr>
          <w:rFonts w:cs="Arial"/>
          <w:szCs w:val="22"/>
        </w:rPr>
        <w:t xml:space="preserve">byly </w:t>
      </w:r>
      <w:r w:rsidRPr="00705E3D">
        <w:rPr>
          <w:rFonts w:cs="Arial"/>
          <w:szCs w:val="22"/>
        </w:rPr>
        <w:t xml:space="preserve">sjednány na dobu určitou, a to do 31. </w:t>
      </w:r>
      <w:r w:rsidR="00C06DA4">
        <w:rPr>
          <w:rFonts w:cs="Arial"/>
          <w:szCs w:val="22"/>
        </w:rPr>
        <w:t>března</w:t>
      </w:r>
      <w:r w:rsidRPr="00705E3D">
        <w:rPr>
          <w:rFonts w:cs="Arial"/>
          <w:szCs w:val="22"/>
        </w:rPr>
        <w:t xml:space="preserve"> 2017.</w:t>
      </w:r>
    </w:p>
    <w:p w:rsidR="003C4C53" w:rsidRDefault="003C4C53" w:rsidP="00305D42">
      <w:pPr>
        <w:spacing w:after="0"/>
        <w:rPr>
          <w:rFonts w:cs="Arial"/>
          <w:szCs w:val="22"/>
        </w:rPr>
      </w:pPr>
    </w:p>
    <w:p w:rsidR="00ED1FA2" w:rsidRDefault="00CD00EF" w:rsidP="00305D42">
      <w:pPr>
        <w:spacing w:after="0"/>
        <w:rPr>
          <w:rFonts w:cs="Arial"/>
          <w:szCs w:val="22"/>
        </w:rPr>
      </w:pPr>
      <w:r>
        <w:rPr>
          <w:rFonts w:cs="Arial"/>
          <w:szCs w:val="22"/>
        </w:rPr>
        <w:t>Měsíc od původně plánovaného termínu</w:t>
      </w:r>
      <w:r w:rsidR="006F678B">
        <w:rPr>
          <w:rFonts w:cs="Arial"/>
          <w:szCs w:val="22"/>
        </w:rPr>
        <w:t xml:space="preserve"> </w:t>
      </w:r>
      <w:r w:rsidR="00031C48">
        <w:rPr>
          <w:rFonts w:cs="Arial"/>
          <w:szCs w:val="22"/>
        </w:rPr>
        <w:t xml:space="preserve">spuštění </w:t>
      </w:r>
      <w:r w:rsidR="006F678B">
        <w:rPr>
          <w:rFonts w:cs="Arial"/>
          <w:szCs w:val="22"/>
        </w:rPr>
        <w:t xml:space="preserve">(1. dubna 2012) </w:t>
      </w:r>
      <w:r w:rsidR="001C43BB" w:rsidRPr="00A32612">
        <w:rPr>
          <w:rFonts w:cs="Arial"/>
          <w:szCs w:val="22"/>
        </w:rPr>
        <w:t xml:space="preserve">byl </w:t>
      </w:r>
      <w:r w:rsidR="00BC3C3C">
        <w:rPr>
          <w:rFonts w:cs="Arial"/>
          <w:szCs w:val="22"/>
        </w:rPr>
        <w:t>na základě</w:t>
      </w:r>
      <w:r w:rsidR="001C43BB" w:rsidRPr="00A32612">
        <w:rPr>
          <w:rFonts w:cs="Arial"/>
          <w:szCs w:val="22"/>
        </w:rPr>
        <w:t xml:space="preserve"> </w:t>
      </w:r>
      <w:r w:rsidR="00BC3C3C">
        <w:rPr>
          <w:rFonts w:cs="Arial"/>
          <w:szCs w:val="22"/>
        </w:rPr>
        <w:t>jednacího řízení bez uveřejnění</w:t>
      </w:r>
      <w:r w:rsidR="00861F4E">
        <w:rPr>
          <w:rFonts w:cs="Arial"/>
          <w:szCs w:val="22"/>
        </w:rPr>
        <w:t>,</w:t>
      </w:r>
      <w:r w:rsidR="002C671F">
        <w:rPr>
          <w:rFonts w:cs="Arial"/>
          <w:szCs w:val="22"/>
        </w:rPr>
        <w:t xml:space="preserve"> </w:t>
      </w:r>
      <w:r w:rsidR="008F0464">
        <w:rPr>
          <w:rFonts w:cs="Arial"/>
          <w:szCs w:val="22"/>
        </w:rPr>
        <w:t>k</w:t>
      </w:r>
      <w:r w:rsidR="002C671F">
        <w:rPr>
          <w:rFonts w:cs="Arial"/>
          <w:szCs w:val="22"/>
        </w:rPr>
        <w:t> </w:t>
      </w:r>
      <w:r w:rsidR="00BD4F84">
        <w:rPr>
          <w:rFonts w:cs="Arial"/>
          <w:szCs w:val="22"/>
        </w:rPr>
        <w:t>jehož využití</w:t>
      </w:r>
      <w:r w:rsidR="00BC3C3C" w:rsidRPr="00A32612">
        <w:rPr>
          <w:rFonts w:cs="Arial"/>
          <w:szCs w:val="22"/>
        </w:rPr>
        <w:t xml:space="preserve"> </w:t>
      </w:r>
      <w:r w:rsidR="00BD4F84" w:rsidRPr="00E4447D">
        <w:rPr>
          <w:rFonts w:cs="Arial"/>
          <w:szCs w:val="22"/>
        </w:rPr>
        <w:t xml:space="preserve">nebyla splněna žádná </w:t>
      </w:r>
      <w:r w:rsidR="002C671F">
        <w:rPr>
          <w:rFonts w:cs="Arial"/>
          <w:szCs w:val="22"/>
        </w:rPr>
        <w:t>z </w:t>
      </w:r>
      <w:r w:rsidR="00BD4F84" w:rsidRPr="00E4447D">
        <w:rPr>
          <w:rFonts w:cs="Arial"/>
          <w:szCs w:val="22"/>
        </w:rPr>
        <w:t xml:space="preserve">podmínek uvedených </w:t>
      </w:r>
      <w:r w:rsidR="002C671F">
        <w:rPr>
          <w:rFonts w:cs="Arial"/>
          <w:szCs w:val="22"/>
        </w:rPr>
        <w:t>v </w:t>
      </w:r>
      <w:r w:rsidR="00BD4F84" w:rsidRPr="00E4447D">
        <w:rPr>
          <w:rFonts w:cs="Arial"/>
          <w:szCs w:val="22"/>
        </w:rPr>
        <w:t xml:space="preserve">§ </w:t>
      </w:r>
      <w:r w:rsidR="00BD4F84">
        <w:rPr>
          <w:rFonts w:cs="Arial"/>
          <w:szCs w:val="22"/>
        </w:rPr>
        <w:t xml:space="preserve">23 zákona o VZ, </w:t>
      </w:r>
      <w:r w:rsidR="001C43BB" w:rsidRPr="00A32612">
        <w:rPr>
          <w:rFonts w:cs="Arial"/>
          <w:szCs w:val="22"/>
        </w:rPr>
        <w:t xml:space="preserve">uzavřen </w:t>
      </w:r>
      <w:r w:rsidR="00031C48">
        <w:rPr>
          <w:rFonts w:cs="Arial"/>
          <w:szCs w:val="22"/>
        </w:rPr>
        <w:t>d</w:t>
      </w:r>
      <w:r w:rsidR="001C43BB" w:rsidRPr="00A32612">
        <w:rPr>
          <w:rFonts w:cs="Arial"/>
          <w:szCs w:val="22"/>
        </w:rPr>
        <w:t>odatek č. 1</w:t>
      </w:r>
      <w:r w:rsidR="003360C7" w:rsidRPr="003360C7">
        <w:rPr>
          <w:rFonts w:cs="Arial"/>
          <w:szCs w:val="22"/>
        </w:rPr>
        <w:t xml:space="preserve"> </w:t>
      </w:r>
      <w:r w:rsidR="003360C7">
        <w:rPr>
          <w:rFonts w:cs="Arial"/>
          <w:szCs w:val="22"/>
        </w:rPr>
        <w:t xml:space="preserve">ke </w:t>
      </w:r>
      <w:r w:rsidR="00031C48">
        <w:rPr>
          <w:rFonts w:cs="Arial"/>
          <w:szCs w:val="22"/>
        </w:rPr>
        <w:t>k</w:t>
      </w:r>
      <w:r w:rsidR="003360C7" w:rsidRPr="00A32612">
        <w:rPr>
          <w:rFonts w:cs="Arial"/>
          <w:szCs w:val="22"/>
        </w:rPr>
        <w:t>oncesním smlouvám</w:t>
      </w:r>
      <w:r w:rsidR="003360C7">
        <w:rPr>
          <w:rFonts w:cs="Arial"/>
          <w:szCs w:val="22"/>
        </w:rPr>
        <w:t>.</w:t>
      </w:r>
      <w:r w:rsidR="003360C7" w:rsidRPr="003360C7">
        <w:rPr>
          <w:rFonts w:cs="Arial"/>
          <w:szCs w:val="22"/>
        </w:rPr>
        <w:t xml:space="preserve"> </w:t>
      </w:r>
      <w:r w:rsidR="0027609C">
        <w:rPr>
          <w:rFonts w:cs="Arial"/>
          <w:b/>
          <w:szCs w:val="22"/>
        </w:rPr>
        <w:t>Dodatek změnil Ceník a </w:t>
      </w:r>
      <w:r w:rsidR="003360C7" w:rsidRPr="000624B4">
        <w:rPr>
          <w:rFonts w:cs="Arial"/>
          <w:b/>
          <w:szCs w:val="22"/>
        </w:rPr>
        <w:t xml:space="preserve">posunul termín pro uvedení e-tržišť </w:t>
      </w:r>
      <w:r w:rsidR="008F0464" w:rsidRPr="000624B4">
        <w:rPr>
          <w:rFonts w:cs="Arial"/>
          <w:b/>
          <w:szCs w:val="22"/>
        </w:rPr>
        <w:t xml:space="preserve">do </w:t>
      </w:r>
      <w:r w:rsidR="003360C7" w:rsidRPr="000624B4">
        <w:rPr>
          <w:rFonts w:cs="Arial"/>
          <w:b/>
          <w:szCs w:val="22"/>
        </w:rPr>
        <w:t xml:space="preserve">běžného provozu </w:t>
      </w:r>
      <w:r w:rsidR="002C671F">
        <w:rPr>
          <w:rFonts w:cs="Arial"/>
          <w:b/>
          <w:szCs w:val="22"/>
        </w:rPr>
        <w:t>z </w:t>
      </w:r>
      <w:r w:rsidR="003360C7" w:rsidRPr="000624B4">
        <w:rPr>
          <w:rFonts w:cs="Arial"/>
          <w:b/>
          <w:szCs w:val="22"/>
        </w:rPr>
        <w:t xml:space="preserve">1. </w:t>
      </w:r>
      <w:r w:rsidR="00C06DA4" w:rsidRPr="000624B4">
        <w:rPr>
          <w:rFonts w:cs="Arial"/>
          <w:b/>
          <w:szCs w:val="22"/>
        </w:rPr>
        <w:t>dubna</w:t>
      </w:r>
      <w:r w:rsidR="003360C7" w:rsidRPr="000624B4">
        <w:rPr>
          <w:rFonts w:cs="Arial"/>
          <w:b/>
          <w:szCs w:val="22"/>
        </w:rPr>
        <w:t xml:space="preserve"> 2012 na 1. </w:t>
      </w:r>
      <w:r w:rsidR="00C06DA4" w:rsidRPr="000624B4">
        <w:rPr>
          <w:rFonts w:cs="Arial"/>
          <w:b/>
          <w:szCs w:val="22"/>
        </w:rPr>
        <w:t>července</w:t>
      </w:r>
      <w:r w:rsidR="003360C7" w:rsidRPr="000624B4">
        <w:rPr>
          <w:rFonts w:cs="Arial"/>
          <w:b/>
          <w:szCs w:val="22"/>
        </w:rPr>
        <w:t xml:space="preserve"> 2012. </w:t>
      </w:r>
      <w:r w:rsidR="003360C7" w:rsidRPr="00C351EA">
        <w:rPr>
          <w:rFonts w:cs="Arial"/>
          <w:szCs w:val="22"/>
        </w:rPr>
        <w:t>MMR tyto změny odůvodnilo přijetím novely zákona o VZ</w:t>
      </w:r>
      <w:r w:rsidR="00ED1FA2" w:rsidRPr="00C351EA">
        <w:rPr>
          <w:rFonts w:cs="Arial"/>
          <w:szCs w:val="22"/>
        </w:rPr>
        <w:t xml:space="preserve">. </w:t>
      </w:r>
      <w:r w:rsidR="00F5705F" w:rsidRPr="00C351EA">
        <w:rPr>
          <w:rFonts w:cs="Arial"/>
          <w:szCs w:val="22"/>
        </w:rPr>
        <w:t xml:space="preserve">Posunutí termínu dle zjištění NKÚ však nebylo ovlivněno touto novelou, ale </w:t>
      </w:r>
      <w:r w:rsidR="008F39FF" w:rsidRPr="00C351EA">
        <w:rPr>
          <w:rFonts w:cs="Arial"/>
          <w:szCs w:val="22"/>
        </w:rPr>
        <w:t xml:space="preserve">chybným </w:t>
      </w:r>
      <w:r w:rsidR="00F5705F" w:rsidRPr="00C351EA">
        <w:rPr>
          <w:rFonts w:cs="Arial"/>
          <w:szCs w:val="22"/>
        </w:rPr>
        <w:t xml:space="preserve">nastavením harmonogramu </w:t>
      </w:r>
      <w:r w:rsidR="008F39FF" w:rsidRPr="00C351EA">
        <w:rPr>
          <w:rFonts w:cs="Arial"/>
          <w:szCs w:val="22"/>
        </w:rPr>
        <w:t xml:space="preserve">pro předání </w:t>
      </w:r>
      <w:r w:rsidR="00031C48">
        <w:rPr>
          <w:rFonts w:cs="Arial"/>
          <w:szCs w:val="22"/>
        </w:rPr>
        <w:t>„</w:t>
      </w:r>
      <w:r w:rsidR="008F39FF" w:rsidRPr="000624B4">
        <w:rPr>
          <w:rFonts w:cs="Arial"/>
          <w:i/>
          <w:szCs w:val="22"/>
        </w:rPr>
        <w:t>datového modelu číselníku NIPEZ</w:t>
      </w:r>
      <w:r w:rsidR="00031C48">
        <w:rPr>
          <w:rFonts w:cs="Arial"/>
          <w:szCs w:val="22"/>
        </w:rPr>
        <w:t>“</w:t>
      </w:r>
      <w:r w:rsidR="008F39FF" w:rsidRPr="000624B4">
        <w:rPr>
          <w:rFonts w:cs="Arial"/>
          <w:i/>
          <w:szCs w:val="22"/>
        </w:rPr>
        <w:t xml:space="preserve"> </w:t>
      </w:r>
      <w:r w:rsidR="008F39FF" w:rsidRPr="00C351EA">
        <w:rPr>
          <w:rFonts w:cs="Arial"/>
          <w:szCs w:val="22"/>
        </w:rPr>
        <w:t>(viz kapitola 4.1)</w:t>
      </w:r>
      <w:r w:rsidR="00F5705F" w:rsidRPr="00C351EA">
        <w:rPr>
          <w:rFonts w:cs="Arial"/>
          <w:szCs w:val="22"/>
        </w:rPr>
        <w:t xml:space="preserve">. </w:t>
      </w:r>
      <w:r w:rsidR="00BD4F84" w:rsidRPr="00C351EA">
        <w:rPr>
          <w:rFonts w:cs="Arial"/>
          <w:szCs w:val="22"/>
        </w:rPr>
        <w:t xml:space="preserve">Navýšení Ceníku iniciovalo samo </w:t>
      </w:r>
      <w:r w:rsidR="00ED1FA2" w:rsidRPr="00C351EA">
        <w:rPr>
          <w:rFonts w:cs="Arial"/>
          <w:szCs w:val="22"/>
        </w:rPr>
        <w:t>MMR</w:t>
      </w:r>
      <w:r w:rsidR="0027609C">
        <w:rPr>
          <w:rFonts w:cs="Arial"/>
          <w:szCs w:val="22"/>
        </w:rPr>
        <w:t>, a </w:t>
      </w:r>
      <w:r w:rsidR="00A40823" w:rsidRPr="00C351EA">
        <w:rPr>
          <w:rFonts w:cs="Arial"/>
          <w:szCs w:val="22"/>
        </w:rPr>
        <w:t>to</w:t>
      </w:r>
      <w:r w:rsidR="00ED1FA2" w:rsidRPr="00C351EA">
        <w:rPr>
          <w:rFonts w:cs="Arial"/>
          <w:szCs w:val="22"/>
        </w:rPr>
        <w:t xml:space="preserve"> na základě svého odhadu</w:t>
      </w:r>
      <w:r w:rsidR="00BD4F84" w:rsidRPr="00C351EA">
        <w:rPr>
          <w:rFonts w:cs="Arial"/>
          <w:szCs w:val="22"/>
        </w:rPr>
        <w:t xml:space="preserve">, ačkoliv podle </w:t>
      </w:r>
      <w:r w:rsidR="00031C48">
        <w:rPr>
          <w:rFonts w:cs="Arial"/>
          <w:szCs w:val="22"/>
        </w:rPr>
        <w:t>k</w:t>
      </w:r>
      <w:r w:rsidR="00BD4F84" w:rsidRPr="00C351EA">
        <w:rPr>
          <w:rFonts w:cs="Arial"/>
          <w:szCs w:val="22"/>
        </w:rPr>
        <w:t xml:space="preserve">oncesní smlouvy </w:t>
      </w:r>
      <w:r w:rsidR="0013173A">
        <w:rPr>
          <w:rFonts w:cs="Arial"/>
          <w:szCs w:val="22"/>
        </w:rPr>
        <w:t xml:space="preserve">měli </w:t>
      </w:r>
      <w:r w:rsidR="0013173A" w:rsidRPr="00C351EA">
        <w:rPr>
          <w:rFonts w:cs="Arial"/>
          <w:szCs w:val="22"/>
        </w:rPr>
        <w:t xml:space="preserve">o změnu Ceníku žádat </w:t>
      </w:r>
      <w:r w:rsidR="00A40823" w:rsidRPr="00C351EA">
        <w:rPr>
          <w:rFonts w:cs="Arial"/>
          <w:szCs w:val="22"/>
        </w:rPr>
        <w:t>provozovatelé</w:t>
      </w:r>
      <w:r w:rsidR="0013173A">
        <w:rPr>
          <w:rFonts w:cs="Arial"/>
          <w:szCs w:val="22"/>
        </w:rPr>
        <w:t>, a to</w:t>
      </w:r>
      <w:r w:rsidR="00A40823" w:rsidRPr="00C351EA">
        <w:rPr>
          <w:rFonts w:cs="Arial"/>
          <w:szCs w:val="22"/>
        </w:rPr>
        <w:t xml:space="preserve"> v případě závažných a</w:t>
      </w:r>
      <w:r w:rsidR="00651823" w:rsidRPr="00C351EA">
        <w:rPr>
          <w:rFonts w:cs="Arial"/>
          <w:szCs w:val="22"/>
        </w:rPr>
        <w:t> </w:t>
      </w:r>
      <w:r w:rsidR="00180758">
        <w:rPr>
          <w:rFonts w:cs="Arial"/>
          <w:szCs w:val="22"/>
        </w:rPr>
        <w:t>objektivních důvodů</w:t>
      </w:r>
      <w:r w:rsidR="0013173A">
        <w:rPr>
          <w:rFonts w:cs="Arial"/>
          <w:szCs w:val="22"/>
        </w:rPr>
        <w:t>. Tuto žádost</w:t>
      </w:r>
      <w:r w:rsidR="00A40823">
        <w:rPr>
          <w:rFonts w:cs="Arial"/>
          <w:szCs w:val="22"/>
        </w:rPr>
        <w:t xml:space="preserve"> mohlo</w:t>
      </w:r>
      <w:r w:rsidR="00BD4F84">
        <w:rPr>
          <w:rFonts w:cs="Arial"/>
          <w:szCs w:val="22"/>
        </w:rPr>
        <w:t xml:space="preserve"> MMR následně schválit. </w:t>
      </w:r>
      <w:r w:rsidR="002E4630">
        <w:rPr>
          <w:rFonts w:cs="Arial"/>
          <w:szCs w:val="22"/>
        </w:rPr>
        <w:t xml:space="preserve">Přestože </w:t>
      </w:r>
      <w:r w:rsidR="00BD4F84">
        <w:rPr>
          <w:rFonts w:cs="Arial"/>
          <w:szCs w:val="22"/>
        </w:rPr>
        <w:t xml:space="preserve">MMR </w:t>
      </w:r>
      <w:r w:rsidR="00031C48">
        <w:rPr>
          <w:rFonts w:cs="Arial"/>
          <w:szCs w:val="22"/>
        </w:rPr>
        <w:t xml:space="preserve">takovou </w:t>
      </w:r>
      <w:r w:rsidR="00C351EA">
        <w:rPr>
          <w:rFonts w:cs="Arial"/>
          <w:szCs w:val="22"/>
        </w:rPr>
        <w:t>žádost</w:t>
      </w:r>
      <w:r w:rsidR="00ED1FA2">
        <w:rPr>
          <w:rFonts w:cs="Arial"/>
          <w:szCs w:val="22"/>
        </w:rPr>
        <w:t xml:space="preserve"> </w:t>
      </w:r>
      <w:r w:rsidR="00A40823">
        <w:rPr>
          <w:rFonts w:cs="Arial"/>
          <w:szCs w:val="22"/>
        </w:rPr>
        <w:t>od provozovatelů neobdrželo</w:t>
      </w:r>
      <w:r w:rsidR="00F86B35">
        <w:rPr>
          <w:rFonts w:cs="Arial"/>
          <w:szCs w:val="22"/>
        </w:rPr>
        <w:t>,</w:t>
      </w:r>
      <w:r w:rsidR="00B42F27">
        <w:rPr>
          <w:rFonts w:cs="Arial"/>
          <w:szCs w:val="22"/>
        </w:rPr>
        <w:t xml:space="preserve"> </w:t>
      </w:r>
      <w:r w:rsidR="00A40823">
        <w:rPr>
          <w:rFonts w:cs="Arial"/>
          <w:szCs w:val="22"/>
        </w:rPr>
        <w:t xml:space="preserve">navýšilo Ceník o 1,2 % na základě </w:t>
      </w:r>
      <w:r w:rsidR="00031C48">
        <w:rPr>
          <w:rFonts w:cs="Arial"/>
          <w:szCs w:val="22"/>
        </w:rPr>
        <w:t>svého vlastního</w:t>
      </w:r>
      <w:r w:rsidR="00A27FC9">
        <w:rPr>
          <w:rFonts w:cs="Arial"/>
          <w:szCs w:val="22"/>
        </w:rPr>
        <w:t xml:space="preserve"> modelu</w:t>
      </w:r>
      <w:r w:rsidR="00A27FC9">
        <w:rPr>
          <w:rStyle w:val="Znakapoznpodarou"/>
          <w:szCs w:val="22"/>
        </w:rPr>
        <w:footnoteReference w:id="11"/>
      </w:r>
      <w:r w:rsidR="00A27FC9">
        <w:rPr>
          <w:rFonts w:cs="Arial"/>
          <w:szCs w:val="22"/>
        </w:rPr>
        <w:t xml:space="preserve"> vývoje</w:t>
      </w:r>
      <w:r w:rsidR="00A40823">
        <w:rPr>
          <w:rFonts w:cs="Arial"/>
          <w:szCs w:val="22"/>
        </w:rPr>
        <w:t xml:space="preserve"> počtu zakázek, které měly být zrealizovány na e-tržištích do konce účinnosti </w:t>
      </w:r>
      <w:r w:rsidR="00031C48">
        <w:rPr>
          <w:rFonts w:cs="Arial"/>
          <w:szCs w:val="22"/>
        </w:rPr>
        <w:t>k</w:t>
      </w:r>
      <w:r w:rsidR="00A40823">
        <w:rPr>
          <w:rFonts w:cs="Arial"/>
          <w:szCs w:val="22"/>
        </w:rPr>
        <w:t>oncesních smluv</w:t>
      </w:r>
      <w:r w:rsidR="00B42F27">
        <w:rPr>
          <w:rFonts w:cs="Arial"/>
          <w:szCs w:val="22"/>
        </w:rPr>
        <w:t>.</w:t>
      </w:r>
    </w:p>
    <w:p w:rsidR="003C4C53" w:rsidRDefault="003C4C53" w:rsidP="00305D42">
      <w:pPr>
        <w:spacing w:after="0"/>
        <w:rPr>
          <w:rFonts w:cs="Arial"/>
          <w:szCs w:val="22"/>
        </w:rPr>
      </w:pPr>
    </w:p>
    <w:p w:rsidR="00A17DC0" w:rsidRDefault="00A17DC0" w:rsidP="00305D42">
      <w:pPr>
        <w:spacing w:after="0"/>
        <w:rPr>
          <w:rFonts w:cs="Arial"/>
          <w:szCs w:val="22"/>
        </w:rPr>
      </w:pPr>
      <w:r w:rsidRPr="0032243D">
        <w:rPr>
          <w:rFonts w:cs="Arial"/>
          <w:szCs w:val="22"/>
        </w:rPr>
        <w:t>MMR provádí platby na základě</w:t>
      </w:r>
      <w:r>
        <w:rPr>
          <w:rFonts w:cs="Arial"/>
          <w:szCs w:val="22"/>
        </w:rPr>
        <w:t xml:space="preserve"> </w:t>
      </w:r>
      <w:r w:rsidRPr="0032243D">
        <w:rPr>
          <w:rFonts w:cs="Arial"/>
          <w:szCs w:val="22"/>
        </w:rPr>
        <w:t xml:space="preserve">vyúčtování </w:t>
      </w:r>
      <w:r>
        <w:rPr>
          <w:rFonts w:cs="Arial"/>
          <w:szCs w:val="22"/>
        </w:rPr>
        <w:t>jednotlivých provozovatelů</w:t>
      </w:r>
      <w:r w:rsidRPr="0032243D">
        <w:rPr>
          <w:rFonts w:cs="Arial"/>
          <w:szCs w:val="22"/>
        </w:rPr>
        <w:t xml:space="preserve"> dle Ceníku</w:t>
      </w:r>
      <w:r>
        <w:rPr>
          <w:rFonts w:cs="Arial"/>
          <w:szCs w:val="22"/>
        </w:rPr>
        <w:t xml:space="preserve"> za zakázky, u kterých byla uzavřena smlouva </w:t>
      </w:r>
      <w:r w:rsidR="002C671F">
        <w:rPr>
          <w:rFonts w:cs="Arial"/>
          <w:szCs w:val="22"/>
        </w:rPr>
        <w:t>s </w:t>
      </w:r>
      <w:r>
        <w:rPr>
          <w:rFonts w:cs="Arial"/>
          <w:szCs w:val="22"/>
        </w:rPr>
        <w:t xml:space="preserve">dodavatelem. </w:t>
      </w:r>
      <w:r w:rsidRPr="0032243D">
        <w:rPr>
          <w:rFonts w:cs="Arial"/>
          <w:szCs w:val="22"/>
        </w:rPr>
        <w:t>Celková fakturovaná a proplacená částka ze strany MMR za první rok provozu e-tržišť byla ve výši 22 423</w:t>
      </w:r>
      <w:r w:rsidR="003D12F5">
        <w:rPr>
          <w:rFonts w:cs="Arial"/>
          <w:szCs w:val="22"/>
        </w:rPr>
        <w:t> </w:t>
      </w:r>
      <w:r w:rsidRPr="0032243D">
        <w:rPr>
          <w:rFonts w:cs="Arial"/>
          <w:szCs w:val="22"/>
        </w:rPr>
        <w:t>73</w:t>
      </w:r>
      <w:r w:rsidR="00350848">
        <w:rPr>
          <w:rFonts w:cs="Arial"/>
          <w:szCs w:val="22"/>
        </w:rPr>
        <w:t>3</w:t>
      </w:r>
      <w:r w:rsidR="003D12F5">
        <w:rPr>
          <w:rFonts w:cs="Arial"/>
          <w:szCs w:val="22"/>
        </w:rPr>
        <w:t xml:space="preserve"> </w:t>
      </w:r>
      <w:r w:rsidRPr="0032243D">
        <w:rPr>
          <w:rFonts w:cs="Arial"/>
          <w:szCs w:val="22"/>
        </w:rPr>
        <w:t>Kč vč. DPH</w:t>
      </w:r>
      <w:r w:rsidR="000E1625">
        <w:rPr>
          <w:rFonts w:cs="Arial"/>
          <w:szCs w:val="22"/>
        </w:rPr>
        <w:t>.</w:t>
      </w:r>
      <w:r w:rsidR="00BB4CE0">
        <w:rPr>
          <w:rFonts w:cs="Arial"/>
          <w:szCs w:val="22"/>
        </w:rPr>
        <w:t xml:space="preserve"> </w:t>
      </w:r>
      <w:r w:rsidR="00F44C1E" w:rsidRPr="00DF1407">
        <w:rPr>
          <w:rFonts w:cs="Arial"/>
          <w:b/>
          <w:szCs w:val="22"/>
        </w:rPr>
        <w:t>Reálné výdaje za dobu koncese jsou výrazně závislé na podílu využití jednotlivých typů zadávacího řízení.</w:t>
      </w:r>
      <w:r w:rsidR="00F44C1E">
        <w:rPr>
          <w:rFonts w:cs="Arial"/>
          <w:szCs w:val="22"/>
        </w:rPr>
        <w:t xml:space="preserve"> </w:t>
      </w:r>
      <w:r w:rsidR="00031C48">
        <w:rPr>
          <w:rFonts w:cs="Arial"/>
          <w:szCs w:val="22"/>
        </w:rPr>
        <w:t>NKÚ k</w:t>
      </w:r>
      <w:r w:rsidR="00BB4CE0">
        <w:rPr>
          <w:rFonts w:cs="Arial"/>
          <w:szCs w:val="22"/>
        </w:rPr>
        <w:t xml:space="preserve">ontrolním výpočtem </w:t>
      </w:r>
      <w:r w:rsidR="003050E7">
        <w:rPr>
          <w:rFonts w:cs="Arial"/>
          <w:szCs w:val="22"/>
        </w:rPr>
        <w:t>zjistil</w:t>
      </w:r>
      <w:r w:rsidR="00BB4CE0">
        <w:rPr>
          <w:rFonts w:cs="Arial"/>
          <w:szCs w:val="22"/>
        </w:rPr>
        <w:t xml:space="preserve">, že </w:t>
      </w:r>
      <w:r w:rsidR="00031C48">
        <w:rPr>
          <w:rFonts w:cs="Arial"/>
          <w:szCs w:val="22"/>
        </w:rPr>
        <w:t xml:space="preserve">v případě </w:t>
      </w:r>
      <w:r w:rsidR="001C3231">
        <w:rPr>
          <w:rFonts w:cs="Arial"/>
          <w:szCs w:val="22"/>
        </w:rPr>
        <w:t xml:space="preserve">započtení </w:t>
      </w:r>
      <w:r w:rsidR="00BB4CE0">
        <w:rPr>
          <w:rFonts w:cs="Arial"/>
          <w:szCs w:val="22"/>
        </w:rPr>
        <w:t xml:space="preserve">všech </w:t>
      </w:r>
      <w:r w:rsidR="00A25CE4">
        <w:rPr>
          <w:rFonts w:cs="Arial"/>
          <w:szCs w:val="22"/>
        </w:rPr>
        <w:t xml:space="preserve">jedenácti </w:t>
      </w:r>
      <w:r w:rsidR="00BB4CE0">
        <w:rPr>
          <w:rFonts w:cs="Arial"/>
          <w:szCs w:val="22"/>
        </w:rPr>
        <w:t>položek z</w:t>
      </w:r>
      <w:r w:rsidR="003F7735">
        <w:rPr>
          <w:rFonts w:cs="Arial"/>
          <w:szCs w:val="22"/>
        </w:rPr>
        <w:t> </w:t>
      </w:r>
      <w:r w:rsidR="00BB4CE0">
        <w:rPr>
          <w:rFonts w:cs="Arial"/>
          <w:szCs w:val="22"/>
        </w:rPr>
        <w:t>nabídek</w:t>
      </w:r>
      <w:r w:rsidR="003F7735">
        <w:rPr>
          <w:rFonts w:cs="Arial"/>
          <w:szCs w:val="22"/>
        </w:rPr>
        <w:t xml:space="preserve"> </w:t>
      </w:r>
      <w:r w:rsidR="00FF2BD4">
        <w:rPr>
          <w:rFonts w:cs="Arial"/>
          <w:szCs w:val="22"/>
        </w:rPr>
        <w:t>(</w:t>
      </w:r>
      <w:r w:rsidR="003F7735">
        <w:rPr>
          <w:rFonts w:cs="Arial"/>
          <w:szCs w:val="22"/>
        </w:rPr>
        <w:t xml:space="preserve">tedy </w:t>
      </w:r>
      <w:r w:rsidR="00FF2BD4">
        <w:rPr>
          <w:rFonts w:cs="Arial"/>
          <w:szCs w:val="22"/>
        </w:rPr>
        <w:t xml:space="preserve">při </w:t>
      </w:r>
      <w:r w:rsidR="003F7735">
        <w:rPr>
          <w:rFonts w:cs="Arial"/>
          <w:szCs w:val="22"/>
        </w:rPr>
        <w:t>řádném postupu v koncesním řízení</w:t>
      </w:r>
      <w:r w:rsidR="00FF2BD4">
        <w:rPr>
          <w:rFonts w:cs="Arial"/>
          <w:szCs w:val="22"/>
        </w:rPr>
        <w:t>)</w:t>
      </w:r>
      <w:r w:rsidR="003050E7" w:rsidRPr="003050E7">
        <w:rPr>
          <w:rFonts w:cs="Arial"/>
          <w:szCs w:val="22"/>
        </w:rPr>
        <w:t xml:space="preserve"> </w:t>
      </w:r>
      <w:r w:rsidR="003050E7">
        <w:rPr>
          <w:rFonts w:cs="Arial"/>
          <w:szCs w:val="22"/>
        </w:rPr>
        <w:t xml:space="preserve">a </w:t>
      </w:r>
      <w:r w:rsidR="00FF2BD4">
        <w:rPr>
          <w:rFonts w:cs="Arial"/>
          <w:szCs w:val="22"/>
        </w:rPr>
        <w:t>v případě nenavýšení</w:t>
      </w:r>
      <w:r w:rsidR="003050E7">
        <w:rPr>
          <w:rFonts w:cs="Arial"/>
          <w:szCs w:val="22"/>
        </w:rPr>
        <w:t xml:space="preserve"> Ceníku </w:t>
      </w:r>
      <w:r w:rsidR="00FF2BD4">
        <w:rPr>
          <w:rFonts w:cs="Arial"/>
          <w:szCs w:val="22"/>
        </w:rPr>
        <w:t>d</w:t>
      </w:r>
      <w:r w:rsidR="003050E7">
        <w:rPr>
          <w:rFonts w:cs="Arial"/>
          <w:szCs w:val="22"/>
        </w:rPr>
        <w:t xml:space="preserve">odatkem č. 1 ke </w:t>
      </w:r>
      <w:r w:rsidR="00FF2BD4">
        <w:rPr>
          <w:rFonts w:cs="Arial"/>
          <w:szCs w:val="22"/>
        </w:rPr>
        <w:t>k</w:t>
      </w:r>
      <w:r w:rsidR="003050E7">
        <w:rPr>
          <w:rFonts w:cs="Arial"/>
          <w:szCs w:val="22"/>
        </w:rPr>
        <w:t>oncesním smlouvám</w:t>
      </w:r>
      <w:r w:rsidR="003F7735">
        <w:rPr>
          <w:rFonts w:cs="Arial"/>
          <w:szCs w:val="22"/>
        </w:rPr>
        <w:t xml:space="preserve"> mohlo MMR dosáhnout za první rok provozu </w:t>
      </w:r>
      <w:r w:rsidR="00BB4CE0">
        <w:rPr>
          <w:rFonts w:cs="Arial"/>
          <w:szCs w:val="22"/>
        </w:rPr>
        <w:t>o</w:t>
      </w:r>
      <w:r w:rsidR="00191952">
        <w:rPr>
          <w:rFonts w:cs="Arial"/>
          <w:szCs w:val="22"/>
        </w:rPr>
        <w:t> </w:t>
      </w:r>
      <w:r w:rsidR="00BB4CE0">
        <w:rPr>
          <w:rFonts w:cs="Arial"/>
          <w:szCs w:val="22"/>
        </w:rPr>
        <w:t>1,45</w:t>
      </w:r>
      <w:r w:rsidR="00191952">
        <w:rPr>
          <w:rFonts w:cs="Arial"/>
          <w:szCs w:val="22"/>
        </w:rPr>
        <w:t> </w:t>
      </w:r>
      <w:r w:rsidR="00BB4CE0">
        <w:rPr>
          <w:rFonts w:cs="Arial"/>
          <w:szCs w:val="22"/>
        </w:rPr>
        <w:t>mil.</w:t>
      </w:r>
      <w:r w:rsidR="00191952">
        <w:rPr>
          <w:rFonts w:cs="Arial"/>
          <w:szCs w:val="22"/>
        </w:rPr>
        <w:t> </w:t>
      </w:r>
      <w:r w:rsidR="00BB4CE0">
        <w:rPr>
          <w:rFonts w:cs="Arial"/>
          <w:szCs w:val="22"/>
        </w:rPr>
        <w:t xml:space="preserve">Kč </w:t>
      </w:r>
      <w:r w:rsidR="003F7735">
        <w:rPr>
          <w:rFonts w:cs="Arial"/>
          <w:szCs w:val="22"/>
        </w:rPr>
        <w:t>nižších výdajů</w:t>
      </w:r>
      <w:r w:rsidR="003050E7">
        <w:rPr>
          <w:rFonts w:cs="Arial"/>
          <w:szCs w:val="22"/>
        </w:rPr>
        <w:t>.</w:t>
      </w:r>
    </w:p>
    <w:p w:rsidR="003C4C53" w:rsidRDefault="003C4C53" w:rsidP="00305D42">
      <w:pPr>
        <w:spacing w:after="0"/>
        <w:rPr>
          <w:rFonts w:cs="Arial"/>
          <w:szCs w:val="22"/>
        </w:rPr>
      </w:pPr>
    </w:p>
    <w:p w:rsidR="00A17DC0" w:rsidRDefault="001C43BB" w:rsidP="00305D42">
      <w:pPr>
        <w:spacing w:after="0"/>
        <w:rPr>
          <w:rFonts w:cs="Arial"/>
          <w:b/>
          <w:szCs w:val="22"/>
        </w:rPr>
      </w:pPr>
      <w:r w:rsidRPr="00206AD0">
        <w:rPr>
          <w:rFonts w:cs="Arial"/>
          <w:b/>
          <w:szCs w:val="22"/>
        </w:rPr>
        <w:t xml:space="preserve">MMR </w:t>
      </w:r>
      <w:r w:rsidR="00D90725">
        <w:rPr>
          <w:rFonts w:cs="Arial"/>
          <w:b/>
          <w:szCs w:val="22"/>
        </w:rPr>
        <w:t>ne</w:t>
      </w:r>
      <w:r w:rsidRPr="00206AD0">
        <w:rPr>
          <w:rFonts w:cs="Arial"/>
          <w:b/>
          <w:szCs w:val="22"/>
        </w:rPr>
        <w:t>sjedna</w:t>
      </w:r>
      <w:r w:rsidR="00D90725">
        <w:rPr>
          <w:rFonts w:cs="Arial"/>
          <w:b/>
          <w:szCs w:val="22"/>
        </w:rPr>
        <w:t>lo</w:t>
      </w:r>
      <w:r w:rsidRPr="00206AD0">
        <w:rPr>
          <w:rFonts w:cs="Arial"/>
          <w:b/>
          <w:szCs w:val="22"/>
        </w:rPr>
        <w:t xml:space="preserve"> </w:t>
      </w:r>
      <w:r w:rsidR="002C671F">
        <w:rPr>
          <w:rFonts w:cs="Arial"/>
          <w:b/>
          <w:szCs w:val="22"/>
        </w:rPr>
        <w:t>s </w:t>
      </w:r>
      <w:r w:rsidRPr="00206AD0">
        <w:rPr>
          <w:rFonts w:cs="Arial"/>
          <w:b/>
          <w:szCs w:val="22"/>
        </w:rPr>
        <w:t xml:space="preserve">provozovateli </w:t>
      </w:r>
      <w:r w:rsidR="00CF5332">
        <w:rPr>
          <w:rFonts w:cs="Arial"/>
          <w:b/>
          <w:szCs w:val="22"/>
        </w:rPr>
        <w:t>nastavení a</w:t>
      </w:r>
      <w:r w:rsidR="00FF2BD4">
        <w:rPr>
          <w:rFonts w:cs="Arial"/>
          <w:b/>
          <w:szCs w:val="22"/>
        </w:rPr>
        <w:t>ni</w:t>
      </w:r>
      <w:r w:rsidR="00CF5332">
        <w:rPr>
          <w:rFonts w:cs="Arial"/>
          <w:b/>
          <w:szCs w:val="22"/>
        </w:rPr>
        <w:t xml:space="preserve"> </w:t>
      </w:r>
      <w:r w:rsidRPr="00206AD0">
        <w:rPr>
          <w:rFonts w:cs="Arial"/>
          <w:b/>
          <w:szCs w:val="22"/>
        </w:rPr>
        <w:t>změnu Ceníku za podmínek, které</w:t>
      </w:r>
      <w:r w:rsidR="00C351EA">
        <w:rPr>
          <w:rFonts w:cs="Arial"/>
          <w:b/>
          <w:szCs w:val="22"/>
        </w:rPr>
        <w:t xml:space="preserve"> by</w:t>
      </w:r>
      <w:r w:rsidR="00FF2BD4">
        <w:rPr>
          <w:rFonts w:cs="Arial"/>
          <w:b/>
          <w:szCs w:val="22"/>
        </w:rPr>
        <w:t xml:space="preserve"> </w:t>
      </w:r>
      <w:r w:rsidRPr="00206AD0">
        <w:rPr>
          <w:rFonts w:cs="Arial"/>
          <w:b/>
          <w:szCs w:val="22"/>
        </w:rPr>
        <w:t>vycházely</w:t>
      </w:r>
      <w:r w:rsidR="00CF5332">
        <w:rPr>
          <w:rFonts w:cs="Arial"/>
          <w:b/>
          <w:szCs w:val="22"/>
        </w:rPr>
        <w:t xml:space="preserve"> z řádného průběhu koncesního řízení</w:t>
      </w:r>
      <w:r w:rsidRPr="00206AD0">
        <w:rPr>
          <w:rFonts w:cs="Arial"/>
          <w:b/>
          <w:szCs w:val="22"/>
        </w:rPr>
        <w:t xml:space="preserve">. MMR </w:t>
      </w:r>
      <w:r w:rsidR="00A17DC0">
        <w:rPr>
          <w:rFonts w:cs="Arial"/>
          <w:b/>
          <w:szCs w:val="22"/>
        </w:rPr>
        <w:t xml:space="preserve">dvakrát </w:t>
      </w:r>
      <w:r w:rsidR="00A17DC0" w:rsidRPr="00206AD0">
        <w:rPr>
          <w:rFonts w:cs="Arial"/>
          <w:b/>
          <w:szCs w:val="22"/>
        </w:rPr>
        <w:t>navýšilo položky Ceníku</w:t>
      </w:r>
      <w:r w:rsidR="0054573C" w:rsidRPr="0054573C">
        <w:rPr>
          <w:rFonts w:cs="Arial"/>
          <w:b/>
          <w:szCs w:val="22"/>
        </w:rPr>
        <w:t xml:space="preserve"> </w:t>
      </w:r>
      <w:r w:rsidR="0054573C">
        <w:rPr>
          <w:rFonts w:cs="Arial"/>
          <w:b/>
          <w:szCs w:val="22"/>
        </w:rPr>
        <w:t>v rozporu s právními předpisy</w:t>
      </w:r>
      <w:r w:rsidR="00A17DC0" w:rsidRPr="00247920">
        <w:rPr>
          <w:rFonts w:cs="Arial"/>
          <w:b/>
          <w:szCs w:val="22"/>
        </w:rPr>
        <w:t xml:space="preserve">, </w:t>
      </w:r>
      <w:r w:rsidR="00A17DC0">
        <w:rPr>
          <w:rFonts w:cs="Arial"/>
          <w:b/>
          <w:szCs w:val="22"/>
        </w:rPr>
        <w:t xml:space="preserve">čímž </w:t>
      </w:r>
      <w:r w:rsidR="002E4630">
        <w:rPr>
          <w:rFonts w:cs="Arial"/>
          <w:b/>
          <w:szCs w:val="22"/>
        </w:rPr>
        <w:t>zvýšilo</w:t>
      </w:r>
      <w:r w:rsidR="00A17DC0">
        <w:rPr>
          <w:rFonts w:cs="Arial"/>
          <w:b/>
          <w:szCs w:val="22"/>
        </w:rPr>
        <w:t xml:space="preserve"> výdaj</w:t>
      </w:r>
      <w:r w:rsidR="002E4630">
        <w:rPr>
          <w:rFonts w:cs="Arial"/>
          <w:b/>
          <w:szCs w:val="22"/>
        </w:rPr>
        <w:t>e</w:t>
      </w:r>
      <w:r w:rsidR="00A17DC0" w:rsidRPr="00247920">
        <w:rPr>
          <w:rFonts w:cs="Arial"/>
          <w:b/>
          <w:szCs w:val="22"/>
        </w:rPr>
        <w:t xml:space="preserve"> na provoz e-tržišť</w:t>
      </w:r>
      <w:r w:rsidR="00A17DC0">
        <w:rPr>
          <w:rFonts w:cs="Arial"/>
          <w:b/>
          <w:szCs w:val="22"/>
        </w:rPr>
        <w:t xml:space="preserve">. Toto jednání vyhodnotil </w:t>
      </w:r>
      <w:r w:rsidR="00FF2BD4">
        <w:rPr>
          <w:rFonts w:cs="Arial"/>
          <w:b/>
          <w:szCs w:val="22"/>
        </w:rPr>
        <w:t xml:space="preserve">NKÚ </w:t>
      </w:r>
      <w:r w:rsidR="00A17DC0" w:rsidRPr="00247920">
        <w:rPr>
          <w:rFonts w:cs="Arial"/>
          <w:b/>
          <w:szCs w:val="22"/>
        </w:rPr>
        <w:t xml:space="preserve">jako porušení rozpočtové </w:t>
      </w:r>
      <w:r w:rsidR="00A17DC0" w:rsidRPr="00C72322">
        <w:rPr>
          <w:rFonts w:cs="Arial"/>
          <w:b/>
          <w:szCs w:val="22"/>
        </w:rPr>
        <w:t xml:space="preserve">kázně, </w:t>
      </w:r>
      <w:r w:rsidR="00A17DC0" w:rsidRPr="00E35D39">
        <w:rPr>
          <w:rFonts w:cs="Arial"/>
          <w:b/>
          <w:szCs w:val="22"/>
        </w:rPr>
        <w:t xml:space="preserve">neboť MMR v uvedených případech určené úkoly </w:t>
      </w:r>
      <w:r w:rsidR="00A17DC0" w:rsidRPr="003A1CA9">
        <w:rPr>
          <w:rFonts w:cs="Arial"/>
          <w:b/>
          <w:szCs w:val="22"/>
        </w:rPr>
        <w:t xml:space="preserve">neplnilo nejhospodárnějším způsobem, </w:t>
      </w:r>
      <w:r w:rsidR="00FF2BD4">
        <w:rPr>
          <w:rFonts w:cs="Arial"/>
          <w:b/>
          <w:szCs w:val="22"/>
        </w:rPr>
        <w:t>čímž poruš</w:t>
      </w:r>
      <w:r w:rsidR="00C144AD">
        <w:rPr>
          <w:rFonts w:cs="Arial"/>
          <w:b/>
          <w:szCs w:val="22"/>
        </w:rPr>
        <w:t>ilo</w:t>
      </w:r>
      <w:r w:rsidR="00C351EA">
        <w:rPr>
          <w:rFonts w:cs="Arial"/>
          <w:b/>
          <w:szCs w:val="22"/>
        </w:rPr>
        <w:t xml:space="preserve"> zákon o </w:t>
      </w:r>
      <w:r w:rsidR="00A17DC0" w:rsidRPr="003A1CA9">
        <w:rPr>
          <w:rFonts w:cs="Arial"/>
          <w:b/>
          <w:szCs w:val="22"/>
        </w:rPr>
        <w:t xml:space="preserve">rozpočtových </w:t>
      </w:r>
      <w:r w:rsidR="00A17DC0" w:rsidRPr="003A1CA9">
        <w:rPr>
          <w:rFonts w:cs="Arial"/>
          <w:b/>
          <w:szCs w:val="22"/>
        </w:rPr>
        <w:lastRenderedPageBreak/>
        <w:t>pravidlech</w:t>
      </w:r>
      <w:r w:rsidR="00A17DC0" w:rsidRPr="00C72322">
        <w:rPr>
          <w:rFonts w:cs="Arial"/>
          <w:b/>
          <w:szCs w:val="22"/>
        </w:rPr>
        <w:t xml:space="preserve">. </w:t>
      </w:r>
      <w:r w:rsidR="007D4D3E">
        <w:rPr>
          <w:rFonts w:cs="Arial"/>
          <w:b/>
          <w:szCs w:val="22"/>
        </w:rPr>
        <w:t xml:space="preserve">Takto sjednaný </w:t>
      </w:r>
      <w:r w:rsidR="00A17DC0" w:rsidRPr="00C72322">
        <w:rPr>
          <w:rFonts w:cs="Arial"/>
          <w:b/>
          <w:szCs w:val="22"/>
        </w:rPr>
        <w:t>Ceník může představovat riziko nehospodárného vynakládání prostředků</w:t>
      </w:r>
      <w:r w:rsidR="00A17DC0" w:rsidRPr="00247920">
        <w:rPr>
          <w:rFonts w:cs="Arial"/>
          <w:b/>
          <w:szCs w:val="22"/>
        </w:rPr>
        <w:t xml:space="preserve"> pro zbývající období platnosti </w:t>
      </w:r>
      <w:r w:rsidR="00FF2BD4">
        <w:rPr>
          <w:rFonts w:cs="Arial"/>
          <w:b/>
          <w:szCs w:val="22"/>
        </w:rPr>
        <w:t>k</w:t>
      </w:r>
      <w:r w:rsidR="00A17DC0" w:rsidRPr="00247920">
        <w:rPr>
          <w:rFonts w:cs="Arial"/>
          <w:b/>
          <w:szCs w:val="22"/>
        </w:rPr>
        <w:t>oncesních smluv.</w:t>
      </w:r>
    </w:p>
    <w:p w:rsidR="003C4C53" w:rsidRPr="00FF1D6B" w:rsidRDefault="003C4C53" w:rsidP="00305D42">
      <w:pPr>
        <w:spacing w:after="0"/>
        <w:rPr>
          <w:rFonts w:cs="Arial"/>
          <w:szCs w:val="22"/>
        </w:rPr>
      </w:pPr>
    </w:p>
    <w:p w:rsidR="00C277FA" w:rsidRDefault="00814E60" w:rsidP="00EB7E60">
      <w:pPr>
        <w:pStyle w:val="Nadpis2"/>
        <w:keepNext w:val="0"/>
        <w:keepLines w:val="0"/>
        <w:spacing w:before="0" w:after="120"/>
      </w:pPr>
      <w:r>
        <w:t xml:space="preserve">4.1 </w:t>
      </w:r>
      <w:r w:rsidR="00C277FA">
        <w:t>Spuštění e-tržišť do provozu</w:t>
      </w:r>
    </w:p>
    <w:p w:rsidR="001C43BB" w:rsidRDefault="001C43BB" w:rsidP="00EB7E60">
      <w:pPr>
        <w:spacing w:after="0"/>
        <w:rPr>
          <w:rFonts w:cs="Arial"/>
          <w:szCs w:val="22"/>
        </w:rPr>
      </w:pPr>
      <w:r w:rsidRPr="00CF496B">
        <w:rPr>
          <w:rFonts w:cs="Arial"/>
          <w:szCs w:val="22"/>
        </w:rPr>
        <w:t>Podmínkou pro spuštění jednotlivých e-tržišť do běžného provozu byla úspěšná realizace akceptačních testů</w:t>
      </w:r>
      <w:r w:rsidR="00D74274">
        <w:rPr>
          <w:rFonts w:cs="Arial"/>
          <w:szCs w:val="22"/>
        </w:rPr>
        <w:t>.</w:t>
      </w:r>
      <w:r>
        <w:rPr>
          <w:rFonts w:cs="Arial"/>
          <w:szCs w:val="22"/>
        </w:rPr>
        <w:t xml:space="preserve"> </w:t>
      </w:r>
      <w:r w:rsidR="00B61D78">
        <w:rPr>
          <w:rFonts w:cs="Arial"/>
          <w:szCs w:val="22"/>
        </w:rPr>
        <w:t xml:space="preserve">Provedení </w:t>
      </w:r>
      <w:r>
        <w:rPr>
          <w:rFonts w:cs="Arial"/>
          <w:szCs w:val="22"/>
        </w:rPr>
        <w:t xml:space="preserve">těchto testů si MMR zajistilo prostřednictvím externího </w:t>
      </w:r>
      <w:r w:rsidR="00255169">
        <w:rPr>
          <w:rFonts w:cs="Arial"/>
          <w:szCs w:val="22"/>
        </w:rPr>
        <w:t>subjektu</w:t>
      </w:r>
      <w:r w:rsidR="0027609C">
        <w:rPr>
          <w:rFonts w:cs="Arial"/>
          <w:szCs w:val="22"/>
        </w:rPr>
        <w:t>.</w:t>
      </w:r>
      <w:r w:rsidR="00D601F8">
        <w:rPr>
          <w:rStyle w:val="Znakapoznpodarou"/>
          <w:szCs w:val="22"/>
        </w:rPr>
        <w:footnoteReference w:id="12"/>
      </w:r>
      <w:r w:rsidRPr="00C351EA">
        <w:rPr>
          <w:rFonts w:cs="Arial"/>
          <w:szCs w:val="22"/>
        </w:rPr>
        <w:t xml:space="preserve"> </w:t>
      </w:r>
      <w:r w:rsidR="003A1CA9" w:rsidRPr="00C351EA">
        <w:rPr>
          <w:rFonts w:cs="Arial"/>
          <w:szCs w:val="22"/>
        </w:rPr>
        <w:t>A</w:t>
      </w:r>
      <w:r w:rsidRPr="00C351EA">
        <w:rPr>
          <w:rFonts w:cs="Arial"/>
          <w:szCs w:val="22"/>
        </w:rPr>
        <w:t>kceptace probíhala</w:t>
      </w:r>
      <w:r w:rsidR="00C06DA4">
        <w:rPr>
          <w:rFonts w:cs="Arial"/>
          <w:szCs w:val="22"/>
        </w:rPr>
        <w:t xml:space="preserve"> mimo přímý dohled a</w:t>
      </w:r>
      <w:r w:rsidR="00FF2BD4">
        <w:rPr>
          <w:rFonts w:cs="Arial"/>
          <w:szCs w:val="22"/>
        </w:rPr>
        <w:t xml:space="preserve"> mimo </w:t>
      </w:r>
      <w:r w:rsidRPr="00B83829">
        <w:rPr>
          <w:rFonts w:cs="Arial"/>
          <w:szCs w:val="22"/>
        </w:rPr>
        <w:t>kontrolu MM</w:t>
      </w:r>
      <w:r>
        <w:rPr>
          <w:rFonts w:cs="Arial"/>
          <w:szCs w:val="22"/>
        </w:rPr>
        <w:t>R</w:t>
      </w:r>
      <w:r w:rsidRPr="00EB7E60">
        <w:rPr>
          <w:rFonts w:cs="Arial"/>
          <w:szCs w:val="22"/>
        </w:rPr>
        <w:t>.</w:t>
      </w:r>
      <w:r w:rsidRPr="006F678B">
        <w:rPr>
          <w:rFonts w:cs="Arial"/>
          <w:b/>
          <w:szCs w:val="22"/>
        </w:rPr>
        <w:t xml:space="preserve"> Žádný </w:t>
      </w:r>
      <w:r w:rsidR="002C671F">
        <w:rPr>
          <w:rFonts w:cs="Arial"/>
          <w:b/>
          <w:szCs w:val="22"/>
        </w:rPr>
        <w:t>z </w:t>
      </w:r>
      <w:r w:rsidRPr="006F678B">
        <w:rPr>
          <w:rFonts w:cs="Arial"/>
          <w:b/>
          <w:szCs w:val="22"/>
        </w:rPr>
        <w:t xml:space="preserve">provozovatelů </w:t>
      </w:r>
      <w:r w:rsidR="00191952">
        <w:rPr>
          <w:rFonts w:cs="Arial"/>
          <w:b/>
          <w:szCs w:val="22"/>
        </w:rPr>
        <w:br/>
      </w:r>
      <w:r w:rsidRPr="006F678B">
        <w:rPr>
          <w:rFonts w:cs="Arial"/>
          <w:b/>
          <w:szCs w:val="22"/>
        </w:rPr>
        <w:t xml:space="preserve">e-tržiště nestihl </w:t>
      </w:r>
      <w:r w:rsidR="003A1CA9" w:rsidRPr="006F678B">
        <w:rPr>
          <w:rFonts w:cs="Arial"/>
          <w:b/>
          <w:szCs w:val="22"/>
        </w:rPr>
        <w:t xml:space="preserve">tuto </w:t>
      </w:r>
      <w:r w:rsidRPr="006F678B">
        <w:rPr>
          <w:rFonts w:cs="Arial"/>
          <w:b/>
          <w:szCs w:val="22"/>
        </w:rPr>
        <w:t xml:space="preserve">akceptaci úspěšně dokončit </w:t>
      </w:r>
      <w:r w:rsidR="006F678B">
        <w:rPr>
          <w:rFonts w:cs="Arial"/>
          <w:b/>
          <w:szCs w:val="22"/>
        </w:rPr>
        <w:t xml:space="preserve">a spustit e-tržiště </w:t>
      </w:r>
      <w:r w:rsidRPr="006F678B">
        <w:rPr>
          <w:rFonts w:cs="Arial"/>
          <w:b/>
          <w:szCs w:val="22"/>
        </w:rPr>
        <w:t xml:space="preserve">ke dni nabytí účinnosti </w:t>
      </w:r>
      <w:r w:rsidR="00FF2BD4">
        <w:rPr>
          <w:rFonts w:cs="Arial"/>
          <w:b/>
          <w:szCs w:val="22"/>
        </w:rPr>
        <w:t>k</w:t>
      </w:r>
      <w:r w:rsidRPr="006F678B">
        <w:rPr>
          <w:rFonts w:cs="Arial"/>
          <w:b/>
          <w:szCs w:val="22"/>
        </w:rPr>
        <w:t xml:space="preserve">oncesní smlouvy, tj. </w:t>
      </w:r>
      <w:r w:rsidR="00FF2BD4">
        <w:rPr>
          <w:rFonts w:cs="Arial"/>
          <w:b/>
          <w:szCs w:val="22"/>
        </w:rPr>
        <w:t>k </w:t>
      </w:r>
      <w:r w:rsidRPr="006F678B">
        <w:rPr>
          <w:rFonts w:cs="Arial"/>
          <w:b/>
          <w:szCs w:val="22"/>
        </w:rPr>
        <w:t xml:space="preserve">1. </w:t>
      </w:r>
      <w:r w:rsidR="00C06DA4" w:rsidRPr="006F678B">
        <w:rPr>
          <w:rFonts w:cs="Arial"/>
          <w:b/>
          <w:szCs w:val="22"/>
        </w:rPr>
        <w:t>dubn</w:t>
      </w:r>
      <w:r w:rsidR="00FF2BD4">
        <w:rPr>
          <w:rFonts w:cs="Arial"/>
          <w:b/>
          <w:szCs w:val="22"/>
        </w:rPr>
        <w:t>u</w:t>
      </w:r>
      <w:r w:rsidRPr="006F678B">
        <w:rPr>
          <w:rFonts w:cs="Arial"/>
          <w:b/>
          <w:szCs w:val="22"/>
        </w:rPr>
        <w:t xml:space="preserve"> 2012. </w:t>
      </w:r>
      <w:r w:rsidR="003A1CA9" w:rsidRPr="006F678B">
        <w:rPr>
          <w:rFonts w:cs="Arial"/>
          <w:b/>
          <w:szCs w:val="22"/>
        </w:rPr>
        <w:t>O</w:t>
      </w:r>
      <w:r w:rsidRPr="006F678B">
        <w:rPr>
          <w:rFonts w:cs="Arial"/>
          <w:b/>
          <w:szCs w:val="22"/>
        </w:rPr>
        <w:t xml:space="preserve">d 1. </w:t>
      </w:r>
      <w:r w:rsidR="00C06DA4" w:rsidRPr="006F678B">
        <w:rPr>
          <w:rFonts w:cs="Arial"/>
          <w:b/>
          <w:szCs w:val="22"/>
        </w:rPr>
        <w:t xml:space="preserve">července </w:t>
      </w:r>
      <w:r w:rsidRPr="006F678B">
        <w:rPr>
          <w:rFonts w:cs="Arial"/>
          <w:b/>
          <w:szCs w:val="22"/>
        </w:rPr>
        <w:t>2012 stihl</w:t>
      </w:r>
      <w:r w:rsidR="00F86B35" w:rsidRPr="006F678B">
        <w:rPr>
          <w:rFonts w:cs="Arial"/>
          <w:b/>
          <w:szCs w:val="22"/>
        </w:rPr>
        <w:t>a</w:t>
      </w:r>
      <w:r w:rsidRPr="006F678B">
        <w:rPr>
          <w:rFonts w:cs="Arial"/>
          <w:b/>
          <w:szCs w:val="22"/>
        </w:rPr>
        <w:t xml:space="preserve"> zahájit běžný provoz </w:t>
      </w:r>
      <w:r w:rsidR="005C39CE" w:rsidRPr="006F678B">
        <w:rPr>
          <w:rFonts w:cs="Arial"/>
          <w:b/>
          <w:szCs w:val="22"/>
        </w:rPr>
        <w:t xml:space="preserve">pouze dvě e-tržiště </w:t>
      </w:r>
      <w:r w:rsidR="003A1CA9" w:rsidRPr="006F678B">
        <w:rPr>
          <w:rFonts w:cs="Arial"/>
          <w:b/>
          <w:szCs w:val="22"/>
        </w:rPr>
        <w:t>z</w:t>
      </w:r>
      <w:r w:rsidR="00E1275B" w:rsidRPr="006F678B">
        <w:rPr>
          <w:rFonts w:cs="Arial"/>
          <w:b/>
          <w:szCs w:val="22"/>
        </w:rPr>
        <w:t> </w:t>
      </w:r>
      <w:r w:rsidR="003A1CA9" w:rsidRPr="006F678B">
        <w:rPr>
          <w:rFonts w:cs="Arial"/>
          <w:b/>
          <w:szCs w:val="22"/>
        </w:rPr>
        <w:t>pěti</w:t>
      </w:r>
      <w:r w:rsidR="00E1275B">
        <w:rPr>
          <w:rFonts w:cs="Arial"/>
          <w:szCs w:val="22"/>
        </w:rPr>
        <w:t>, která</w:t>
      </w:r>
      <w:r w:rsidR="003A1CA9">
        <w:rPr>
          <w:rFonts w:cs="Arial"/>
          <w:szCs w:val="22"/>
        </w:rPr>
        <w:t xml:space="preserve"> </w:t>
      </w:r>
      <w:r>
        <w:rPr>
          <w:rFonts w:cs="Arial"/>
          <w:szCs w:val="22"/>
        </w:rPr>
        <w:t>v</w:t>
      </w:r>
      <w:r w:rsidR="003A1CA9">
        <w:rPr>
          <w:rFonts w:cs="Arial"/>
          <w:szCs w:val="22"/>
        </w:rPr>
        <w:t> </w:t>
      </w:r>
      <w:r>
        <w:rPr>
          <w:rFonts w:cs="Arial"/>
          <w:szCs w:val="22"/>
        </w:rPr>
        <w:t>první</w:t>
      </w:r>
      <w:r w:rsidR="00C06DA4">
        <w:rPr>
          <w:rFonts w:cs="Arial"/>
          <w:szCs w:val="22"/>
        </w:rPr>
        <w:t>ch 12 </w:t>
      </w:r>
      <w:r w:rsidR="003A1CA9">
        <w:rPr>
          <w:rFonts w:cs="Arial"/>
          <w:szCs w:val="22"/>
        </w:rPr>
        <w:t>měsících</w:t>
      </w:r>
      <w:r>
        <w:rPr>
          <w:rFonts w:cs="Arial"/>
          <w:szCs w:val="22"/>
        </w:rPr>
        <w:t xml:space="preserve"> </w:t>
      </w:r>
      <w:r w:rsidR="00CD00EF">
        <w:rPr>
          <w:rFonts w:cs="Arial"/>
          <w:szCs w:val="22"/>
        </w:rPr>
        <w:t>provozu</w:t>
      </w:r>
      <w:r>
        <w:rPr>
          <w:rFonts w:cs="Arial"/>
          <w:szCs w:val="22"/>
        </w:rPr>
        <w:t xml:space="preserve"> zrealizoval</w:t>
      </w:r>
      <w:r w:rsidR="00F86B35">
        <w:rPr>
          <w:rFonts w:cs="Arial"/>
          <w:szCs w:val="22"/>
        </w:rPr>
        <w:t>a</w:t>
      </w:r>
      <w:r>
        <w:rPr>
          <w:rFonts w:cs="Arial"/>
          <w:szCs w:val="22"/>
        </w:rPr>
        <w:t xml:space="preserve"> </w:t>
      </w:r>
      <w:r w:rsidR="00CD00EF">
        <w:rPr>
          <w:rFonts w:cs="Arial"/>
          <w:szCs w:val="22"/>
        </w:rPr>
        <w:t xml:space="preserve">98,2 % zadaných </w:t>
      </w:r>
      <w:r>
        <w:rPr>
          <w:rFonts w:cs="Arial"/>
          <w:szCs w:val="22"/>
        </w:rPr>
        <w:t>zakázek.</w:t>
      </w:r>
      <w:r w:rsidRPr="00B83829">
        <w:rPr>
          <w:rFonts w:cs="Arial"/>
          <w:szCs w:val="22"/>
        </w:rPr>
        <w:t xml:space="preserve"> </w:t>
      </w:r>
      <w:r w:rsidR="004C0686">
        <w:rPr>
          <w:rFonts w:cs="Arial"/>
          <w:szCs w:val="22"/>
        </w:rPr>
        <w:t xml:space="preserve">U </w:t>
      </w:r>
      <w:r w:rsidR="00511CF7">
        <w:rPr>
          <w:rFonts w:cs="Arial"/>
          <w:szCs w:val="22"/>
        </w:rPr>
        <w:t>o</w:t>
      </w:r>
      <w:r w:rsidRPr="00B83829">
        <w:rPr>
          <w:rFonts w:cs="Arial"/>
          <w:szCs w:val="22"/>
        </w:rPr>
        <w:t>statní</w:t>
      </w:r>
      <w:r w:rsidR="00511CF7">
        <w:rPr>
          <w:rFonts w:cs="Arial"/>
          <w:szCs w:val="22"/>
        </w:rPr>
        <w:t>ch</w:t>
      </w:r>
      <w:r w:rsidRPr="00B83829">
        <w:rPr>
          <w:rFonts w:cs="Arial"/>
          <w:szCs w:val="22"/>
        </w:rPr>
        <w:t xml:space="preserve"> </w:t>
      </w:r>
      <w:r w:rsidR="005C39CE">
        <w:rPr>
          <w:rFonts w:cs="Arial"/>
          <w:szCs w:val="22"/>
        </w:rPr>
        <w:t xml:space="preserve">tří </w:t>
      </w:r>
      <w:r>
        <w:rPr>
          <w:rFonts w:cs="Arial"/>
          <w:szCs w:val="22"/>
        </w:rPr>
        <w:t>e-tržiš</w:t>
      </w:r>
      <w:r w:rsidR="00511CF7">
        <w:rPr>
          <w:rFonts w:cs="Arial"/>
          <w:szCs w:val="22"/>
        </w:rPr>
        <w:t>ť</w:t>
      </w:r>
      <w:r>
        <w:rPr>
          <w:rFonts w:cs="Arial"/>
          <w:szCs w:val="22"/>
        </w:rPr>
        <w:t xml:space="preserve"> </w:t>
      </w:r>
      <w:r w:rsidR="004C0686">
        <w:rPr>
          <w:rFonts w:cs="Arial"/>
          <w:szCs w:val="22"/>
        </w:rPr>
        <w:t xml:space="preserve">provozovatelé </w:t>
      </w:r>
      <w:r w:rsidRPr="00B83829">
        <w:rPr>
          <w:rFonts w:cs="Arial"/>
          <w:szCs w:val="22"/>
        </w:rPr>
        <w:t>nestihl</w:t>
      </w:r>
      <w:r w:rsidR="004C0686">
        <w:rPr>
          <w:rFonts w:cs="Arial"/>
          <w:szCs w:val="22"/>
        </w:rPr>
        <w:t>i</w:t>
      </w:r>
      <w:r w:rsidRPr="00B83829">
        <w:rPr>
          <w:rFonts w:cs="Arial"/>
          <w:szCs w:val="22"/>
        </w:rPr>
        <w:t xml:space="preserve"> dokončit akceptaci v</w:t>
      </w:r>
      <w:r>
        <w:rPr>
          <w:rFonts w:cs="Arial"/>
          <w:szCs w:val="22"/>
        </w:rPr>
        <w:t>e</w:t>
      </w:r>
      <w:r w:rsidRPr="00B83829">
        <w:rPr>
          <w:rFonts w:cs="Arial"/>
          <w:szCs w:val="22"/>
        </w:rPr>
        <w:t xml:space="preserve"> stanoveném termínu a MMR vůči </w:t>
      </w:r>
      <w:r w:rsidR="00511CF7">
        <w:rPr>
          <w:rFonts w:cs="Arial"/>
          <w:szCs w:val="22"/>
        </w:rPr>
        <w:t>nim</w:t>
      </w:r>
      <w:r w:rsidR="00511CF7" w:rsidRPr="00B83829">
        <w:rPr>
          <w:rFonts w:cs="Arial"/>
          <w:szCs w:val="22"/>
        </w:rPr>
        <w:t xml:space="preserve"> </w:t>
      </w:r>
      <w:r>
        <w:rPr>
          <w:rFonts w:cs="Arial"/>
          <w:szCs w:val="22"/>
        </w:rPr>
        <w:t xml:space="preserve">uplatnilo sankce </w:t>
      </w:r>
      <w:r w:rsidR="00255169">
        <w:rPr>
          <w:rFonts w:cs="Arial"/>
          <w:szCs w:val="22"/>
        </w:rPr>
        <w:t>dle</w:t>
      </w:r>
      <w:r>
        <w:rPr>
          <w:rFonts w:cs="Arial"/>
          <w:szCs w:val="22"/>
        </w:rPr>
        <w:t xml:space="preserve"> </w:t>
      </w:r>
      <w:r w:rsidR="00265AF4">
        <w:rPr>
          <w:rFonts w:cs="Arial"/>
          <w:szCs w:val="22"/>
        </w:rPr>
        <w:t>k</w:t>
      </w:r>
      <w:r>
        <w:rPr>
          <w:rFonts w:cs="Arial"/>
          <w:szCs w:val="22"/>
        </w:rPr>
        <w:t>oncesní smlouv</w:t>
      </w:r>
      <w:r w:rsidR="0062172E">
        <w:rPr>
          <w:rFonts w:cs="Arial"/>
          <w:szCs w:val="22"/>
        </w:rPr>
        <w:t>y</w:t>
      </w:r>
      <w:r>
        <w:rPr>
          <w:rFonts w:cs="Arial"/>
          <w:szCs w:val="22"/>
        </w:rPr>
        <w:t xml:space="preserve">. </w:t>
      </w:r>
    </w:p>
    <w:p w:rsidR="003C4C53" w:rsidRDefault="003C4C53" w:rsidP="00EB7E60">
      <w:pPr>
        <w:spacing w:after="0"/>
        <w:rPr>
          <w:rFonts w:cs="Arial"/>
          <w:szCs w:val="22"/>
        </w:rPr>
      </w:pPr>
    </w:p>
    <w:p w:rsidR="00624C20" w:rsidRDefault="00624C20" w:rsidP="00EB7E60">
      <w:pPr>
        <w:spacing w:after="0"/>
        <w:rPr>
          <w:rFonts w:cs="Arial"/>
          <w:szCs w:val="22"/>
        </w:rPr>
      </w:pPr>
      <w:r>
        <w:rPr>
          <w:rFonts w:cs="Arial"/>
          <w:szCs w:val="22"/>
        </w:rPr>
        <w:t>Podle</w:t>
      </w:r>
      <w:r w:rsidRPr="007920A5">
        <w:rPr>
          <w:rFonts w:cs="Arial"/>
          <w:szCs w:val="22"/>
        </w:rPr>
        <w:t xml:space="preserve"> </w:t>
      </w:r>
      <w:r w:rsidR="00265AF4" w:rsidRPr="00EB7E60">
        <w:rPr>
          <w:rFonts w:cs="Arial"/>
          <w:szCs w:val="22"/>
        </w:rPr>
        <w:t>t</w:t>
      </w:r>
      <w:r w:rsidRPr="00EB7E60">
        <w:rPr>
          <w:rFonts w:cs="Arial"/>
          <w:szCs w:val="22"/>
        </w:rPr>
        <w:t>echnické specifikace</w:t>
      </w:r>
      <w:r>
        <w:rPr>
          <w:rFonts w:cs="Arial"/>
          <w:szCs w:val="22"/>
        </w:rPr>
        <w:t xml:space="preserve"> </w:t>
      </w:r>
      <w:r w:rsidRPr="007920A5">
        <w:rPr>
          <w:rFonts w:cs="Arial"/>
          <w:szCs w:val="22"/>
        </w:rPr>
        <w:t xml:space="preserve">musí e-tržiště </w:t>
      </w:r>
      <w:r w:rsidRPr="00746ED2">
        <w:rPr>
          <w:rFonts w:cs="Arial"/>
          <w:szCs w:val="22"/>
        </w:rPr>
        <w:t>od uvedení do běžného provozu</w:t>
      </w:r>
      <w:r w:rsidRPr="007920A5">
        <w:rPr>
          <w:rFonts w:cs="Arial"/>
          <w:szCs w:val="22"/>
        </w:rPr>
        <w:t xml:space="preserve"> obsahovat číselník NIPEZ</w:t>
      </w:r>
      <w:r w:rsidR="0027609C">
        <w:rPr>
          <w:rFonts w:cs="Arial"/>
          <w:szCs w:val="22"/>
        </w:rPr>
        <w:t>.</w:t>
      </w:r>
      <w:r>
        <w:rPr>
          <w:rStyle w:val="Znakapoznpodarou"/>
          <w:szCs w:val="22"/>
        </w:rPr>
        <w:footnoteReference w:id="13"/>
      </w:r>
      <w:r w:rsidRPr="00746ED2">
        <w:rPr>
          <w:rFonts w:cs="Arial"/>
          <w:szCs w:val="22"/>
        </w:rPr>
        <w:t xml:space="preserve"> Vytvoření </w:t>
      </w:r>
      <w:r w:rsidR="00265AF4">
        <w:rPr>
          <w:rFonts w:cs="Arial"/>
          <w:szCs w:val="22"/>
        </w:rPr>
        <w:t>„</w:t>
      </w:r>
      <w:r w:rsidRPr="00242C69">
        <w:rPr>
          <w:rFonts w:cs="Arial"/>
          <w:i/>
          <w:szCs w:val="22"/>
        </w:rPr>
        <w:t>datového modelu číselníku NIPEZ</w:t>
      </w:r>
      <w:r w:rsidR="00265AF4">
        <w:rPr>
          <w:rFonts w:cs="Arial"/>
          <w:szCs w:val="22"/>
        </w:rPr>
        <w:t>“</w:t>
      </w:r>
      <w:r>
        <w:rPr>
          <w:rFonts w:cs="Arial"/>
          <w:szCs w:val="22"/>
        </w:rPr>
        <w:t>,</w:t>
      </w:r>
      <w:r w:rsidRPr="00746ED2">
        <w:rPr>
          <w:rFonts w:cs="Arial"/>
          <w:szCs w:val="22"/>
        </w:rPr>
        <w:t xml:space="preserve"> bez kterého nelze </w:t>
      </w:r>
      <w:r w:rsidRPr="0020036C">
        <w:rPr>
          <w:rFonts w:cs="Arial"/>
          <w:szCs w:val="22"/>
        </w:rPr>
        <w:t>číselník NIPEZ implementovat do e-tržišť, zajistil</w:t>
      </w:r>
      <w:r>
        <w:rPr>
          <w:rFonts w:cs="Arial"/>
          <w:szCs w:val="22"/>
        </w:rPr>
        <w:t>o MMR prostřednictvím externího subjektu</w:t>
      </w:r>
      <w:r w:rsidRPr="0020036C">
        <w:rPr>
          <w:rFonts w:cs="Arial"/>
          <w:szCs w:val="22"/>
        </w:rPr>
        <w:t xml:space="preserve">. Termín pro </w:t>
      </w:r>
      <w:r>
        <w:rPr>
          <w:rFonts w:cs="Arial"/>
          <w:szCs w:val="22"/>
        </w:rPr>
        <w:t xml:space="preserve">jeho </w:t>
      </w:r>
      <w:r w:rsidRPr="0020036C">
        <w:rPr>
          <w:rFonts w:cs="Arial"/>
          <w:szCs w:val="22"/>
        </w:rPr>
        <w:t>předání stanovilo ve smlouvě na konec června 2012</w:t>
      </w:r>
      <w:r>
        <w:rPr>
          <w:rFonts w:cs="Arial"/>
          <w:szCs w:val="22"/>
        </w:rPr>
        <w:t>, ačkoliv plánované datum spuštění e-tržišť do provozu bylo 1. dubna 2012</w:t>
      </w:r>
      <w:r w:rsidRPr="0020036C">
        <w:rPr>
          <w:rFonts w:cs="Arial"/>
          <w:szCs w:val="22"/>
        </w:rPr>
        <w:t>.</w:t>
      </w:r>
    </w:p>
    <w:p w:rsidR="003C4C53" w:rsidRDefault="003C4C53" w:rsidP="00EB7E60">
      <w:pPr>
        <w:spacing w:after="0"/>
        <w:rPr>
          <w:rFonts w:cs="Arial"/>
          <w:szCs w:val="22"/>
        </w:rPr>
      </w:pPr>
    </w:p>
    <w:p w:rsidR="007C4D26" w:rsidRDefault="00001C43" w:rsidP="00EB7E60">
      <w:pPr>
        <w:spacing w:after="0"/>
        <w:rPr>
          <w:rFonts w:cs="Arial"/>
          <w:b/>
          <w:szCs w:val="22"/>
        </w:rPr>
      </w:pPr>
      <w:r>
        <w:rPr>
          <w:rFonts w:cs="Arial"/>
          <w:b/>
          <w:szCs w:val="22"/>
        </w:rPr>
        <w:t>S</w:t>
      </w:r>
      <w:r w:rsidR="00255169" w:rsidRPr="00457835">
        <w:rPr>
          <w:rFonts w:cs="Arial"/>
          <w:b/>
          <w:szCs w:val="22"/>
        </w:rPr>
        <w:t>puštění e-tržišť bylo ovlivněno implementací číselníku NIPEZ, jehož datový model</w:t>
      </w:r>
      <w:r w:rsidR="00457835">
        <w:rPr>
          <w:rFonts w:cs="Arial"/>
          <w:b/>
          <w:szCs w:val="22"/>
        </w:rPr>
        <w:t xml:space="preserve"> </w:t>
      </w:r>
      <w:r w:rsidR="00255169" w:rsidRPr="00457835">
        <w:rPr>
          <w:rFonts w:cs="Arial"/>
          <w:b/>
          <w:szCs w:val="22"/>
        </w:rPr>
        <w:t xml:space="preserve">byl </w:t>
      </w:r>
      <w:r w:rsidR="001C43BB" w:rsidRPr="00457835">
        <w:rPr>
          <w:rFonts w:cs="Arial"/>
          <w:b/>
          <w:szCs w:val="22"/>
        </w:rPr>
        <w:t xml:space="preserve">předán </w:t>
      </w:r>
      <w:r w:rsidR="00255169" w:rsidRPr="00457835">
        <w:rPr>
          <w:rFonts w:cs="Arial"/>
          <w:b/>
          <w:szCs w:val="22"/>
        </w:rPr>
        <w:t xml:space="preserve">dne </w:t>
      </w:r>
      <w:r w:rsidR="001C43BB" w:rsidRPr="00457835">
        <w:rPr>
          <w:rFonts w:cs="Arial"/>
          <w:b/>
          <w:szCs w:val="22"/>
        </w:rPr>
        <w:t xml:space="preserve">21. </w:t>
      </w:r>
      <w:r w:rsidR="00C06DA4">
        <w:rPr>
          <w:rFonts w:cs="Arial"/>
          <w:b/>
          <w:szCs w:val="22"/>
        </w:rPr>
        <w:t>června</w:t>
      </w:r>
      <w:r w:rsidR="001C43BB" w:rsidRPr="00457835">
        <w:rPr>
          <w:rFonts w:cs="Arial"/>
          <w:b/>
          <w:szCs w:val="22"/>
        </w:rPr>
        <w:t xml:space="preserve"> 2012, což bylo </w:t>
      </w:r>
      <w:r w:rsidR="006054F0">
        <w:rPr>
          <w:rFonts w:cs="Arial"/>
          <w:b/>
          <w:szCs w:val="22"/>
        </w:rPr>
        <w:t>téměř tři měsíce</w:t>
      </w:r>
      <w:r w:rsidR="001C43BB" w:rsidRPr="00457835">
        <w:rPr>
          <w:rFonts w:cs="Arial"/>
          <w:b/>
          <w:szCs w:val="22"/>
        </w:rPr>
        <w:t xml:space="preserve"> po původně stanoveném termínu spuštění běžného provozu e-tržišť. </w:t>
      </w:r>
      <w:r w:rsidR="00350848" w:rsidRPr="00457835">
        <w:rPr>
          <w:rFonts w:cs="Arial"/>
          <w:b/>
          <w:szCs w:val="22"/>
        </w:rPr>
        <w:t xml:space="preserve">Úspěšná akceptace </w:t>
      </w:r>
      <w:r w:rsidR="00350848">
        <w:rPr>
          <w:rFonts w:cs="Arial"/>
          <w:b/>
          <w:szCs w:val="22"/>
        </w:rPr>
        <w:t xml:space="preserve">prvních dvou </w:t>
      </w:r>
      <w:r w:rsidR="00350848" w:rsidRPr="00457835">
        <w:rPr>
          <w:rFonts w:cs="Arial"/>
          <w:b/>
          <w:szCs w:val="22"/>
        </w:rPr>
        <w:t>e-tržišť proběhla záhy po předání toho</w:t>
      </w:r>
      <w:r w:rsidR="00350848">
        <w:rPr>
          <w:rFonts w:cs="Arial"/>
          <w:b/>
          <w:szCs w:val="22"/>
        </w:rPr>
        <w:t>to</w:t>
      </w:r>
      <w:r w:rsidR="00350848" w:rsidRPr="00457835">
        <w:rPr>
          <w:rFonts w:cs="Arial"/>
          <w:b/>
          <w:szCs w:val="22"/>
        </w:rPr>
        <w:t xml:space="preserve"> </w:t>
      </w:r>
      <w:r w:rsidR="00265AF4">
        <w:rPr>
          <w:rFonts w:cs="Arial"/>
          <w:b/>
          <w:szCs w:val="22"/>
        </w:rPr>
        <w:t>„</w:t>
      </w:r>
      <w:r w:rsidR="00350848" w:rsidRPr="00242C69">
        <w:rPr>
          <w:rFonts w:cs="Arial"/>
          <w:b/>
          <w:i/>
          <w:szCs w:val="22"/>
        </w:rPr>
        <w:t>datového modelu číselníku NIPEZ</w:t>
      </w:r>
      <w:r w:rsidR="00265AF4">
        <w:rPr>
          <w:rFonts w:cs="Arial"/>
          <w:b/>
          <w:szCs w:val="22"/>
        </w:rPr>
        <w:t>“</w:t>
      </w:r>
      <w:r w:rsidR="00350848" w:rsidRPr="00457835">
        <w:rPr>
          <w:rFonts w:cs="Arial"/>
          <w:b/>
          <w:szCs w:val="22"/>
        </w:rPr>
        <w:t xml:space="preserve">. </w:t>
      </w:r>
      <w:r w:rsidR="006054F0" w:rsidRPr="00457835">
        <w:rPr>
          <w:rFonts w:cs="Arial"/>
          <w:b/>
          <w:szCs w:val="22"/>
        </w:rPr>
        <w:t xml:space="preserve">Provozovatelé nemohli zahájit provoz e-tržišť v původním termínu 1. </w:t>
      </w:r>
      <w:r w:rsidR="006054F0">
        <w:rPr>
          <w:rFonts w:cs="Arial"/>
          <w:b/>
          <w:szCs w:val="22"/>
        </w:rPr>
        <w:t>dubna</w:t>
      </w:r>
      <w:r w:rsidR="006054F0" w:rsidRPr="00457835">
        <w:rPr>
          <w:rFonts w:cs="Arial"/>
          <w:b/>
          <w:szCs w:val="22"/>
        </w:rPr>
        <w:t xml:space="preserve"> 2012, neboť jim </w:t>
      </w:r>
      <w:r w:rsidR="006054F0" w:rsidRPr="001C235F">
        <w:rPr>
          <w:rFonts w:cs="Arial"/>
          <w:b/>
          <w:szCs w:val="22"/>
        </w:rPr>
        <w:t>pro to MMR</w:t>
      </w:r>
      <w:r w:rsidR="006054F0" w:rsidRPr="00457835">
        <w:rPr>
          <w:rFonts w:cs="Arial"/>
          <w:b/>
          <w:szCs w:val="22"/>
        </w:rPr>
        <w:t xml:space="preserve"> </w:t>
      </w:r>
      <w:r w:rsidR="006054F0">
        <w:rPr>
          <w:rFonts w:cs="Arial"/>
          <w:b/>
          <w:szCs w:val="22"/>
        </w:rPr>
        <w:t>ne</w:t>
      </w:r>
      <w:r w:rsidR="006054F0" w:rsidRPr="00457835">
        <w:rPr>
          <w:rFonts w:cs="Arial"/>
          <w:b/>
          <w:szCs w:val="22"/>
        </w:rPr>
        <w:t>zaji</w:t>
      </w:r>
      <w:r w:rsidR="006054F0">
        <w:rPr>
          <w:rFonts w:cs="Arial"/>
          <w:b/>
          <w:szCs w:val="22"/>
        </w:rPr>
        <w:t>stilo</w:t>
      </w:r>
      <w:r w:rsidR="006054F0" w:rsidRPr="00457835">
        <w:rPr>
          <w:rFonts w:cs="Arial"/>
          <w:b/>
          <w:szCs w:val="22"/>
        </w:rPr>
        <w:t xml:space="preserve"> podmínky.</w:t>
      </w:r>
      <w:r w:rsidR="006054F0">
        <w:rPr>
          <w:rFonts w:cs="Arial"/>
          <w:b/>
          <w:szCs w:val="22"/>
        </w:rPr>
        <w:t xml:space="preserve"> </w:t>
      </w:r>
    </w:p>
    <w:p w:rsidR="003C4C53" w:rsidRPr="00457835" w:rsidRDefault="003C4C53" w:rsidP="00EB7E60">
      <w:pPr>
        <w:spacing w:after="0"/>
        <w:rPr>
          <w:rFonts w:cs="Arial"/>
          <w:b/>
          <w:szCs w:val="22"/>
        </w:rPr>
      </w:pPr>
    </w:p>
    <w:p w:rsidR="001C43BB" w:rsidRPr="00CF496B" w:rsidRDefault="00814E60" w:rsidP="00EB7E60">
      <w:pPr>
        <w:pStyle w:val="Nadpis2"/>
        <w:keepNext w:val="0"/>
        <w:keepLines w:val="0"/>
        <w:spacing w:before="0" w:after="120"/>
      </w:pPr>
      <w:r>
        <w:t xml:space="preserve">4.2 </w:t>
      </w:r>
      <w:r w:rsidR="007D2A80">
        <w:t xml:space="preserve">Kvalita </w:t>
      </w:r>
      <w:r w:rsidR="00265AF4" w:rsidRPr="00F853C8">
        <w:t>poskytovaných</w:t>
      </w:r>
      <w:r w:rsidR="00265AF4">
        <w:t xml:space="preserve"> </w:t>
      </w:r>
      <w:r w:rsidR="007D2A80">
        <w:t>služeb</w:t>
      </w:r>
    </w:p>
    <w:p w:rsidR="007348D4" w:rsidRDefault="00FD41F6" w:rsidP="00EB7E60">
      <w:pPr>
        <w:spacing w:after="0"/>
        <w:rPr>
          <w:rFonts w:cs="Arial"/>
          <w:b/>
        </w:rPr>
      </w:pPr>
      <w:r>
        <w:rPr>
          <w:rFonts w:cs="Arial"/>
          <w:szCs w:val="22"/>
        </w:rPr>
        <w:t xml:space="preserve">Sledování kvality poskytovaných služeb </w:t>
      </w:r>
      <w:r w:rsidR="00350848">
        <w:rPr>
          <w:rFonts w:cs="Arial"/>
          <w:szCs w:val="22"/>
        </w:rPr>
        <w:t xml:space="preserve">je </w:t>
      </w:r>
      <w:r>
        <w:rPr>
          <w:rFonts w:cs="Arial"/>
          <w:szCs w:val="22"/>
        </w:rPr>
        <w:t xml:space="preserve">podle </w:t>
      </w:r>
      <w:r w:rsidR="00265AF4">
        <w:rPr>
          <w:rFonts w:cs="Arial"/>
          <w:szCs w:val="22"/>
        </w:rPr>
        <w:t>k</w:t>
      </w:r>
      <w:r>
        <w:rPr>
          <w:rFonts w:cs="Arial"/>
          <w:szCs w:val="22"/>
        </w:rPr>
        <w:t xml:space="preserve">oncesních smluv zajištěno prostřednictvím </w:t>
      </w:r>
      <w:r w:rsidR="00265AF4" w:rsidRPr="00EB7E60">
        <w:rPr>
          <w:rFonts w:cs="Arial"/>
          <w:szCs w:val="22"/>
        </w:rPr>
        <w:t>v</w:t>
      </w:r>
      <w:r w:rsidRPr="00EB7E60">
        <w:rPr>
          <w:rFonts w:cs="Arial"/>
          <w:szCs w:val="22"/>
        </w:rPr>
        <w:t>ýkonových ukazatelů</w:t>
      </w:r>
      <w:r w:rsidR="00FB5C04">
        <w:rPr>
          <w:rFonts w:cs="Arial"/>
          <w:szCs w:val="22"/>
        </w:rPr>
        <w:t xml:space="preserve">, kterými </w:t>
      </w:r>
      <w:r w:rsidR="00350848">
        <w:rPr>
          <w:rFonts w:cs="Arial"/>
          <w:szCs w:val="22"/>
        </w:rPr>
        <w:t xml:space="preserve">jsou </w:t>
      </w:r>
      <w:r w:rsidR="00FB5C04">
        <w:rPr>
          <w:rFonts w:cs="Arial"/>
          <w:szCs w:val="22"/>
        </w:rPr>
        <w:t xml:space="preserve">například provozní dostupnost </w:t>
      </w:r>
      <w:r w:rsidR="00265AF4">
        <w:rPr>
          <w:rFonts w:cs="Arial"/>
          <w:szCs w:val="22"/>
        </w:rPr>
        <w:t>nebo</w:t>
      </w:r>
      <w:r w:rsidR="00FB5C04">
        <w:rPr>
          <w:rFonts w:cs="Arial"/>
          <w:szCs w:val="22"/>
        </w:rPr>
        <w:t xml:space="preserve"> lhůty řešení incidentů. </w:t>
      </w:r>
      <w:r>
        <w:rPr>
          <w:rFonts w:cs="Arial"/>
          <w:szCs w:val="22"/>
        </w:rPr>
        <w:t>Za jejich nedodržení je MMR oprávněno požadovat sankce.</w:t>
      </w:r>
      <w:r w:rsidR="007348D4" w:rsidRPr="007348D4">
        <w:rPr>
          <w:rFonts w:cs="Arial"/>
        </w:rPr>
        <w:t xml:space="preserve"> </w:t>
      </w:r>
      <w:r w:rsidR="00265AF4">
        <w:rPr>
          <w:rFonts w:cs="Arial"/>
        </w:rPr>
        <w:t>Jedním z </w:t>
      </w:r>
      <w:r w:rsidR="00265AF4" w:rsidRPr="00EB7E60">
        <w:rPr>
          <w:rFonts w:cs="Arial"/>
        </w:rPr>
        <w:t>v</w:t>
      </w:r>
      <w:r w:rsidR="007348D4" w:rsidRPr="00EB7E60">
        <w:rPr>
          <w:rFonts w:cs="Arial"/>
        </w:rPr>
        <w:t>ýkonových ukazatelů</w:t>
      </w:r>
      <w:r w:rsidR="007348D4" w:rsidRPr="00E35D39">
        <w:rPr>
          <w:rFonts w:cs="Arial"/>
        </w:rPr>
        <w:t xml:space="preserve"> </w:t>
      </w:r>
      <w:r w:rsidR="00350848">
        <w:rPr>
          <w:rFonts w:cs="Arial"/>
        </w:rPr>
        <w:t>je</w:t>
      </w:r>
      <w:r w:rsidR="00350848" w:rsidRPr="00E35D39">
        <w:rPr>
          <w:rFonts w:cs="Arial"/>
        </w:rPr>
        <w:t xml:space="preserve"> </w:t>
      </w:r>
      <w:r w:rsidR="007348D4" w:rsidRPr="00DB6784">
        <w:rPr>
          <w:rFonts w:cs="Arial"/>
        </w:rPr>
        <w:t xml:space="preserve">rovněž </w:t>
      </w:r>
      <w:r w:rsidR="007348D4" w:rsidRPr="00DB6784">
        <w:rPr>
          <w:rFonts w:cs="Arial"/>
          <w:b/>
        </w:rPr>
        <w:t>zajištění zálohování a ochran</w:t>
      </w:r>
      <w:r w:rsidR="003D12F5">
        <w:rPr>
          <w:rFonts w:cs="Arial"/>
          <w:b/>
        </w:rPr>
        <w:t>y</w:t>
      </w:r>
      <w:r w:rsidR="007348D4" w:rsidRPr="00DB6784">
        <w:rPr>
          <w:rFonts w:cs="Arial"/>
          <w:b/>
        </w:rPr>
        <w:t xml:space="preserve"> dat, která vznikla do 4 hodin před havárií systému. MMR tento ukazatel </w:t>
      </w:r>
      <w:r w:rsidR="004C0686">
        <w:rPr>
          <w:rFonts w:cs="Arial"/>
          <w:b/>
        </w:rPr>
        <w:t>nesledovalo</w:t>
      </w:r>
      <w:r w:rsidR="00265AF4">
        <w:rPr>
          <w:rFonts w:cs="Arial"/>
          <w:b/>
        </w:rPr>
        <w:t>,</w:t>
      </w:r>
      <w:r w:rsidR="004C0686">
        <w:rPr>
          <w:rFonts w:cs="Arial"/>
          <w:b/>
        </w:rPr>
        <w:t xml:space="preserve"> </w:t>
      </w:r>
      <w:r w:rsidR="007348D4" w:rsidRPr="00DB6784">
        <w:rPr>
          <w:rFonts w:cs="Arial"/>
          <w:b/>
        </w:rPr>
        <w:t>a riziko ztráty dat tak nebylo ze strany MMR řízeno.</w:t>
      </w:r>
    </w:p>
    <w:p w:rsidR="003C4C53" w:rsidRPr="00E35D39" w:rsidRDefault="003C4C53" w:rsidP="00EB7E60">
      <w:pPr>
        <w:spacing w:after="0"/>
        <w:rPr>
          <w:rFonts w:cs="Arial"/>
        </w:rPr>
      </w:pPr>
    </w:p>
    <w:p w:rsidR="00FD41F6" w:rsidRDefault="007348D4" w:rsidP="00EB7E60">
      <w:pPr>
        <w:spacing w:after="0"/>
        <w:rPr>
          <w:rFonts w:cs="Arial"/>
          <w:b/>
        </w:rPr>
      </w:pPr>
      <w:r>
        <w:rPr>
          <w:rFonts w:cs="Arial"/>
        </w:rPr>
        <w:t>U</w:t>
      </w:r>
      <w:r w:rsidR="00FD41F6">
        <w:rPr>
          <w:rFonts w:cs="Arial"/>
        </w:rPr>
        <w:t xml:space="preserve"> </w:t>
      </w:r>
      <w:r w:rsidR="007113F0">
        <w:rPr>
          <w:rFonts w:cs="Arial"/>
        </w:rPr>
        <w:t xml:space="preserve">jednoho z kontrolovaných </w:t>
      </w:r>
      <w:r w:rsidR="00FD41F6">
        <w:rPr>
          <w:rFonts w:cs="Arial"/>
        </w:rPr>
        <w:t>e-tržiš</w:t>
      </w:r>
      <w:r w:rsidR="007113F0">
        <w:rPr>
          <w:rFonts w:cs="Arial"/>
        </w:rPr>
        <w:t>ť</w:t>
      </w:r>
      <w:r w:rsidR="00FD41F6">
        <w:rPr>
          <w:rFonts w:cs="Arial"/>
        </w:rPr>
        <w:t xml:space="preserve"> </w:t>
      </w:r>
      <w:r w:rsidR="00FD41F6" w:rsidRPr="002017F5">
        <w:rPr>
          <w:rFonts w:cs="Arial"/>
        </w:rPr>
        <w:t>docház</w:t>
      </w:r>
      <w:r>
        <w:rPr>
          <w:rFonts w:cs="Arial"/>
        </w:rPr>
        <w:t>elo</w:t>
      </w:r>
      <w:r w:rsidR="00FD41F6" w:rsidRPr="002017F5">
        <w:rPr>
          <w:rFonts w:cs="Arial"/>
        </w:rPr>
        <w:t xml:space="preserve"> </w:t>
      </w:r>
      <w:r w:rsidR="00350848">
        <w:rPr>
          <w:rFonts w:cs="Arial"/>
        </w:rPr>
        <w:t>v</w:t>
      </w:r>
      <w:r w:rsidR="00350848" w:rsidRPr="00E35D39">
        <w:rPr>
          <w:rFonts w:cs="Arial"/>
        </w:rPr>
        <w:t xml:space="preserve"> období od 1. </w:t>
      </w:r>
      <w:r w:rsidR="00350848">
        <w:rPr>
          <w:rFonts w:cs="Arial"/>
        </w:rPr>
        <w:t>července</w:t>
      </w:r>
      <w:r w:rsidR="00350848" w:rsidRPr="00E35D39">
        <w:rPr>
          <w:rFonts w:cs="Arial"/>
        </w:rPr>
        <w:t xml:space="preserve"> 2012 do 30. </w:t>
      </w:r>
      <w:r w:rsidR="00350848">
        <w:rPr>
          <w:rFonts w:cs="Arial"/>
        </w:rPr>
        <w:t>června</w:t>
      </w:r>
      <w:r w:rsidR="00350848" w:rsidRPr="00E35D39">
        <w:rPr>
          <w:rFonts w:cs="Arial"/>
        </w:rPr>
        <w:t xml:space="preserve"> 201</w:t>
      </w:r>
      <w:r w:rsidR="00350848">
        <w:rPr>
          <w:rFonts w:cs="Arial"/>
        </w:rPr>
        <w:t>3</w:t>
      </w:r>
      <w:r w:rsidR="00350848" w:rsidRPr="00E35D39">
        <w:rPr>
          <w:rFonts w:cs="Arial"/>
        </w:rPr>
        <w:t xml:space="preserve"> </w:t>
      </w:r>
      <w:r w:rsidR="00FD41F6" w:rsidRPr="002017F5">
        <w:rPr>
          <w:rFonts w:cs="Arial"/>
        </w:rPr>
        <w:t>k opakovanému překračování intervalu</w:t>
      </w:r>
      <w:r w:rsidR="00DB6784">
        <w:rPr>
          <w:rFonts w:cs="Arial"/>
        </w:rPr>
        <w:t xml:space="preserve"> zjišťování provozní dostupnosti</w:t>
      </w:r>
      <w:r w:rsidR="00447D77">
        <w:rPr>
          <w:rFonts w:cs="Arial"/>
        </w:rPr>
        <w:t>.</w:t>
      </w:r>
      <w:r w:rsidR="007113F0">
        <w:rPr>
          <w:rFonts w:cs="Arial"/>
        </w:rPr>
        <w:t xml:space="preserve"> </w:t>
      </w:r>
      <w:r w:rsidR="00350848" w:rsidRPr="00DF1407">
        <w:rPr>
          <w:rFonts w:cs="Arial"/>
          <w:b/>
        </w:rPr>
        <w:t>D</w:t>
      </w:r>
      <w:r w:rsidR="008F39FF" w:rsidRPr="00DF1407">
        <w:rPr>
          <w:rFonts w:cs="Arial"/>
          <w:b/>
        </w:rPr>
        <w:t xml:space="preserve">ošlo </w:t>
      </w:r>
      <w:r w:rsidR="00DB6784" w:rsidRPr="00DF1407">
        <w:rPr>
          <w:rFonts w:cs="Arial"/>
          <w:b/>
        </w:rPr>
        <w:t xml:space="preserve">například </w:t>
      </w:r>
      <w:r w:rsidR="00FD41F6" w:rsidRPr="00DF1407">
        <w:rPr>
          <w:rFonts w:cs="Arial"/>
          <w:b/>
        </w:rPr>
        <w:t>k</w:t>
      </w:r>
      <w:r w:rsidR="002C671F">
        <w:rPr>
          <w:rFonts w:cs="Arial"/>
          <w:b/>
        </w:rPr>
        <w:t> </w:t>
      </w:r>
      <w:r w:rsidR="00FD41F6" w:rsidRPr="00DF1407">
        <w:rPr>
          <w:rFonts w:cs="Arial"/>
          <w:b/>
        </w:rPr>
        <w:t xml:space="preserve">353 případům nedodržení </w:t>
      </w:r>
      <w:r w:rsidR="00DB6784" w:rsidRPr="00DF1407">
        <w:rPr>
          <w:rFonts w:cs="Arial"/>
          <w:b/>
        </w:rPr>
        <w:t>tohoto v</w:t>
      </w:r>
      <w:r w:rsidR="00FD41F6" w:rsidRPr="00DF1407">
        <w:rPr>
          <w:rFonts w:cs="Arial"/>
          <w:b/>
        </w:rPr>
        <w:t>ýkonového ukazatele, což odpovídá sankcím v</w:t>
      </w:r>
      <w:r w:rsidRPr="00DF1407">
        <w:rPr>
          <w:rFonts w:cs="Arial"/>
          <w:b/>
        </w:rPr>
        <w:t xml:space="preserve">e výši </w:t>
      </w:r>
      <w:r w:rsidR="00FD41F6" w:rsidRPr="00DF1407">
        <w:rPr>
          <w:rFonts w:cs="Arial"/>
          <w:b/>
        </w:rPr>
        <w:t>1 412 000 Kč</w:t>
      </w:r>
      <w:r w:rsidR="00640D0E" w:rsidRPr="00DF1407">
        <w:rPr>
          <w:rFonts w:cs="Arial"/>
          <w:b/>
        </w:rPr>
        <w:t>.</w:t>
      </w:r>
      <w:r w:rsidR="00FD41F6" w:rsidRPr="00DF1407">
        <w:rPr>
          <w:rFonts w:cs="Arial"/>
          <w:b/>
        </w:rPr>
        <w:t xml:space="preserve"> MMR tyto sankce neuplatnilo. </w:t>
      </w:r>
      <w:r w:rsidR="00447D77" w:rsidRPr="00DF1407">
        <w:rPr>
          <w:rFonts w:cs="Arial"/>
          <w:b/>
        </w:rPr>
        <w:t xml:space="preserve">U </w:t>
      </w:r>
      <w:r w:rsidR="00DB6784" w:rsidRPr="00DF1407">
        <w:rPr>
          <w:rFonts w:cs="Arial"/>
          <w:b/>
        </w:rPr>
        <w:t xml:space="preserve">jiného </w:t>
      </w:r>
      <w:r w:rsidR="00447D77" w:rsidRPr="00DF1407">
        <w:rPr>
          <w:rFonts w:cs="Arial"/>
          <w:b/>
        </w:rPr>
        <w:t xml:space="preserve">e-tržiště </w:t>
      </w:r>
      <w:r w:rsidR="00DB6784" w:rsidRPr="00DF1407">
        <w:rPr>
          <w:rFonts w:cs="Arial"/>
          <w:b/>
        </w:rPr>
        <w:t>s ohledem</w:t>
      </w:r>
      <w:r w:rsidR="00DB6784" w:rsidRPr="00DB6784">
        <w:rPr>
          <w:rFonts w:cs="Arial"/>
          <w:b/>
        </w:rPr>
        <w:t xml:space="preserve"> na </w:t>
      </w:r>
      <w:r w:rsidR="002424BC">
        <w:rPr>
          <w:rFonts w:cs="Arial"/>
          <w:b/>
        </w:rPr>
        <w:t xml:space="preserve">nízkou </w:t>
      </w:r>
      <w:r w:rsidR="00DB6784" w:rsidRPr="00DB6784">
        <w:rPr>
          <w:rFonts w:cs="Arial"/>
          <w:b/>
        </w:rPr>
        <w:t xml:space="preserve">kvalitu </w:t>
      </w:r>
      <w:r w:rsidR="00447D77" w:rsidRPr="00DB6784">
        <w:rPr>
          <w:rFonts w:cs="Arial"/>
          <w:b/>
        </w:rPr>
        <w:t xml:space="preserve">předložených dat nemohl </w:t>
      </w:r>
      <w:r w:rsidR="008C34B5" w:rsidRPr="00DB6784">
        <w:rPr>
          <w:rFonts w:cs="Arial"/>
          <w:b/>
        </w:rPr>
        <w:t xml:space="preserve">NKÚ </w:t>
      </w:r>
      <w:r w:rsidR="00447D77" w:rsidRPr="00DB6784">
        <w:rPr>
          <w:rFonts w:cs="Arial"/>
          <w:b/>
        </w:rPr>
        <w:t>dodržování těchto intervalů vyhodnotit</w:t>
      </w:r>
      <w:r w:rsidR="00DB6784" w:rsidRPr="00DB6784">
        <w:rPr>
          <w:rFonts w:cs="Arial"/>
          <w:b/>
        </w:rPr>
        <w:t xml:space="preserve"> vůbec</w:t>
      </w:r>
      <w:r w:rsidR="00447D77" w:rsidRPr="00DB6784">
        <w:rPr>
          <w:rFonts w:cs="Arial"/>
          <w:b/>
        </w:rPr>
        <w:t>.</w:t>
      </w:r>
      <w:r w:rsidR="00DB6784">
        <w:rPr>
          <w:rFonts w:cs="Arial"/>
          <w:b/>
        </w:rPr>
        <w:t xml:space="preserve"> </w:t>
      </w:r>
      <w:r w:rsidR="00E35D39" w:rsidRPr="00E35D39">
        <w:rPr>
          <w:rFonts w:cs="Arial"/>
          <w:b/>
        </w:rPr>
        <w:t>MMR tím, že neuplatnilo sankce</w:t>
      </w:r>
      <w:r w:rsidR="001B3A5D">
        <w:rPr>
          <w:rFonts w:cs="Arial"/>
          <w:b/>
        </w:rPr>
        <w:t>,</w:t>
      </w:r>
      <w:r w:rsidR="00FD41F6" w:rsidRPr="00E35D39">
        <w:rPr>
          <w:rFonts w:cs="Arial"/>
          <w:b/>
        </w:rPr>
        <w:t xml:space="preserve"> </w:t>
      </w:r>
      <w:r w:rsidR="00C56902">
        <w:rPr>
          <w:rFonts w:cs="Arial"/>
          <w:b/>
        </w:rPr>
        <w:t>porušilo § 14 odst. 5</w:t>
      </w:r>
      <w:r w:rsidR="00711225">
        <w:rPr>
          <w:rFonts w:cs="Arial"/>
          <w:b/>
        </w:rPr>
        <w:t xml:space="preserve"> </w:t>
      </w:r>
      <w:r w:rsidR="00C56902">
        <w:rPr>
          <w:rFonts w:cs="Arial"/>
          <w:b/>
        </w:rPr>
        <w:t>zákona</w:t>
      </w:r>
      <w:r w:rsidR="00711225">
        <w:rPr>
          <w:rFonts w:cs="Arial"/>
          <w:b/>
        </w:rPr>
        <w:t xml:space="preserve"> č. 219/2000 Sb., o majetku České republiky a jejím vystupování v právních </w:t>
      </w:r>
      <w:r w:rsidR="00C56902">
        <w:rPr>
          <w:rFonts w:cs="Arial"/>
          <w:b/>
        </w:rPr>
        <w:t>vztazích.</w:t>
      </w:r>
    </w:p>
    <w:p w:rsidR="003C4C53" w:rsidRDefault="003C4C53" w:rsidP="00EB7E60">
      <w:pPr>
        <w:spacing w:after="0"/>
        <w:rPr>
          <w:rFonts w:cs="Arial"/>
          <w:b/>
        </w:rPr>
      </w:pPr>
    </w:p>
    <w:p w:rsidR="00EB6920" w:rsidRDefault="00EB6920" w:rsidP="00EB7E60">
      <w:pPr>
        <w:spacing w:after="0"/>
        <w:rPr>
          <w:rFonts w:cs="Arial"/>
          <w:b/>
        </w:rPr>
      </w:pPr>
    </w:p>
    <w:p w:rsidR="00EB6920" w:rsidRDefault="00EB6920" w:rsidP="00EB7E60">
      <w:pPr>
        <w:spacing w:after="0"/>
        <w:rPr>
          <w:rFonts w:cs="Arial"/>
          <w:b/>
        </w:rPr>
      </w:pPr>
    </w:p>
    <w:p w:rsidR="00EB6920" w:rsidRPr="00C62756" w:rsidRDefault="00EB6920" w:rsidP="00EB7E60">
      <w:pPr>
        <w:spacing w:after="0"/>
        <w:rPr>
          <w:rFonts w:cs="Arial"/>
          <w:b/>
        </w:rPr>
      </w:pPr>
    </w:p>
    <w:p w:rsidR="00452CB4" w:rsidRDefault="00814E60" w:rsidP="00EB7E60">
      <w:pPr>
        <w:pStyle w:val="Nadpis1"/>
        <w:keepNext w:val="0"/>
        <w:keepLines w:val="0"/>
        <w:spacing w:before="0"/>
      </w:pPr>
      <w:r>
        <w:lastRenderedPageBreak/>
        <w:t xml:space="preserve">5. </w:t>
      </w:r>
      <w:r w:rsidR="00A61B3D" w:rsidRPr="007A071D">
        <w:t xml:space="preserve">Analýza </w:t>
      </w:r>
      <w:r w:rsidR="006D0D0E">
        <w:t xml:space="preserve">provozu </w:t>
      </w:r>
      <w:r w:rsidR="005D2B9B">
        <w:t>e-tržiš</w:t>
      </w:r>
      <w:r w:rsidR="002F1141">
        <w:t>ť</w:t>
      </w:r>
      <w:r w:rsidR="00A61B3D" w:rsidRPr="007A071D">
        <w:t xml:space="preserve"> </w:t>
      </w:r>
    </w:p>
    <w:p w:rsidR="00410607" w:rsidRDefault="003135B6" w:rsidP="00EB7E60">
      <w:pPr>
        <w:spacing w:after="0"/>
        <w:rPr>
          <w:rFonts w:cs="Arial"/>
          <w:szCs w:val="22"/>
        </w:rPr>
      </w:pPr>
      <w:r>
        <w:rPr>
          <w:rFonts w:cs="Arial"/>
          <w:szCs w:val="22"/>
        </w:rPr>
        <w:t>N</w:t>
      </w:r>
      <w:r w:rsidR="00410607">
        <w:rPr>
          <w:rFonts w:cs="Arial"/>
          <w:szCs w:val="22"/>
        </w:rPr>
        <w:t xml:space="preserve">a e-tržištích za </w:t>
      </w:r>
      <w:r w:rsidR="00C040A4">
        <w:rPr>
          <w:rFonts w:cs="Arial"/>
          <w:szCs w:val="22"/>
        </w:rPr>
        <w:t xml:space="preserve">první rok provozu </w:t>
      </w:r>
      <w:r w:rsidR="002C671F">
        <w:rPr>
          <w:rFonts w:cs="Arial"/>
          <w:szCs w:val="22"/>
        </w:rPr>
        <w:t>v </w:t>
      </w:r>
      <w:r w:rsidR="00410607">
        <w:rPr>
          <w:rFonts w:cs="Arial"/>
          <w:szCs w:val="22"/>
        </w:rPr>
        <w:t>období od</w:t>
      </w:r>
      <w:r w:rsidR="00410607" w:rsidRPr="00452CB4">
        <w:rPr>
          <w:rFonts w:cs="Arial"/>
          <w:szCs w:val="22"/>
        </w:rPr>
        <w:t xml:space="preserve"> 1. </w:t>
      </w:r>
      <w:r w:rsidR="0072233D">
        <w:rPr>
          <w:rFonts w:cs="Arial"/>
          <w:szCs w:val="22"/>
        </w:rPr>
        <w:t>července</w:t>
      </w:r>
      <w:r w:rsidR="00410607" w:rsidRPr="00452CB4">
        <w:rPr>
          <w:rFonts w:cs="Arial"/>
          <w:szCs w:val="22"/>
        </w:rPr>
        <w:t xml:space="preserve"> 2012 do 30. </w:t>
      </w:r>
      <w:r w:rsidR="0072233D">
        <w:rPr>
          <w:rFonts w:cs="Arial"/>
          <w:szCs w:val="22"/>
        </w:rPr>
        <w:t>června</w:t>
      </w:r>
      <w:r w:rsidR="00410607" w:rsidRPr="00452CB4">
        <w:rPr>
          <w:rFonts w:cs="Arial"/>
          <w:szCs w:val="22"/>
        </w:rPr>
        <w:t xml:space="preserve"> 2013</w:t>
      </w:r>
      <w:r w:rsidR="00C040A4">
        <w:rPr>
          <w:rFonts w:cs="Arial"/>
          <w:szCs w:val="22"/>
        </w:rPr>
        <w:t xml:space="preserve"> </w:t>
      </w:r>
      <w:r w:rsidR="00410607" w:rsidRPr="00452CB4">
        <w:rPr>
          <w:rFonts w:cs="Arial"/>
          <w:szCs w:val="22"/>
        </w:rPr>
        <w:t xml:space="preserve">bylo </w:t>
      </w:r>
      <w:r w:rsidR="003A1950">
        <w:rPr>
          <w:rFonts w:cs="Arial"/>
          <w:szCs w:val="22"/>
        </w:rPr>
        <w:t xml:space="preserve">dle </w:t>
      </w:r>
      <w:r w:rsidR="00B66266">
        <w:rPr>
          <w:rFonts w:cs="Arial"/>
          <w:szCs w:val="22"/>
        </w:rPr>
        <w:t>datasetu</w:t>
      </w:r>
      <w:r w:rsidR="007E7767">
        <w:rPr>
          <w:rFonts w:cs="Arial"/>
          <w:szCs w:val="22"/>
        </w:rPr>
        <w:t xml:space="preserve"> VZ</w:t>
      </w:r>
      <w:r w:rsidR="007348D4">
        <w:rPr>
          <w:rStyle w:val="Znakapoznpodarou"/>
          <w:szCs w:val="22"/>
        </w:rPr>
        <w:footnoteReference w:id="14"/>
      </w:r>
      <w:r w:rsidR="003A1950">
        <w:rPr>
          <w:rFonts w:cs="Arial"/>
          <w:szCs w:val="22"/>
        </w:rPr>
        <w:t xml:space="preserve"> </w:t>
      </w:r>
      <w:r w:rsidR="00B66266">
        <w:rPr>
          <w:rFonts w:cs="Arial"/>
          <w:szCs w:val="22"/>
        </w:rPr>
        <w:t>evidováno</w:t>
      </w:r>
      <w:r w:rsidR="00C040A4">
        <w:rPr>
          <w:rStyle w:val="Znakapoznpodarou"/>
          <w:szCs w:val="22"/>
        </w:rPr>
        <w:footnoteReference w:id="15"/>
      </w:r>
      <w:r w:rsidR="00C040A4">
        <w:rPr>
          <w:rFonts w:cs="Arial"/>
          <w:szCs w:val="22"/>
        </w:rPr>
        <w:t xml:space="preserve"> </w:t>
      </w:r>
      <w:r w:rsidR="00410607" w:rsidRPr="00452CB4">
        <w:rPr>
          <w:rFonts w:cs="Arial"/>
          <w:szCs w:val="22"/>
        </w:rPr>
        <w:t>44 218 veřejných zakázek</w:t>
      </w:r>
      <w:r w:rsidR="00BB3F42">
        <w:rPr>
          <w:rFonts w:cs="Arial"/>
          <w:szCs w:val="22"/>
        </w:rPr>
        <w:t>. Z</w:t>
      </w:r>
      <w:r w:rsidR="00410607" w:rsidRPr="00452CB4">
        <w:rPr>
          <w:rFonts w:cs="Arial"/>
          <w:szCs w:val="22"/>
        </w:rPr>
        <w:t xml:space="preserve"> toho 31 766 </w:t>
      </w:r>
      <w:r w:rsidR="00624C20">
        <w:rPr>
          <w:rFonts w:cs="Arial"/>
          <w:szCs w:val="22"/>
        </w:rPr>
        <w:t>(31 076 VZ od povinných zadavatelů a 690 VZ</w:t>
      </w:r>
      <w:r w:rsidR="002B1302">
        <w:rPr>
          <w:rFonts w:cs="Arial"/>
          <w:szCs w:val="22"/>
        </w:rPr>
        <w:t xml:space="preserve"> od</w:t>
      </w:r>
      <w:r w:rsidR="00624C20">
        <w:rPr>
          <w:rFonts w:cs="Arial"/>
          <w:szCs w:val="22"/>
        </w:rPr>
        <w:t xml:space="preserve"> nepovinných)</w:t>
      </w:r>
      <w:r w:rsidR="000C78DD">
        <w:rPr>
          <w:rFonts w:cs="Arial"/>
          <w:szCs w:val="22"/>
        </w:rPr>
        <w:t xml:space="preserve"> </w:t>
      </w:r>
      <w:r w:rsidR="00410607" w:rsidRPr="00452CB4">
        <w:rPr>
          <w:rFonts w:cs="Arial"/>
          <w:szCs w:val="22"/>
        </w:rPr>
        <w:t>o celkové hodnotě 2,25 mld. Kč bez DPH</w:t>
      </w:r>
      <w:r w:rsidR="00410607" w:rsidRPr="00155E00">
        <w:rPr>
          <w:rFonts w:cs="Arial"/>
          <w:szCs w:val="22"/>
        </w:rPr>
        <w:t xml:space="preserve"> </w:t>
      </w:r>
      <w:r w:rsidR="00410607" w:rsidRPr="00452CB4">
        <w:rPr>
          <w:rFonts w:cs="Arial"/>
          <w:szCs w:val="22"/>
        </w:rPr>
        <w:t>byl</w:t>
      </w:r>
      <w:r w:rsidR="00410607">
        <w:rPr>
          <w:rFonts w:cs="Arial"/>
          <w:szCs w:val="22"/>
        </w:rPr>
        <w:t>o zadáno, t</w:t>
      </w:r>
      <w:r w:rsidR="002B1302">
        <w:rPr>
          <w:rFonts w:cs="Arial"/>
          <w:szCs w:val="22"/>
        </w:rPr>
        <w:t>j. </w:t>
      </w:r>
      <w:r w:rsidR="00410607" w:rsidRPr="00452CB4">
        <w:rPr>
          <w:rFonts w:cs="Arial"/>
          <w:szCs w:val="22"/>
        </w:rPr>
        <w:t xml:space="preserve">s dodavatelem </w:t>
      </w:r>
      <w:r w:rsidR="00BB3F42">
        <w:rPr>
          <w:rFonts w:cs="Arial"/>
          <w:szCs w:val="22"/>
        </w:rPr>
        <w:t xml:space="preserve">byla </w:t>
      </w:r>
      <w:r w:rsidR="00410607" w:rsidRPr="00452CB4">
        <w:rPr>
          <w:rFonts w:cs="Arial"/>
          <w:szCs w:val="22"/>
        </w:rPr>
        <w:t>uzavřena smlouva.</w:t>
      </w:r>
      <w:r w:rsidR="00B66266">
        <w:rPr>
          <w:rFonts w:cs="Arial"/>
          <w:szCs w:val="22"/>
        </w:rPr>
        <w:t xml:space="preserve"> </w:t>
      </w:r>
      <w:r w:rsidR="00350848">
        <w:rPr>
          <w:rFonts w:cs="Arial"/>
          <w:szCs w:val="22"/>
        </w:rPr>
        <w:t xml:space="preserve">Zakázky byly </w:t>
      </w:r>
      <w:r w:rsidR="002C671F">
        <w:rPr>
          <w:rFonts w:cs="Arial"/>
          <w:szCs w:val="22"/>
        </w:rPr>
        <w:t>v </w:t>
      </w:r>
      <w:r w:rsidR="00350848">
        <w:rPr>
          <w:rFonts w:cs="Arial"/>
          <w:szCs w:val="22"/>
        </w:rPr>
        <w:t xml:space="preserve">prvním roce provozu nejčastěji </w:t>
      </w:r>
      <w:r w:rsidR="00CD0FA7">
        <w:rPr>
          <w:rFonts w:cs="Arial"/>
          <w:szCs w:val="22"/>
        </w:rPr>
        <w:t>(89,1</w:t>
      </w:r>
      <w:r w:rsidR="00165079">
        <w:rPr>
          <w:rFonts w:cs="Arial"/>
          <w:szCs w:val="22"/>
        </w:rPr>
        <w:t> </w:t>
      </w:r>
      <w:r w:rsidR="00CD0FA7">
        <w:rPr>
          <w:rFonts w:cs="Arial"/>
          <w:szCs w:val="22"/>
        </w:rPr>
        <w:t xml:space="preserve">%) </w:t>
      </w:r>
      <w:r w:rsidR="00350848" w:rsidRPr="002916C5">
        <w:rPr>
          <w:rFonts w:cs="Arial"/>
          <w:szCs w:val="22"/>
        </w:rPr>
        <w:t xml:space="preserve">hodnoceny </w:t>
      </w:r>
      <w:r w:rsidR="00350848">
        <w:rPr>
          <w:rFonts w:cs="Arial"/>
          <w:szCs w:val="22"/>
        </w:rPr>
        <w:t xml:space="preserve">dle kritéria </w:t>
      </w:r>
      <w:r w:rsidR="002B1302">
        <w:rPr>
          <w:rFonts w:cs="Arial"/>
          <w:szCs w:val="22"/>
        </w:rPr>
        <w:t>„</w:t>
      </w:r>
      <w:r w:rsidR="00350848" w:rsidRPr="00EB7E60">
        <w:rPr>
          <w:rFonts w:cs="Arial"/>
          <w:i/>
          <w:szCs w:val="22"/>
        </w:rPr>
        <w:t>nejnižší nabídková cena</w:t>
      </w:r>
      <w:r w:rsidR="002B1302">
        <w:rPr>
          <w:rFonts w:cs="Arial"/>
          <w:szCs w:val="22"/>
        </w:rPr>
        <w:t>“</w:t>
      </w:r>
      <w:r w:rsidR="00350848" w:rsidRPr="002916C5">
        <w:rPr>
          <w:rFonts w:cs="Arial"/>
          <w:szCs w:val="22"/>
        </w:rPr>
        <w:t xml:space="preserve">. </w:t>
      </w:r>
      <w:r w:rsidR="00A644B2">
        <w:rPr>
          <w:rFonts w:cs="Arial"/>
          <w:szCs w:val="22"/>
        </w:rPr>
        <w:t xml:space="preserve">Jen za </w:t>
      </w:r>
      <w:r w:rsidR="00350848">
        <w:rPr>
          <w:rFonts w:cs="Arial"/>
          <w:szCs w:val="22"/>
        </w:rPr>
        <w:t xml:space="preserve">následující </w:t>
      </w:r>
      <w:r w:rsidR="00233560">
        <w:rPr>
          <w:rFonts w:cs="Arial"/>
          <w:szCs w:val="22"/>
        </w:rPr>
        <w:t>čtyři měsíce od 30. </w:t>
      </w:r>
      <w:r w:rsidR="0072233D">
        <w:rPr>
          <w:rFonts w:cs="Arial"/>
          <w:szCs w:val="22"/>
        </w:rPr>
        <w:t>června</w:t>
      </w:r>
      <w:r w:rsidR="00A644B2">
        <w:rPr>
          <w:rFonts w:cs="Arial"/>
          <w:szCs w:val="22"/>
        </w:rPr>
        <w:t xml:space="preserve"> 2013 narostl </w:t>
      </w:r>
      <w:r w:rsidR="006436AF">
        <w:rPr>
          <w:rFonts w:cs="Arial"/>
          <w:szCs w:val="22"/>
        </w:rPr>
        <w:t xml:space="preserve">celkový </w:t>
      </w:r>
      <w:r w:rsidR="00A644B2">
        <w:rPr>
          <w:rFonts w:cs="Arial"/>
          <w:szCs w:val="22"/>
        </w:rPr>
        <w:t xml:space="preserve">počet zadaných VZ na </w:t>
      </w:r>
      <w:r w:rsidR="00A644B2" w:rsidRPr="00A644B2">
        <w:rPr>
          <w:rFonts w:cs="Arial"/>
          <w:szCs w:val="22"/>
        </w:rPr>
        <w:t>45</w:t>
      </w:r>
      <w:r w:rsidR="00A644B2">
        <w:rPr>
          <w:rFonts w:cs="Arial"/>
          <w:szCs w:val="22"/>
        </w:rPr>
        <w:t> </w:t>
      </w:r>
      <w:r w:rsidR="00A644B2" w:rsidRPr="00A644B2">
        <w:rPr>
          <w:rFonts w:cs="Arial"/>
          <w:szCs w:val="22"/>
        </w:rPr>
        <w:t>815</w:t>
      </w:r>
      <w:r w:rsidR="00A644B2">
        <w:rPr>
          <w:rFonts w:cs="Arial"/>
          <w:szCs w:val="22"/>
        </w:rPr>
        <w:t xml:space="preserve"> </w:t>
      </w:r>
      <w:r w:rsidR="00A644B2" w:rsidRPr="00452CB4">
        <w:rPr>
          <w:rFonts w:cs="Arial"/>
          <w:szCs w:val="22"/>
        </w:rPr>
        <w:t>o celkové smluvní ceně 3,39</w:t>
      </w:r>
      <w:r w:rsidR="002B1302">
        <w:rPr>
          <w:rFonts w:cs="Arial"/>
          <w:szCs w:val="22"/>
        </w:rPr>
        <w:t> </w:t>
      </w:r>
      <w:r w:rsidR="00A644B2" w:rsidRPr="00452CB4">
        <w:rPr>
          <w:rFonts w:cs="Arial"/>
          <w:szCs w:val="22"/>
        </w:rPr>
        <w:t>mld.</w:t>
      </w:r>
      <w:r w:rsidR="002B1302">
        <w:rPr>
          <w:rFonts w:cs="Arial"/>
          <w:szCs w:val="22"/>
        </w:rPr>
        <w:t> </w:t>
      </w:r>
      <w:r w:rsidR="00A644B2" w:rsidRPr="00452CB4">
        <w:rPr>
          <w:rFonts w:cs="Arial"/>
          <w:szCs w:val="22"/>
        </w:rPr>
        <w:t>Kč bez DPH</w:t>
      </w:r>
      <w:r w:rsidR="00A644B2">
        <w:rPr>
          <w:rFonts w:cs="Arial"/>
          <w:szCs w:val="22"/>
        </w:rPr>
        <w:t xml:space="preserve">, blíže viz následující </w:t>
      </w:r>
      <w:r w:rsidR="002B1302">
        <w:rPr>
          <w:rFonts w:cs="Arial"/>
          <w:szCs w:val="22"/>
        </w:rPr>
        <w:t>g</w:t>
      </w:r>
      <w:r w:rsidR="00A644B2">
        <w:rPr>
          <w:rFonts w:cs="Arial"/>
          <w:szCs w:val="22"/>
        </w:rPr>
        <w:t>raf</w:t>
      </w:r>
      <w:r w:rsidR="003D12F5">
        <w:rPr>
          <w:rFonts w:cs="Arial"/>
          <w:szCs w:val="22"/>
        </w:rPr>
        <w:t xml:space="preserve"> č. 1.</w:t>
      </w:r>
    </w:p>
    <w:p w:rsidR="003C4C53" w:rsidRPr="00452CB4" w:rsidRDefault="003C4C53" w:rsidP="00EB7E60">
      <w:pPr>
        <w:spacing w:after="0"/>
        <w:rPr>
          <w:rFonts w:cs="Arial"/>
          <w:szCs w:val="22"/>
        </w:rPr>
      </w:pPr>
    </w:p>
    <w:p w:rsidR="00410607" w:rsidRPr="00EB7E60" w:rsidRDefault="00410607" w:rsidP="00410607">
      <w:pPr>
        <w:pStyle w:val="Titulek"/>
        <w:spacing w:after="60"/>
        <w:rPr>
          <w:rFonts w:cs="Arial"/>
        </w:rPr>
      </w:pPr>
      <w:r>
        <w:t xml:space="preserve">Graf č. </w:t>
      </w:r>
      <w:r w:rsidR="004E1CDF">
        <w:fldChar w:fldCharType="begin"/>
      </w:r>
      <w:r w:rsidR="004E1CDF">
        <w:instrText xml:space="preserve"> SEQ Graf_č. \* ARABIC </w:instrText>
      </w:r>
      <w:r w:rsidR="004E1CDF">
        <w:fldChar w:fldCharType="separate"/>
      </w:r>
      <w:r w:rsidR="00022DA3">
        <w:rPr>
          <w:noProof/>
        </w:rPr>
        <w:t>1</w:t>
      </w:r>
      <w:r w:rsidR="004E1CDF">
        <w:rPr>
          <w:noProof/>
        </w:rPr>
        <w:fldChar w:fldCharType="end"/>
      </w:r>
      <w:r w:rsidRPr="00EB7E60">
        <w:t xml:space="preserve"> </w:t>
      </w:r>
      <w:r w:rsidR="00A644B2" w:rsidRPr="00EB7E60">
        <w:rPr>
          <w:rFonts w:cs="Arial"/>
        </w:rPr>
        <w:t>–</w:t>
      </w:r>
      <w:r w:rsidRPr="00EB7E60">
        <w:rPr>
          <w:rFonts w:cs="Arial"/>
        </w:rPr>
        <w:t xml:space="preserve"> Přehled</w:t>
      </w:r>
      <w:r w:rsidR="00A644B2" w:rsidRPr="00EB7E60">
        <w:rPr>
          <w:rFonts w:cs="Arial"/>
        </w:rPr>
        <w:t xml:space="preserve"> </w:t>
      </w:r>
      <w:r w:rsidR="00CB1A42" w:rsidRPr="00EB7E60">
        <w:rPr>
          <w:rFonts w:cs="Arial"/>
        </w:rPr>
        <w:t xml:space="preserve">evidovaných </w:t>
      </w:r>
      <w:r w:rsidRPr="00EB7E60">
        <w:rPr>
          <w:rFonts w:cs="Arial"/>
        </w:rPr>
        <w:t>VZ</w:t>
      </w:r>
      <w:r w:rsidR="00CB1A42" w:rsidRPr="00EB7E60">
        <w:rPr>
          <w:rFonts w:cs="Arial"/>
        </w:rPr>
        <w:t xml:space="preserve"> </w:t>
      </w:r>
      <w:r w:rsidR="009559EA" w:rsidRPr="00EB7E60">
        <w:rPr>
          <w:rFonts w:cs="Arial"/>
        </w:rPr>
        <w:t xml:space="preserve">dle stavu řízení a </w:t>
      </w:r>
      <w:r w:rsidR="002B1302" w:rsidRPr="00EB7E60">
        <w:rPr>
          <w:rFonts w:cs="Arial"/>
        </w:rPr>
        <w:t xml:space="preserve">dle </w:t>
      </w:r>
      <w:r w:rsidR="009559EA" w:rsidRPr="00EB7E60">
        <w:rPr>
          <w:rFonts w:cs="Arial"/>
        </w:rPr>
        <w:t>e-tržišť</w:t>
      </w:r>
    </w:p>
    <w:p w:rsidR="00410607" w:rsidRPr="00452CB4" w:rsidRDefault="00FD2C78" w:rsidP="00A644B2">
      <w:pPr>
        <w:spacing w:after="0"/>
        <w:rPr>
          <w:rFonts w:cs="Arial"/>
          <w:szCs w:val="22"/>
        </w:rPr>
      </w:pPr>
      <w:r>
        <w:rPr>
          <w:rFonts w:cs="Arial"/>
          <w:noProof/>
          <w:szCs w:val="22"/>
          <w:lang w:eastAsia="cs-CZ"/>
        </w:rPr>
        <w:drawing>
          <wp:inline distT="0" distB="0" distL="0" distR="0" wp14:anchorId="749E1CE3">
            <wp:extent cx="6027089" cy="3122728"/>
            <wp:effectExtent l="0" t="0" r="0" b="1905"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 rotWithShape="1"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43" t="684" r="143" b="684"/>
                    <a:stretch/>
                  </pic:blipFill>
                  <pic:spPr bwMode="auto">
                    <a:xfrm>
                      <a:off x="0" y="0"/>
                      <a:ext cx="6030780" cy="31246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2B1302" w:rsidRDefault="002B1302" w:rsidP="00C1112C">
      <w:pPr>
        <w:spacing w:after="0"/>
        <w:rPr>
          <w:rFonts w:cs="Arial"/>
          <w:b/>
          <w:sz w:val="18"/>
          <w:szCs w:val="18"/>
        </w:rPr>
      </w:pPr>
      <w:r w:rsidRPr="0072233D">
        <w:rPr>
          <w:rFonts w:cs="Arial"/>
          <w:b/>
          <w:sz w:val="18"/>
          <w:szCs w:val="18"/>
        </w:rPr>
        <w:t>Zdroj:</w:t>
      </w:r>
      <w:r w:rsidRPr="0072233D">
        <w:rPr>
          <w:rFonts w:cs="Arial"/>
          <w:sz w:val="18"/>
          <w:szCs w:val="18"/>
        </w:rPr>
        <w:t xml:space="preserve"> </w:t>
      </w:r>
      <w:proofErr w:type="spellStart"/>
      <w:r w:rsidRPr="0072233D">
        <w:rPr>
          <w:rFonts w:cs="Arial"/>
          <w:sz w:val="18"/>
          <w:szCs w:val="18"/>
        </w:rPr>
        <w:t>dataset</w:t>
      </w:r>
      <w:proofErr w:type="spellEnd"/>
      <w:r>
        <w:rPr>
          <w:rFonts w:cs="Arial"/>
          <w:sz w:val="18"/>
          <w:szCs w:val="18"/>
        </w:rPr>
        <w:t xml:space="preserve"> </w:t>
      </w:r>
      <w:proofErr w:type="spellStart"/>
      <w:r>
        <w:rPr>
          <w:rFonts w:cs="Arial"/>
          <w:sz w:val="18"/>
          <w:szCs w:val="18"/>
        </w:rPr>
        <w:t>VZ</w:t>
      </w:r>
      <w:proofErr w:type="spellEnd"/>
      <w:r w:rsidRPr="0072233D">
        <w:rPr>
          <w:rFonts w:cs="Arial"/>
          <w:sz w:val="18"/>
          <w:szCs w:val="18"/>
        </w:rPr>
        <w:t>; zpracován</w:t>
      </w:r>
      <w:r>
        <w:rPr>
          <w:rFonts w:cs="Arial"/>
          <w:sz w:val="18"/>
          <w:szCs w:val="18"/>
        </w:rPr>
        <w:t>o NKÚ.</w:t>
      </w:r>
    </w:p>
    <w:p w:rsidR="00C1112C" w:rsidRPr="0072233D" w:rsidRDefault="00C1112C" w:rsidP="006509E8">
      <w:pPr>
        <w:spacing w:before="20" w:after="0"/>
        <w:rPr>
          <w:rFonts w:cs="Arial"/>
          <w:sz w:val="18"/>
          <w:szCs w:val="18"/>
        </w:rPr>
      </w:pPr>
      <w:r w:rsidRPr="0072233D">
        <w:rPr>
          <w:rFonts w:cs="Arial"/>
          <w:b/>
          <w:sz w:val="18"/>
          <w:szCs w:val="18"/>
        </w:rPr>
        <w:t>Pozn.:</w:t>
      </w:r>
      <w:r w:rsidRPr="0072233D">
        <w:rPr>
          <w:rFonts w:cs="Arial"/>
          <w:sz w:val="18"/>
          <w:szCs w:val="18"/>
        </w:rPr>
        <w:t xml:space="preserve"> Údaje MMR </w:t>
      </w:r>
      <w:r w:rsidR="002B1302">
        <w:rPr>
          <w:rFonts w:cs="Arial"/>
          <w:sz w:val="18"/>
          <w:szCs w:val="18"/>
        </w:rPr>
        <w:t xml:space="preserve">vedené jako </w:t>
      </w:r>
      <w:r w:rsidRPr="0072233D">
        <w:rPr>
          <w:rFonts w:cs="Arial"/>
          <w:sz w:val="18"/>
          <w:szCs w:val="18"/>
        </w:rPr>
        <w:t>„</w:t>
      </w:r>
      <w:r w:rsidRPr="006509E8">
        <w:rPr>
          <w:rFonts w:cs="Arial"/>
          <w:i/>
          <w:sz w:val="18"/>
          <w:szCs w:val="18"/>
        </w:rPr>
        <w:t xml:space="preserve">zadané VZ za období 1. 7. 2012 </w:t>
      </w:r>
      <w:r w:rsidR="002B1302" w:rsidRPr="006509E8">
        <w:rPr>
          <w:rFonts w:cs="Arial"/>
          <w:i/>
          <w:sz w:val="18"/>
          <w:szCs w:val="18"/>
        </w:rPr>
        <w:t>až</w:t>
      </w:r>
      <w:r w:rsidRPr="006509E8">
        <w:rPr>
          <w:rFonts w:cs="Arial"/>
          <w:i/>
          <w:sz w:val="18"/>
          <w:szCs w:val="18"/>
        </w:rPr>
        <w:t xml:space="preserve"> 31. 10. 2013</w:t>
      </w:r>
      <w:r w:rsidRPr="0072233D">
        <w:rPr>
          <w:rFonts w:cs="Arial"/>
          <w:sz w:val="18"/>
          <w:szCs w:val="18"/>
        </w:rPr>
        <w:t>“ byly platné k 15. 11. 2013</w:t>
      </w:r>
      <w:r w:rsidR="0072233D" w:rsidRPr="0072233D">
        <w:rPr>
          <w:rFonts w:cs="Arial"/>
          <w:sz w:val="18"/>
          <w:szCs w:val="18"/>
        </w:rPr>
        <w:t>.</w:t>
      </w:r>
    </w:p>
    <w:p w:rsidR="003C4C53" w:rsidRDefault="003C4C53" w:rsidP="006509E8">
      <w:pPr>
        <w:spacing w:after="0"/>
        <w:rPr>
          <w:rFonts w:cs="Arial"/>
          <w:szCs w:val="22"/>
        </w:rPr>
      </w:pPr>
    </w:p>
    <w:p w:rsidR="009559EA" w:rsidRDefault="00231C83" w:rsidP="006509E8">
      <w:pPr>
        <w:spacing w:after="0"/>
        <w:rPr>
          <w:rFonts w:cs="Arial"/>
          <w:szCs w:val="22"/>
        </w:rPr>
      </w:pPr>
      <w:r>
        <w:rPr>
          <w:rFonts w:cs="Arial"/>
          <w:szCs w:val="22"/>
        </w:rPr>
        <w:t xml:space="preserve">Nejvíce </w:t>
      </w:r>
      <w:r w:rsidR="007348D4">
        <w:rPr>
          <w:rFonts w:cs="Arial"/>
          <w:szCs w:val="22"/>
        </w:rPr>
        <w:t xml:space="preserve">zadavatelé </w:t>
      </w:r>
      <w:r>
        <w:rPr>
          <w:rFonts w:cs="Arial"/>
          <w:szCs w:val="22"/>
        </w:rPr>
        <w:t>obchod</w:t>
      </w:r>
      <w:r w:rsidR="007348D4">
        <w:rPr>
          <w:rFonts w:cs="Arial"/>
          <w:szCs w:val="22"/>
        </w:rPr>
        <w:t>ovali</w:t>
      </w:r>
      <w:r>
        <w:rPr>
          <w:rFonts w:cs="Arial"/>
          <w:szCs w:val="22"/>
        </w:rPr>
        <w:t xml:space="preserve"> na e-tržišti TENDERMARKET, kter</w:t>
      </w:r>
      <w:r w:rsidR="007348D4">
        <w:rPr>
          <w:rFonts w:cs="Arial"/>
          <w:szCs w:val="22"/>
        </w:rPr>
        <w:t>é</w:t>
      </w:r>
      <w:r>
        <w:rPr>
          <w:rFonts w:cs="Arial"/>
          <w:szCs w:val="22"/>
        </w:rPr>
        <w:t xml:space="preserve"> se podílel</w:t>
      </w:r>
      <w:r w:rsidR="007348D4">
        <w:rPr>
          <w:rFonts w:cs="Arial"/>
          <w:szCs w:val="22"/>
        </w:rPr>
        <w:t>o</w:t>
      </w:r>
      <w:r>
        <w:rPr>
          <w:rFonts w:cs="Arial"/>
          <w:szCs w:val="22"/>
        </w:rPr>
        <w:t xml:space="preserve"> z 81 % na </w:t>
      </w:r>
      <w:r w:rsidR="007348D4">
        <w:rPr>
          <w:rFonts w:cs="Arial"/>
          <w:szCs w:val="22"/>
        </w:rPr>
        <w:t xml:space="preserve">celkových </w:t>
      </w:r>
      <w:r>
        <w:rPr>
          <w:rFonts w:cs="Arial"/>
          <w:szCs w:val="22"/>
        </w:rPr>
        <w:t xml:space="preserve">výdajích MMR za </w:t>
      </w:r>
      <w:r w:rsidR="008121AE">
        <w:rPr>
          <w:rFonts w:cs="Arial"/>
          <w:szCs w:val="22"/>
        </w:rPr>
        <w:t xml:space="preserve">první rok </w:t>
      </w:r>
      <w:r>
        <w:rPr>
          <w:rFonts w:cs="Arial"/>
          <w:szCs w:val="22"/>
        </w:rPr>
        <w:t>provoz</w:t>
      </w:r>
      <w:r w:rsidR="008121AE">
        <w:rPr>
          <w:rFonts w:cs="Arial"/>
          <w:szCs w:val="22"/>
        </w:rPr>
        <w:t>u</w:t>
      </w:r>
      <w:r>
        <w:rPr>
          <w:rFonts w:cs="Arial"/>
          <w:szCs w:val="22"/>
        </w:rPr>
        <w:t xml:space="preserve"> e-tržišť</w:t>
      </w:r>
      <w:r w:rsidR="00933065">
        <w:rPr>
          <w:rFonts w:cs="Arial"/>
          <w:szCs w:val="22"/>
        </w:rPr>
        <w:t xml:space="preserve"> a kter</w:t>
      </w:r>
      <w:r w:rsidR="00511CF7">
        <w:rPr>
          <w:rFonts w:cs="Arial"/>
          <w:szCs w:val="22"/>
        </w:rPr>
        <w:t>é</w:t>
      </w:r>
      <w:r w:rsidR="00933065">
        <w:rPr>
          <w:rFonts w:cs="Arial"/>
          <w:szCs w:val="22"/>
        </w:rPr>
        <w:t xml:space="preserve"> měl</w:t>
      </w:r>
      <w:r w:rsidR="00511CF7">
        <w:rPr>
          <w:rFonts w:cs="Arial"/>
          <w:szCs w:val="22"/>
        </w:rPr>
        <w:t>o</w:t>
      </w:r>
      <w:r w:rsidR="00933065">
        <w:rPr>
          <w:rFonts w:cs="Arial"/>
          <w:szCs w:val="22"/>
        </w:rPr>
        <w:t xml:space="preserve"> nejvyšší růst zadaných zakázek za další 4 měsíce </w:t>
      </w:r>
      <w:r w:rsidR="008121AE">
        <w:rPr>
          <w:rFonts w:cs="Arial"/>
          <w:szCs w:val="22"/>
        </w:rPr>
        <w:t xml:space="preserve">svého </w:t>
      </w:r>
      <w:r w:rsidR="00933065">
        <w:rPr>
          <w:rFonts w:cs="Arial"/>
          <w:szCs w:val="22"/>
        </w:rPr>
        <w:t>provozu</w:t>
      </w:r>
      <w:r w:rsidR="007348D4">
        <w:rPr>
          <w:rFonts w:cs="Arial"/>
          <w:szCs w:val="22"/>
        </w:rPr>
        <w:t>.</w:t>
      </w:r>
      <w:r>
        <w:rPr>
          <w:rFonts w:cs="Arial"/>
          <w:szCs w:val="22"/>
        </w:rPr>
        <w:t xml:space="preserve"> </w:t>
      </w:r>
    </w:p>
    <w:p w:rsidR="003C4C53" w:rsidRDefault="003C4C53" w:rsidP="006509E8">
      <w:pPr>
        <w:tabs>
          <w:tab w:val="left" w:pos="4395"/>
        </w:tabs>
        <w:spacing w:after="0"/>
        <w:rPr>
          <w:rFonts w:cs="Arial"/>
          <w:szCs w:val="22"/>
        </w:rPr>
      </w:pPr>
    </w:p>
    <w:p w:rsidR="002A61BD" w:rsidRDefault="00460691" w:rsidP="006509E8">
      <w:pPr>
        <w:tabs>
          <w:tab w:val="left" w:pos="4395"/>
        </w:tabs>
        <w:spacing w:after="0"/>
        <w:rPr>
          <w:rFonts w:cs="Arial"/>
          <w:szCs w:val="22"/>
        </w:rPr>
      </w:pPr>
      <w:r>
        <w:rPr>
          <w:rFonts w:cs="Arial"/>
          <w:szCs w:val="22"/>
        </w:rPr>
        <w:t>Z</w:t>
      </w:r>
      <w:r w:rsidR="00BB3F42">
        <w:rPr>
          <w:rFonts w:cs="Arial"/>
          <w:szCs w:val="22"/>
        </w:rPr>
        <w:t xml:space="preserve">adavatelé přes </w:t>
      </w:r>
      <w:r w:rsidR="00410607" w:rsidRPr="002916C5">
        <w:rPr>
          <w:rFonts w:cs="Arial"/>
          <w:szCs w:val="22"/>
        </w:rPr>
        <w:t xml:space="preserve">e-tržiště </w:t>
      </w:r>
      <w:r w:rsidR="00410607">
        <w:rPr>
          <w:rFonts w:cs="Arial"/>
          <w:szCs w:val="22"/>
        </w:rPr>
        <w:t xml:space="preserve">nejčastěji </w:t>
      </w:r>
      <w:r>
        <w:rPr>
          <w:rFonts w:cs="Arial"/>
          <w:szCs w:val="22"/>
        </w:rPr>
        <w:t>zadávali VZ</w:t>
      </w:r>
      <w:r w:rsidR="0030376F">
        <w:rPr>
          <w:rFonts w:cs="Arial"/>
          <w:szCs w:val="22"/>
        </w:rPr>
        <w:t>MR</w:t>
      </w:r>
      <w:r>
        <w:rPr>
          <w:rFonts w:cs="Arial"/>
          <w:szCs w:val="22"/>
        </w:rPr>
        <w:t xml:space="preserve"> </w:t>
      </w:r>
      <w:r w:rsidR="002C671F">
        <w:rPr>
          <w:rFonts w:cs="Arial"/>
          <w:szCs w:val="22"/>
        </w:rPr>
        <w:t>v </w:t>
      </w:r>
      <w:r w:rsidR="00BB3F42" w:rsidRPr="002916C5">
        <w:rPr>
          <w:rFonts w:cs="Arial"/>
          <w:szCs w:val="22"/>
        </w:rPr>
        <w:t>otevřen</w:t>
      </w:r>
      <w:r w:rsidR="00BB3F42">
        <w:rPr>
          <w:rFonts w:cs="Arial"/>
          <w:szCs w:val="22"/>
        </w:rPr>
        <w:t>é</w:t>
      </w:r>
      <w:r w:rsidR="00BB3F42" w:rsidRPr="002916C5">
        <w:rPr>
          <w:rFonts w:cs="Arial"/>
          <w:szCs w:val="22"/>
        </w:rPr>
        <w:t xml:space="preserve"> výzv</w:t>
      </w:r>
      <w:r>
        <w:rPr>
          <w:rFonts w:cs="Arial"/>
          <w:szCs w:val="22"/>
        </w:rPr>
        <w:t>ě</w:t>
      </w:r>
      <w:r w:rsidR="00410607" w:rsidRPr="002916C5">
        <w:rPr>
          <w:rFonts w:cs="Arial"/>
          <w:szCs w:val="22"/>
        </w:rPr>
        <w:t xml:space="preserve"> </w:t>
      </w:r>
      <w:r w:rsidR="002B1302">
        <w:rPr>
          <w:rFonts w:cs="Arial"/>
          <w:szCs w:val="22"/>
        </w:rPr>
        <w:t>nebo</w:t>
      </w:r>
      <w:r w:rsidR="00410607" w:rsidRPr="002916C5">
        <w:rPr>
          <w:rFonts w:cs="Arial"/>
          <w:szCs w:val="22"/>
        </w:rPr>
        <w:t xml:space="preserve"> přím</w:t>
      </w:r>
      <w:r>
        <w:rPr>
          <w:rFonts w:cs="Arial"/>
          <w:szCs w:val="22"/>
        </w:rPr>
        <w:t>ým</w:t>
      </w:r>
      <w:r w:rsidR="00410607" w:rsidRPr="002916C5">
        <w:rPr>
          <w:rFonts w:cs="Arial"/>
          <w:szCs w:val="22"/>
        </w:rPr>
        <w:t xml:space="preserve"> zadání</w:t>
      </w:r>
      <w:r>
        <w:rPr>
          <w:rFonts w:cs="Arial"/>
          <w:szCs w:val="22"/>
        </w:rPr>
        <w:t>m</w:t>
      </w:r>
      <w:r w:rsidR="00410607" w:rsidRPr="002916C5">
        <w:rPr>
          <w:rFonts w:cs="Arial"/>
          <w:szCs w:val="22"/>
        </w:rPr>
        <w:t xml:space="preserve">, jak </w:t>
      </w:r>
      <w:r>
        <w:rPr>
          <w:rFonts w:cs="Arial"/>
          <w:szCs w:val="22"/>
        </w:rPr>
        <w:t xml:space="preserve">ukazuje </w:t>
      </w:r>
      <w:r w:rsidR="002B1302">
        <w:rPr>
          <w:rFonts w:cs="Arial"/>
          <w:szCs w:val="22"/>
        </w:rPr>
        <w:t>g</w:t>
      </w:r>
      <w:r w:rsidR="0019648E">
        <w:rPr>
          <w:rFonts w:cs="Arial"/>
          <w:szCs w:val="22"/>
        </w:rPr>
        <w:t>raf</w:t>
      </w:r>
      <w:r w:rsidR="00410607" w:rsidRPr="002916C5">
        <w:rPr>
          <w:rFonts w:cs="Arial"/>
          <w:szCs w:val="22"/>
        </w:rPr>
        <w:t xml:space="preserve"> č. </w:t>
      </w:r>
      <w:r w:rsidR="00410607">
        <w:rPr>
          <w:rFonts w:cs="Arial"/>
          <w:szCs w:val="22"/>
        </w:rPr>
        <w:t>2</w:t>
      </w:r>
      <w:r w:rsidR="00410607" w:rsidRPr="002916C5">
        <w:rPr>
          <w:rFonts w:cs="Arial"/>
          <w:szCs w:val="22"/>
        </w:rPr>
        <w:t xml:space="preserve">. </w:t>
      </w:r>
      <w:r w:rsidR="00410607">
        <w:rPr>
          <w:rFonts w:cs="Arial"/>
          <w:szCs w:val="22"/>
        </w:rPr>
        <w:t>Otevřená výzva</w:t>
      </w:r>
      <w:r w:rsidR="00410607" w:rsidRPr="002916C5">
        <w:rPr>
          <w:rFonts w:cs="Arial"/>
          <w:szCs w:val="22"/>
        </w:rPr>
        <w:t xml:space="preserve"> se považuje za nejvíce trans</w:t>
      </w:r>
      <w:r w:rsidR="00410607">
        <w:rPr>
          <w:rFonts w:cs="Arial"/>
          <w:szCs w:val="22"/>
        </w:rPr>
        <w:t>parentní druh zadávacího řízení</w:t>
      </w:r>
      <w:r w:rsidR="00933065">
        <w:rPr>
          <w:rFonts w:cs="Arial"/>
          <w:szCs w:val="22"/>
        </w:rPr>
        <w:t>.</w:t>
      </w:r>
      <w:r w:rsidR="00410607">
        <w:rPr>
          <w:rFonts w:cs="Arial"/>
          <w:szCs w:val="22"/>
        </w:rPr>
        <w:t xml:space="preserve"> </w:t>
      </w:r>
      <w:r w:rsidR="002673DB">
        <w:rPr>
          <w:rFonts w:cs="Arial"/>
          <w:szCs w:val="22"/>
        </w:rPr>
        <w:t>P</w:t>
      </w:r>
      <w:r w:rsidR="00410607" w:rsidRPr="002916C5">
        <w:rPr>
          <w:rFonts w:cs="Arial"/>
          <w:szCs w:val="22"/>
        </w:rPr>
        <w:t>římé zadání</w:t>
      </w:r>
      <w:r w:rsidR="002673DB">
        <w:rPr>
          <w:rFonts w:cs="Arial"/>
          <w:szCs w:val="22"/>
        </w:rPr>
        <w:t xml:space="preserve">, které má na e-tržišti </w:t>
      </w:r>
      <w:r w:rsidR="00316D0E">
        <w:rPr>
          <w:rFonts w:cs="Arial"/>
          <w:szCs w:val="22"/>
        </w:rPr>
        <w:t>pouze oznamovací charakter a</w:t>
      </w:r>
      <w:r w:rsidR="002673DB">
        <w:rPr>
          <w:rFonts w:cs="Arial"/>
          <w:szCs w:val="22"/>
        </w:rPr>
        <w:t xml:space="preserve"> nedochází </w:t>
      </w:r>
      <w:r w:rsidR="00316D0E">
        <w:rPr>
          <w:rFonts w:cs="Arial"/>
          <w:szCs w:val="22"/>
        </w:rPr>
        <w:t xml:space="preserve">zde </w:t>
      </w:r>
      <w:r w:rsidR="002673DB">
        <w:rPr>
          <w:rFonts w:cs="Arial"/>
          <w:szCs w:val="22"/>
        </w:rPr>
        <w:t xml:space="preserve">k soutěži mezi dodavateli, </w:t>
      </w:r>
      <w:r w:rsidR="00410607">
        <w:rPr>
          <w:rFonts w:cs="Arial"/>
          <w:szCs w:val="22"/>
        </w:rPr>
        <w:t>bylo použito v 37,59 %</w:t>
      </w:r>
      <w:r w:rsidR="008D6AB7">
        <w:rPr>
          <w:rFonts w:cs="Arial"/>
          <w:szCs w:val="22"/>
        </w:rPr>
        <w:t xml:space="preserve"> </w:t>
      </w:r>
      <w:r w:rsidR="0036025D">
        <w:rPr>
          <w:rFonts w:cs="Arial"/>
          <w:szCs w:val="22"/>
        </w:rPr>
        <w:t>(t</w:t>
      </w:r>
      <w:r w:rsidR="00316D0E">
        <w:rPr>
          <w:rFonts w:cs="Arial"/>
          <w:szCs w:val="22"/>
        </w:rPr>
        <w:t>ato „oznamovací položka</w:t>
      </w:r>
      <w:r w:rsidR="002B1302">
        <w:rPr>
          <w:rFonts w:cs="Arial"/>
          <w:szCs w:val="22"/>
        </w:rPr>
        <w:t>“</w:t>
      </w:r>
      <w:r w:rsidR="00316D0E">
        <w:rPr>
          <w:rFonts w:cs="Arial"/>
          <w:szCs w:val="22"/>
        </w:rPr>
        <w:t xml:space="preserve"> b</w:t>
      </w:r>
      <w:r w:rsidR="0072233D">
        <w:rPr>
          <w:rFonts w:cs="Arial"/>
          <w:szCs w:val="22"/>
        </w:rPr>
        <w:t>yla v Ceníku taktéž navýšena, a </w:t>
      </w:r>
      <w:r w:rsidR="00316D0E">
        <w:rPr>
          <w:rFonts w:cs="Arial"/>
          <w:szCs w:val="22"/>
        </w:rPr>
        <w:t xml:space="preserve">to z 630 Kč na 814 Kč bez </w:t>
      </w:r>
      <w:r w:rsidR="00316D0E" w:rsidRPr="00C351EA">
        <w:rPr>
          <w:rFonts w:cs="Arial"/>
          <w:szCs w:val="22"/>
        </w:rPr>
        <w:t>DPH</w:t>
      </w:r>
      <w:r w:rsidR="0036025D" w:rsidRPr="00C351EA">
        <w:rPr>
          <w:rFonts w:cs="Arial"/>
          <w:szCs w:val="22"/>
        </w:rPr>
        <w:t xml:space="preserve">, viz </w:t>
      </w:r>
      <w:r w:rsidR="008D6AB7" w:rsidRPr="00C351EA">
        <w:rPr>
          <w:rFonts w:cs="Arial"/>
          <w:szCs w:val="22"/>
        </w:rPr>
        <w:t>kap</w:t>
      </w:r>
      <w:r w:rsidR="00C351EA" w:rsidRPr="00C351EA">
        <w:rPr>
          <w:rFonts w:cs="Arial"/>
          <w:szCs w:val="22"/>
        </w:rPr>
        <w:t>itola</w:t>
      </w:r>
      <w:r w:rsidR="008D6AB7" w:rsidRPr="00C351EA">
        <w:rPr>
          <w:rFonts w:cs="Arial"/>
          <w:szCs w:val="22"/>
        </w:rPr>
        <w:t xml:space="preserve"> </w:t>
      </w:r>
      <w:r w:rsidR="0036025D" w:rsidRPr="00C351EA">
        <w:rPr>
          <w:rFonts w:cs="Arial"/>
          <w:szCs w:val="22"/>
        </w:rPr>
        <w:t>4)</w:t>
      </w:r>
      <w:r w:rsidR="00316D0E" w:rsidRPr="00C351EA">
        <w:rPr>
          <w:rFonts w:cs="Arial"/>
          <w:szCs w:val="22"/>
        </w:rPr>
        <w:t xml:space="preserve">. </w:t>
      </w:r>
      <w:r w:rsidR="00410607" w:rsidRPr="00C351EA">
        <w:rPr>
          <w:rFonts w:cs="Arial"/>
          <w:szCs w:val="22"/>
        </w:rPr>
        <w:t>E-aukce</w:t>
      </w:r>
      <w:r w:rsidR="00410607" w:rsidRPr="002916C5">
        <w:rPr>
          <w:rFonts w:cs="Arial"/>
          <w:szCs w:val="22"/>
        </w:rPr>
        <w:t xml:space="preserve"> </w:t>
      </w:r>
      <w:r w:rsidR="00410607">
        <w:rPr>
          <w:rFonts w:cs="Arial"/>
          <w:szCs w:val="22"/>
        </w:rPr>
        <w:t>jako forma nákupu byla</w:t>
      </w:r>
      <w:r w:rsidR="00410607" w:rsidRPr="002916C5">
        <w:rPr>
          <w:rFonts w:cs="Arial"/>
          <w:szCs w:val="22"/>
        </w:rPr>
        <w:t xml:space="preserve"> </w:t>
      </w:r>
      <w:r w:rsidR="00410607">
        <w:rPr>
          <w:rFonts w:cs="Arial"/>
          <w:szCs w:val="22"/>
        </w:rPr>
        <w:t>využita</w:t>
      </w:r>
      <w:r w:rsidR="0072233D">
        <w:rPr>
          <w:rFonts w:cs="Arial"/>
          <w:szCs w:val="22"/>
        </w:rPr>
        <w:t xml:space="preserve"> v </w:t>
      </w:r>
      <w:r w:rsidR="00410607" w:rsidRPr="002916C5">
        <w:rPr>
          <w:rFonts w:cs="Arial"/>
          <w:szCs w:val="22"/>
        </w:rPr>
        <w:t>minimální míře</w:t>
      </w:r>
      <w:r w:rsidR="00410607">
        <w:rPr>
          <w:rFonts w:cs="Arial"/>
          <w:szCs w:val="22"/>
        </w:rPr>
        <w:t xml:space="preserve">, a to u 0,1 % zadaných zakázek, ačkoliv MMR před </w:t>
      </w:r>
      <w:r w:rsidR="00F427B7">
        <w:rPr>
          <w:rFonts w:cs="Arial"/>
          <w:szCs w:val="22"/>
        </w:rPr>
        <w:t>spuštěním provozu</w:t>
      </w:r>
      <w:r w:rsidR="00410607">
        <w:rPr>
          <w:rFonts w:cs="Arial"/>
          <w:szCs w:val="22"/>
        </w:rPr>
        <w:t xml:space="preserve"> </w:t>
      </w:r>
      <w:r w:rsidR="00F427B7">
        <w:rPr>
          <w:rFonts w:cs="Arial"/>
          <w:szCs w:val="22"/>
        </w:rPr>
        <w:t xml:space="preserve">e-tržišť </w:t>
      </w:r>
      <w:r w:rsidR="00410607">
        <w:rPr>
          <w:rFonts w:cs="Arial"/>
          <w:szCs w:val="22"/>
        </w:rPr>
        <w:t xml:space="preserve">počítalo </w:t>
      </w:r>
      <w:r w:rsidR="00A644B2">
        <w:rPr>
          <w:rFonts w:cs="Arial"/>
          <w:szCs w:val="22"/>
        </w:rPr>
        <w:t xml:space="preserve">alespoň </w:t>
      </w:r>
      <w:r w:rsidR="002C671F">
        <w:rPr>
          <w:rFonts w:cs="Arial"/>
          <w:szCs w:val="22"/>
        </w:rPr>
        <w:t>s </w:t>
      </w:r>
      <w:r w:rsidR="00F427B7">
        <w:rPr>
          <w:rFonts w:cs="Arial"/>
          <w:szCs w:val="22"/>
        </w:rPr>
        <w:t>15</w:t>
      </w:r>
      <w:r w:rsidR="00A644B2">
        <w:rPr>
          <w:rFonts w:cs="Arial"/>
          <w:szCs w:val="22"/>
        </w:rPr>
        <w:t>%</w:t>
      </w:r>
      <w:r w:rsidR="00F427B7">
        <w:rPr>
          <w:rStyle w:val="Znakapoznpodarou"/>
          <w:szCs w:val="22"/>
        </w:rPr>
        <w:footnoteReference w:id="16"/>
      </w:r>
      <w:r w:rsidR="00A644B2">
        <w:rPr>
          <w:rFonts w:cs="Arial"/>
          <w:szCs w:val="22"/>
        </w:rPr>
        <w:t xml:space="preserve"> </w:t>
      </w:r>
      <w:r w:rsidR="00410607">
        <w:rPr>
          <w:rFonts w:cs="Arial"/>
          <w:szCs w:val="22"/>
        </w:rPr>
        <w:t>využitím</w:t>
      </w:r>
      <w:r w:rsidR="00410607" w:rsidRPr="002916C5">
        <w:rPr>
          <w:rFonts w:cs="Arial"/>
          <w:szCs w:val="22"/>
        </w:rPr>
        <w:t xml:space="preserve">. </w:t>
      </w:r>
      <w:r w:rsidR="00735D94" w:rsidRPr="00281A42">
        <w:rPr>
          <w:rFonts w:cs="Arial"/>
          <w:szCs w:val="22"/>
        </w:rPr>
        <w:t>Nejvýraznější rozdíl mezi odhadem a</w:t>
      </w:r>
      <w:r w:rsidR="00286116">
        <w:rPr>
          <w:rFonts w:cs="Arial"/>
          <w:szCs w:val="22"/>
        </w:rPr>
        <w:t> </w:t>
      </w:r>
      <w:r w:rsidR="00735D94" w:rsidRPr="00281A42">
        <w:rPr>
          <w:rFonts w:cs="Arial"/>
          <w:szCs w:val="22"/>
        </w:rPr>
        <w:t>skutečností byl zjištěn u zadávacích řízení V</w:t>
      </w:r>
      <w:r w:rsidR="008875A3">
        <w:rPr>
          <w:rFonts w:cs="Arial"/>
          <w:szCs w:val="22"/>
        </w:rPr>
        <w:t xml:space="preserve">ZMR </w:t>
      </w:r>
      <w:r w:rsidR="002C671F">
        <w:rPr>
          <w:rFonts w:cs="Arial"/>
          <w:szCs w:val="22"/>
        </w:rPr>
        <w:t>s </w:t>
      </w:r>
      <w:r w:rsidR="008875A3">
        <w:rPr>
          <w:rFonts w:cs="Arial"/>
          <w:szCs w:val="22"/>
        </w:rPr>
        <w:t xml:space="preserve">předpokládanou hodnotou 5 až </w:t>
      </w:r>
      <w:r w:rsidR="00735D94" w:rsidRPr="00281A42">
        <w:rPr>
          <w:rFonts w:cs="Arial"/>
          <w:szCs w:val="22"/>
        </w:rPr>
        <w:t xml:space="preserve">50 tis. Kč, kde MMR odhadlo podíl </w:t>
      </w:r>
      <w:r w:rsidR="00286116">
        <w:rPr>
          <w:rFonts w:cs="Arial"/>
          <w:szCs w:val="22"/>
        </w:rPr>
        <w:lastRenderedPageBreak/>
        <w:t xml:space="preserve">ve výši </w:t>
      </w:r>
      <w:r w:rsidR="00735D94" w:rsidRPr="00281A42">
        <w:rPr>
          <w:rFonts w:cs="Arial"/>
          <w:szCs w:val="22"/>
        </w:rPr>
        <w:t>5</w:t>
      </w:r>
      <w:r w:rsidR="00140B1C">
        <w:rPr>
          <w:rFonts w:cs="Arial"/>
          <w:szCs w:val="22"/>
        </w:rPr>
        <w:t> </w:t>
      </w:r>
      <w:r w:rsidR="00735D94" w:rsidRPr="00281A42">
        <w:rPr>
          <w:rFonts w:cs="Arial"/>
          <w:szCs w:val="22"/>
        </w:rPr>
        <w:t xml:space="preserve">%, </w:t>
      </w:r>
      <w:r w:rsidR="00286116">
        <w:rPr>
          <w:rFonts w:cs="Arial"/>
          <w:szCs w:val="22"/>
        </w:rPr>
        <w:t xml:space="preserve">zatímco </w:t>
      </w:r>
      <w:r w:rsidR="00735D94" w:rsidRPr="00281A42">
        <w:rPr>
          <w:rFonts w:cs="Arial"/>
          <w:szCs w:val="22"/>
        </w:rPr>
        <w:t xml:space="preserve">ve skutečnosti </w:t>
      </w:r>
      <w:r w:rsidR="00286116">
        <w:rPr>
          <w:rFonts w:cs="Arial"/>
          <w:szCs w:val="22"/>
        </w:rPr>
        <w:t>dosáhl</w:t>
      </w:r>
      <w:r w:rsidR="00735D94" w:rsidRPr="00281A42">
        <w:rPr>
          <w:rFonts w:cs="Arial"/>
          <w:szCs w:val="22"/>
        </w:rPr>
        <w:t xml:space="preserve"> 64 %.</w:t>
      </w:r>
      <w:r w:rsidR="006D291A">
        <w:rPr>
          <w:rFonts w:cs="Arial"/>
          <w:szCs w:val="22"/>
        </w:rPr>
        <w:t xml:space="preserve"> V následujícím grafu je uveden počet zadaných VZ podle druhu zadávacího řízení v prvním roce p</w:t>
      </w:r>
      <w:r w:rsidR="00E17603">
        <w:rPr>
          <w:rFonts w:cs="Arial"/>
          <w:szCs w:val="22"/>
        </w:rPr>
        <w:t>rovozu</w:t>
      </w:r>
      <w:r w:rsidR="006D291A">
        <w:rPr>
          <w:rFonts w:cs="Arial"/>
          <w:szCs w:val="22"/>
        </w:rPr>
        <w:t xml:space="preserve"> e-tržišť</w:t>
      </w:r>
      <w:r w:rsidR="00165079">
        <w:rPr>
          <w:rFonts w:cs="Arial"/>
          <w:szCs w:val="22"/>
        </w:rPr>
        <w:t>:</w:t>
      </w:r>
    </w:p>
    <w:p w:rsidR="003C4C53" w:rsidRDefault="003C4C53" w:rsidP="0046741B">
      <w:pPr>
        <w:spacing w:after="0" w:line="276" w:lineRule="auto"/>
        <w:jc w:val="left"/>
        <w:rPr>
          <w:rFonts w:cs="Arial"/>
          <w:szCs w:val="22"/>
        </w:rPr>
      </w:pPr>
    </w:p>
    <w:p w:rsidR="00F57698" w:rsidRPr="00286116" w:rsidRDefault="00410607" w:rsidP="00B04938">
      <w:pPr>
        <w:pStyle w:val="Titulek"/>
        <w:spacing w:after="0"/>
      </w:pPr>
      <w:r>
        <w:t xml:space="preserve">Graf č. </w:t>
      </w:r>
      <w:r w:rsidR="004E1CDF">
        <w:fldChar w:fldCharType="begin"/>
      </w:r>
      <w:r w:rsidR="004E1CDF">
        <w:instrText xml:space="preserve"> SEQ Graf_č. \* ARABIC </w:instrText>
      </w:r>
      <w:r w:rsidR="004E1CDF">
        <w:fldChar w:fldCharType="separate"/>
      </w:r>
      <w:r w:rsidR="00022DA3">
        <w:rPr>
          <w:noProof/>
        </w:rPr>
        <w:t>2</w:t>
      </w:r>
      <w:r w:rsidR="004E1CDF">
        <w:rPr>
          <w:noProof/>
        </w:rPr>
        <w:fldChar w:fldCharType="end"/>
      </w:r>
      <w:r w:rsidRPr="0046741B">
        <w:t xml:space="preserve"> – </w:t>
      </w:r>
      <w:r w:rsidR="001A0657" w:rsidRPr="0046741B">
        <w:t xml:space="preserve">Počet zadaných </w:t>
      </w:r>
      <w:r w:rsidRPr="0046741B">
        <w:t xml:space="preserve">VZ dle druhu zadávacího řízení </w:t>
      </w:r>
    </w:p>
    <w:p w:rsidR="00286116" w:rsidRDefault="00065DEB" w:rsidP="00286116">
      <w:pPr>
        <w:spacing w:after="0"/>
        <w:rPr>
          <w:rFonts w:cs="Arial"/>
          <w:sz w:val="18"/>
          <w:szCs w:val="18"/>
        </w:rPr>
      </w:pPr>
      <w:r>
        <w:rPr>
          <w:rFonts w:cs="Arial"/>
          <w:b/>
          <w:noProof/>
          <w:sz w:val="18"/>
          <w:szCs w:val="18"/>
          <w:lang w:eastAsia="cs-CZ"/>
        </w:rPr>
        <w:drawing>
          <wp:inline distT="0" distB="0" distL="0" distR="0" wp14:anchorId="75061BC3">
            <wp:extent cx="6225872" cy="2441051"/>
            <wp:effectExtent l="0" t="0" r="3810" b="0"/>
            <wp:docPr id="8" name="Obrázek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 rotWithShape="1"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149" t="737" r="1149" b="737"/>
                    <a:stretch/>
                  </pic:blipFill>
                  <pic:spPr bwMode="auto">
                    <a:xfrm>
                      <a:off x="0" y="0"/>
                      <a:ext cx="6225540" cy="244092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286116" w:rsidRPr="00292C28">
        <w:rPr>
          <w:rFonts w:cs="Arial"/>
          <w:b/>
          <w:sz w:val="18"/>
          <w:szCs w:val="18"/>
        </w:rPr>
        <w:t>Zdroj:</w:t>
      </w:r>
      <w:r w:rsidR="00286116" w:rsidRPr="00292C28">
        <w:rPr>
          <w:rFonts w:cs="Arial"/>
          <w:sz w:val="18"/>
          <w:szCs w:val="18"/>
        </w:rPr>
        <w:t xml:space="preserve"> </w:t>
      </w:r>
      <w:proofErr w:type="spellStart"/>
      <w:r w:rsidR="00286116" w:rsidRPr="00292C28">
        <w:rPr>
          <w:rFonts w:cs="Arial"/>
          <w:sz w:val="18"/>
          <w:szCs w:val="18"/>
        </w:rPr>
        <w:t>dataset</w:t>
      </w:r>
      <w:proofErr w:type="spellEnd"/>
      <w:r w:rsidR="00286116">
        <w:rPr>
          <w:rFonts w:cs="Arial"/>
          <w:sz w:val="18"/>
          <w:szCs w:val="18"/>
        </w:rPr>
        <w:t xml:space="preserve"> </w:t>
      </w:r>
      <w:proofErr w:type="spellStart"/>
      <w:r w:rsidR="00286116">
        <w:rPr>
          <w:rFonts w:cs="Arial"/>
          <w:sz w:val="18"/>
          <w:szCs w:val="18"/>
        </w:rPr>
        <w:t>VZ</w:t>
      </w:r>
      <w:proofErr w:type="spellEnd"/>
      <w:r w:rsidR="00286116" w:rsidRPr="00292C28">
        <w:rPr>
          <w:rFonts w:cs="Arial"/>
          <w:sz w:val="18"/>
          <w:szCs w:val="18"/>
        </w:rPr>
        <w:t>; zpracováno NKÚ</w:t>
      </w:r>
      <w:r w:rsidR="00286116">
        <w:rPr>
          <w:rFonts w:cs="Arial"/>
          <w:sz w:val="18"/>
          <w:szCs w:val="18"/>
        </w:rPr>
        <w:t>.</w:t>
      </w:r>
    </w:p>
    <w:p w:rsidR="003154C8" w:rsidRPr="0046741B" w:rsidRDefault="00410607" w:rsidP="002C1607">
      <w:pPr>
        <w:rPr>
          <w:sz w:val="18"/>
          <w:szCs w:val="18"/>
        </w:rPr>
      </w:pPr>
      <w:r w:rsidRPr="0072233D">
        <w:rPr>
          <w:rFonts w:cs="Arial"/>
          <w:b/>
          <w:sz w:val="18"/>
          <w:szCs w:val="18"/>
        </w:rPr>
        <w:t>Vysvětlivky:</w:t>
      </w:r>
      <w:r w:rsidRPr="001A0657">
        <w:rPr>
          <w:rFonts w:cs="Arial"/>
          <w:sz w:val="18"/>
          <w:szCs w:val="18"/>
        </w:rPr>
        <w:t xml:space="preserve"> </w:t>
      </w:r>
    </w:p>
    <w:p w:rsidR="003154C8" w:rsidRPr="008875A3" w:rsidRDefault="003154C8" w:rsidP="00167B2C">
      <w:pPr>
        <w:pStyle w:val="Odstavecseseznamem"/>
        <w:numPr>
          <w:ilvl w:val="0"/>
          <w:numId w:val="34"/>
        </w:numPr>
        <w:spacing w:after="0"/>
        <w:ind w:left="426"/>
        <w:rPr>
          <w:rFonts w:cs="Arial"/>
          <w:sz w:val="18"/>
          <w:szCs w:val="18"/>
        </w:rPr>
      </w:pPr>
      <w:r w:rsidRPr="008875A3">
        <w:rPr>
          <w:rFonts w:cs="Arial"/>
          <w:sz w:val="18"/>
          <w:szCs w:val="18"/>
        </w:rPr>
        <w:t xml:space="preserve">VZMR OV </w:t>
      </w:r>
      <w:r w:rsidR="00286116">
        <w:rPr>
          <w:rFonts w:cs="Arial"/>
          <w:sz w:val="18"/>
          <w:szCs w:val="18"/>
        </w:rPr>
        <w:t>–</w:t>
      </w:r>
      <w:r w:rsidRPr="008875A3">
        <w:rPr>
          <w:rFonts w:cs="Arial"/>
          <w:sz w:val="18"/>
          <w:szCs w:val="18"/>
        </w:rPr>
        <w:t xml:space="preserve"> VZMR otevřená výzva; </w:t>
      </w:r>
    </w:p>
    <w:p w:rsidR="003154C8" w:rsidRPr="008875A3" w:rsidRDefault="003154C8" w:rsidP="00167B2C">
      <w:pPr>
        <w:pStyle w:val="Odstavecseseznamem"/>
        <w:numPr>
          <w:ilvl w:val="0"/>
          <w:numId w:val="34"/>
        </w:numPr>
        <w:spacing w:after="0"/>
        <w:ind w:left="426"/>
        <w:rPr>
          <w:rFonts w:cs="Arial"/>
          <w:sz w:val="18"/>
          <w:szCs w:val="18"/>
        </w:rPr>
      </w:pPr>
      <w:r w:rsidRPr="008875A3">
        <w:rPr>
          <w:rFonts w:cs="Arial"/>
          <w:sz w:val="18"/>
          <w:szCs w:val="18"/>
        </w:rPr>
        <w:t xml:space="preserve">VZMR UV </w:t>
      </w:r>
      <w:r w:rsidR="00286116">
        <w:rPr>
          <w:rFonts w:cs="Arial"/>
          <w:sz w:val="18"/>
          <w:szCs w:val="18"/>
        </w:rPr>
        <w:t>–</w:t>
      </w:r>
      <w:r w:rsidRPr="008875A3">
        <w:rPr>
          <w:rFonts w:cs="Arial"/>
          <w:sz w:val="18"/>
          <w:szCs w:val="18"/>
        </w:rPr>
        <w:t xml:space="preserve"> VZMR uzavřená výzva; </w:t>
      </w:r>
    </w:p>
    <w:p w:rsidR="003154C8" w:rsidRPr="008875A3" w:rsidRDefault="003154C8" w:rsidP="00167B2C">
      <w:pPr>
        <w:pStyle w:val="Odstavecseseznamem"/>
        <w:numPr>
          <w:ilvl w:val="0"/>
          <w:numId w:val="34"/>
        </w:numPr>
        <w:spacing w:after="0"/>
        <w:ind w:left="426"/>
        <w:rPr>
          <w:rFonts w:cs="Arial"/>
          <w:sz w:val="18"/>
          <w:szCs w:val="18"/>
        </w:rPr>
      </w:pPr>
      <w:r w:rsidRPr="008875A3">
        <w:rPr>
          <w:rFonts w:cs="Arial"/>
          <w:sz w:val="18"/>
          <w:szCs w:val="18"/>
        </w:rPr>
        <w:t xml:space="preserve">VZMR PZ </w:t>
      </w:r>
      <w:r w:rsidR="00286116">
        <w:rPr>
          <w:rFonts w:cs="Arial"/>
          <w:sz w:val="18"/>
          <w:szCs w:val="18"/>
        </w:rPr>
        <w:t>–</w:t>
      </w:r>
      <w:r w:rsidRPr="008875A3">
        <w:rPr>
          <w:rFonts w:cs="Arial"/>
          <w:sz w:val="18"/>
          <w:szCs w:val="18"/>
        </w:rPr>
        <w:t xml:space="preserve"> VZMR přímé zadání; </w:t>
      </w:r>
    </w:p>
    <w:p w:rsidR="003154C8" w:rsidRPr="008875A3" w:rsidRDefault="003154C8" w:rsidP="00167B2C">
      <w:pPr>
        <w:pStyle w:val="Odstavecseseznamem"/>
        <w:numPr>
          <w:ilvl w:val="0"/>
          <w:numId w:val="34"/>
        </w:numPr>
        <w:spacing w:after="0"/>
        <w:ind w:left="426"/>
        <w:rPr>
          <w:rFonts w:cs="Arial"/>
          <w:sz w:val="18"/>
          <w:szCs w:val="18"/>
        </w:rPr>
      </w:pPr>
      <w:r w:rsidRPr="008875A3">
        <w:rPr>
          <w:rFonts w:cs="Arial"/>
          <w:sz w:val="18"/>
          <w:szCs w:val="18"/>
        </w:rPr>
        <w:t xml:space="preserve">ZPŘ </w:t>
      </w:r>
      <w:r w:rsidR="00286116">
        <w:rPr>
          <w:rFonts w:cs="Arial"/>
          <w:sz w:val="18"/>
          <w:szCs w:val="18"/>
        </w:rPr>
        <w:t>–</w:t>
      </w:r>
      <w:r w:rsidRPr="008875A3">
        <w:rPr>
          <w:rFonts w:cs="Arial"/>
          <w:sz w:val="18"/>
          <w:szCs w:val="18"/>
        </w:rPr>
        <w:t xml:space="preserve"> </w:t>
      </w:r>
      <w:r w:rsidR="00286116">
        <w:rPr>
          <w:rFonts w:cs="Arial"/>
          <w:sz w:val="18"/>
          <w:szCs w:val="18"/>
        </w:rPr>
        <w:t>z</w:t>
      </w:r>
      <w:r w:rsidRPr="008875A3">
        <w:rPr>
          <w:rFonts w:cs="Arial"/>
          <w:sz w:val="18"/>
          <w:szCs w:val="18"/>
        </w:rPr>
        <w:t>jednodušené podlimitní řízení</w:t>
      </w:r>
      <w:r w:rsidR="0013564A">
        <w:rPr>
          <w:rFonts w:cs="Arial"/>
          <w:sz w:val="18"/>
          <w:szCs w:val="18"/>
        </w:rPr>
        <w:t>;</w:t>
      </w:r>
      <w:r w:rsidRPr="008875A3">
        <w:rPr>
          <w:rFonts w:cs="Arial"/>
          <w:sz w:val="18"/>
          <w:szCs w:val="18"/>
        </w:rPr>
        <w:t xml:space="preserve"> </w:t>
      </w:r>
    </w:p>
    <w:p w:rsidR="00460691" w:rsidRPr="008875A3" w:rsidRDefault="003154C8" w:rsidP="00167B2C">
      <w:pPr>
        <w:pStyle w:val="Odstavecseseznamem"/>
        <w:numPr>
          <w:ilvl w:val="0"/>
          <w:numId w:val="34"/>
        </w:numPr>
        <w:spacing w:after="0"/>
        <w:ind w:left="426"/>
        <w:rPr>
          <w:rFonts w:cs="Arial"/>
          <w:sz w:val="18"/>
          <w:szCs w:val="18"/>
        </w:rPr>
      </w:pPr>
      <w:r w:rsidRPr="008875A3">
        <w:rPr>
          <w:rFonts w:cs="Arial"/>
          <w:sz w:val="18"/>
          <w:szCs w:val="18"/>
        </w:rPr>
        <w:t xml:space="preserve">Podl. VZ PZ </w:t>
      </w:r>
      <w:r w:rsidR="00286116">
        <w:rPr>
          <w:rFonts w:cs="Arial"/>
          <w:sz w:val="18"/>
          <w:szCs w:val="18"/>
        </w:rPr>
        <w:t>–</w:t>
      </w:r>
      <w:r w:rsidRPr="008875A3">
        <w:rPr>
          <w:rFonts w:cs="Arial"/>
          <w:sz w:val="18"/>
          <w:szCs w:val="18"/>
        </w:rPr>
        <w:t xml:space="preserve"> </w:t>
      </w:r>
      <w:r w:rsidR="00276661">
        <w:rPr>
          <w:rFonts w:cs="Arial"/>
          <w:sz w:val="18"/>
          <w:szCs w:val="18"/>
        </w:rPr>
        <w:t>p</w:t>
      </w:r>
      <w:r w:rsidRPr="008875A3">
        <w:rPr>
          <w:rFonts w:cs="Arial"/>
          <w:sz w:val="18"/>
          <w:szCs w:val="18"/>
        </w:rPr>
        <w:t xml:space="preserve">odlimitní VZ </w:t>
      </w:r>
      <w:r w:rsidR="00276661">
        <w:rPr>
          <w:rFonts w:cs="Arial"/>
          <w:sz w:val="18"/>
          <w:szCs w:val="18"/>
        </w:rPr>
        <w:t xml:space="preserve">– </w:t>
      </w:r>
      <w:r w:rsidRPr="008875A3">
        <w:rPr>
          <w:rFonts w:cs="Arial"/>
          <w:sz w:val="18"/>
          <w:szCs w:val="18"/>
        </w:rPr>
        <w:t xml:space="preserve">přímé zadání; </w:t>
      </w:r>
    </w:p>
    <w:p w:rsidR="003154C8" w:rsidRPr="008875A3" w:rsidRDefault="003154C8" w:rsidP="00167B2C">
      <w:pPr>
        <w:pStyle w:val="Odstavecseseznamem"/>
        <w:numPr>
          <w:ilvl w:val="0"/>
          <w:numId w:val="34"/>
        </w:numPr>
        <w:spacing w:after="0"/>
        <w:ind w:left="426"/>
        <w:rPr>
          <w:rFonts w:cs="Arial"/>
          <w:sz w:val="18"/>
          <w:szCs w:val="18"/>
        </w:rPr>
      </w:pPr>
      <w:r w:rsidRPr="008875A3">
        <w:rPr>
          <w:rFonts w:cs="Arial"/>
          <w:sz w:val="18"/>
          <w:szCs w:val="18"/>
        </w:rPr>
        <w:t xml:space="preserve">VZ RS mimo ZVZ </w:t>
      </w:r>
      <w:r w:rsidR="00276661">
        <w:rPr>
          <w:rFonts w:cs="Arial"/>
          <w:sz w:val="18"/>
          <w:szCs w:val="18"/>
        </w:rPr>
        <w:t>–</w:t>
      </w:r>
      <w:r w:rsidRPr="008875A3">
        <w:rPr>
          <w:rFonts w:cs="Arial"/>
          <w:sz w:val="18"/>
          <w:szCs w:val="18"/>
        </w:rPr>
        <w:t xml:space="preserve"> VZ na základě rámcové smlouvy mimo režim zákona o VZ; </w:t>
      </w:r>
    </w:p>
    <w:p w:rsidR="003154C8" w:rsidRPr="008875A3" w:rsidRDefault="003154C8" w:rsidP="00167B2C">
      <w:pPr>
        <w:pStyle w:val="Odstavecseseznamem"/>
        <w:numPr>
          <w:ilvl w:val="0"/>
          <w:numId w:val="34"/>
        </w:numPr>
        <w:spacing w:after="0"/>
        <w:ind w:left="426"/>
        <w:rPr>
          <w:rFonts w:cs="Arial"/>
          <w:sz w:val="18"/>
          <w:szCs w:val="18"/>
        </w:rPr>
      </w:pPr>
      <w:r w:rsidRPr="008875A3">
        <w:rPr>
          <w:rFonts w:cs="Arial"/>
          <w:sz w:val="18"/>
          <w:szCs w:val="18"/>
        </w:rPr>
        <w:t xml:space="preserve">VZ RS v režimu ZVZ </w:t>
      </w:r>
      <w:r w:rsidR="00276661">
        <w:rPr>
          <w:rFonts w:cs="Arial"/>
          <w:sz w:val="18"/>
          <w:szCs w:val="18"/>
        </w:rPr>
        <w:t>–</w:t>
      </w:r>
      <w:r w:rsidRPr="008875A3">
        <w:rPr>
          <w:rFonts w:cs="Arial"/>
          <w:sz w:val="18"/>
          <w:szCs w:val="18"/>
        </w:rPr>
        <w:t xml:space="preserve"> VZ na základě rámcové smlouvy </w:t>
      </w:r>
      <w:r w:rsidR="002C671F">
        <w:rPr>
          <w:rFonts w:cs="Arial"/>
          <w:sz w:val="18"/>
          <w:szCs w:val="18"/>
        </w:rPr>
        <w:t>v </w:t>
      </w:r>
      <w:r w:rsidRPr="008875A3">
        <w:rPr>
          <w:rFonts w:cs="Arial"/>
          <w:sz w:val="18"/>
          <w:szCs w:val="18"/>
        </w:rPr>
        <w:t>režimu zákona o VZ.</w:t>
      </w:r>
    </w:p>
    <w:p w:rsidR="00592FFC" w:rsidRPr="0046741B" w:rsidRDefault="00592FFC" w:rsidP="0046741B">
      <w:pPr>
        <w:spacing w:after="0"/>
        <w:rPr>
          <w:rFonts w:cs="Arial"/>
          <w:szCs w:val="22"/>
        </w:rPr>
      </w:pPr>
    </w:p>
    <w:p w:rsidR="002C1607" w:rsidRDefault="00410607" w:rsidP="0046741B">
      <w:pPr>
        <w:spacing w:after="0"/>
        <w:rPr>
          <w:rFonts w:cs="Arial"/>
          <w:szCs w:val="22"/>
        </w:rPr>
      </w:pPr>
      <w:r>
        <w:rPr>
          <w:rFonts w:cs="Arial"/>
          <w:szCs w:val="22"/>
        </w:rPr>
        <w:t xml:space="preserve">NKÚ provedl </w:t>
      </w:r>
      <w:r w:rsidR="00DC1A92">
        <w:rPr>
          <w:rFonts w:cs="Arial"/>
          <w:szCs w:val="22"/>
        </w:rPr>
        <w:t>z</w:t>
      </w:r>
      <w:r w:rsidR="00165079">
        <w:rPr>
          <w:rFonts w:cs="Arial"/>
          <w:szCs w:val="22"/>
        </w:rPr>
        <w:t> </w:t>
      </w:r>
      <w:proofErr w:type="spellStart"/>
      <w:r w:rsidR="00167B2C">
        <w:rPr>
          <w:rFonts w:cs="Arial"/>
          <w:szCs w:val="22"/>
        </w:rPr>
        <w:t>dat</w:t>
      </w:r>
      <w:r w:rsidR="00165079">
        <w:rPr>
          <w:rFonts w:cs="Arial"/>
          <w:szCs w:val="22"/>
        </w:rPr>
        <w:t>asetu</w:t>
      </w:r>
      <w:proofErr w:type="spellEnd"/>
      <w:r w:rsidR="00165079">
        <w:rPr>
          <w:rFonts w:cs="Arial"/>
          <w:szCs w:val="22"/>
        </w:rPr>
        <w:t xml:space="preserve"> </w:t>
      </w:r>
      <w:proofErr w:type="spellStart"/>
      <w:r w:rsidR="00165079">
        <w:rPr>
          <w:rFonts w:cs="Arial"/>
          <w:szCs w:val="22"/>
        </w:rPr>
        <w:t>VZ</w:t>
      </w:r>
      <w:proofErr w:type="spellEnd"/>
      <w:r w:rsidR="00167B2C">
        <w:rPr>
          <w:rFonts w:cs="Arial"/>
          <w:szCs w:val="22"/>
        </w:rPr>
        <w:t xml:space="preserve"> </w:t>
      </w:r>
      <w:r w:rsidR="00DC1A92">
        <w:rPr>
          <w:rFonts w:cs="Arial"/>
          <w:szCs w:val="22"/>
        </w:rPr>
        <w:t>předložen</w:t>
      </w:r>
      <w:r w:rsidR="00286116">
        <w:rPr>
          <w:rFonts w:cs="Arial"/>
          <w:szCs w:val="22"/>
        </w:rPr>
        <w:t>ého</w:t>
      </w:r>
      <w:r w:rsidR="00DC1A92">
        <w:rPr>
          <w:rFonts w:cs="Arial"/>
          <w:szCs w:val="22"/>
        </w:rPr>
        <w:t xml:space="preserve"> správcem e-tržišť (MMR) analýzu </w:t>
      </w:r>
      <w:r>
        <w:rPr>
          <w:rFonts w:cs="Arial"/>
          <w:szCs w:val="22"/>
        </w:rPr>
        <w:t xml:space="preserve">zakázek zadaných </w:t>
      </w:r>
      <w:r w:rsidR="00401F91">
        <w:rPr>
          <w:rFonts w:cs="Arial"/>
          <w:szCs w:val="22"/>
        </w:rPr>
        <w:t>ministerstvy</w:t>
      </w:r>
      <w:r w:rsidR="00777379">
        <w:rPr>
          <w:rFonts w:cs="Arial"/>
          <w:szCs w:val="22"/>
        </w:rPr>
        <w:t>.</w:t>
      </w:r>
      <w:r w:rsidR="00A02669">
        <w:rPr>
          <w:rFonts w:cs="Arial"/>
          <w:szCs w:val="22"/>
        </w:rPr>
        <w:t xml:space="preserve"> </w:t>
      </w:r>
      <w:r w:rsidR="00777379">
        <w:rPr>
          <w:rFonts w:cs="Arial"/>
          <w:szCs w:val="22"/>
        </w:rPr>
        <w:t xml:space="preserve">Následující tabulka podává souhrnné údaje o zakázkách </w:t>
      </w:r>
      <w:r w:rsidR="002161EE">
        <w:rPr>
          <w:rFonts w:cs="Arial"/>
          <w:szCs w:val="22"/>
        </w:rPr>
        <w:t>vybraných povinných zadavatelů</w:t>
      </w:r>
      <w:r w:rsidR="00777379">
        <w:rPr>
          <w:rFonts w:cs="Arial"/>
          <w:szCs w:val="22"/>
        </w:rPr>
        <w:t xml:space="preserve"> v prvním roce provozu e-tržišť: </w:t>
      </w:r>
    </w:p>
    <w:p w:rsidR="003C4C53" w:rsidRDefault="003C4C53" w:rsidP="006A6E87">
      <w:pPr>
        <w:spacing w:after="0"/>
        <w:rPr>
          <w:rFonts w:cs="Arial"/>
          <w:szCs w:val="22"/>
        </w:rPr>
      </w:pPr>
    </w:p>
    <w:p w:rsidR="00410607" w:rsidRPr="006A6E87" w:rsidRDefault="00410607" w:rsidP="00410607">
      <w:pPr>
        <w:pStyle w:val="Titulek"/>
        <w:spacing w:after="60"/>
      </w:pPr>
      <w:r>
        <w:t xml:space="preserve">Tabulka č. </w:t>
      </w:r>
      <w:r w:rsidR="004E1CDF">
        <w:fldChar w:fldCharType="begin"/>
      </w:r>
      <w:r w:rsidR="004E1CDF">
        <w:instrText xml:space="preserve"> SEQ Tabulka_č._ \* AR</w:instrText>
      </w:r>
      <w:r w:rsidR="004E1CDF">
        <w:instrText xml:space="preserve">ABIC </w:instrText>
      </w:r>
      <w:r w:rsidR="004E1CDF">
        <w:fldChar w:fldCharType="separate"/>
      </w:r>
      <w:r w:rsidR="00022DA3">
        <w:rPr>
          <w:noProof/>
        </w:rPr>
        <w:t>1</w:t>
      </w:r>
      <w:r w:rsidR="004E1CDF">
        <w:rPr>
          <w:noProof/>
        </w:rPr>
        <w:fldChar w:fldCharType="end"/>
      </w:r>
      <w:r w:rsidRPr="006A6E87">
        <w:t xml:space="preserve"> </w:t>
      </w:r>
      <w:r w:rsidR="0072233D" w:rsidRPr="006A6E87">
        <w:t>–</w:t>
      </w:r>
      <w:r w:rsidRPr="006A6E87">
        <w:rPr>
          <w:rFonts w:cs="Arial"/>
        </w:rPr>
        <w:t xml:space="preserve"> Počet zadaných VZ a jejich celkový finanční </w:t>
      </w:r>
      <w:r w:rsidR="00F86B35" w:rsidRPr="006A6E87">
        <w:rPr>
          <w:rFonts w:cs="Arial"/>
        </w:rPr>
        <w:t xml:space="preserve">objem </w:t>
      </w:r>
      <w:r w:rsidR="002C671F" w:rsidRPr="006A6E87">
        <w:rPr>
          <w:rFonts w:cs="Arial"/>
        </w:rPr>
        <w:t>v </w:t>
      </w:r>
      <w:r w:rsidRPr="006A6E87">
        <w:rPr>
          <w:rFonts w:cs="Arial"/>
        </w:rPr>
        <w:t>členění podle ministerstev</w:t>
      </w:r>
    </w:p>
    <w:tbl>
      <w:tblPr>
        <w:tblW w:w="9371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126"/>
        <w:gridCol w:w="1559"/>
        <w:gridCol w:w="1560"/>
        <w:gridCol w:w="2126"/>
      </w:tblGrid>
      <w:tr w:rsidR="009E1C35" w:rsidRPr="00651637" w:rsidTr="00592FFC">
        <w:trPr>
          <w:trHeight w:val="533"/>
          <w:tblHeader/>
        </w:trPr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1C35" w:rsidRPr="00651637" w:rsidRDefault="009E1C35" w:rsidP="00651637">
            <w:pPr>
              <w:spacing w:after="0"/>
              <w:jc w:val="center"/>
              <w:rPr>
                <w:rFonts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651637">
              <w:rPr>
                <w:rFonts w:cs="Arial"/>
                <w:b/>
                <w:bCs/>
                <w:color w:val="000000"/>
                <w:sz w:val="20"/>
                <w:szCs w:val="20"/>
                <w:lang w:eastAsia="cs-CZ"/>
              </w:rPr>
              <w:t>Ministerstvo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1C35" w:rsidRPr="00651637" w:rsidRDefault="009E1C35" w:rsidP="00651637">
            <w:pPr>
              <w:spacing w:after="0"/>
              <w:jc w:val="center"/>
              <w:rPr>
                <w:rFonts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651637">
              <w:rPr>
                <w:rFonts w:cs="Arial"/>
                <w:b/>
                <w:bCs/>
                <w:color w:val="000000"/>
                <w:sz w:val="20"/>
                <w:szCs w:val="20"/>
                <w:lang w:eastAsia="cs-CZ"/>
              </w:rPr>
              <w:t xml:space="preserve">Počet zadaných VZ 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double" w:sz="6" w:space="0" w:color="auto"/>
              <w:right w:val="single" w:sz="4" w:space="0" w:color="auto"/>
            </w:tcBorders>
            <w:vAlign w:val="center"/>
          </w:tcPr>
          <w:p w:rsidR="009E1C35" w:rsidRPr="00651637" w:rsidRDefault="002C671F" w:rsidP="00276661">
            <w:pPr>
              <w:spacing w:after="0"/>
              <w:jc w:val="center"/>
              <w:rPr>
                <w:rFonts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>
              <w:rPr>
                <w:rFonts w:cs="Arial"/>
                <w:b/>
                <w:bCs/>
                <w:color w:val="000000"/>
                <w:sz w:val="20"/>
                <w:szCs w:val="20"/>
                <w:lang w:eastAsia="cs-CZ"/>
              </w:rPr>
              <w:t>z </w:t>
            </w:r>
            <w:r w:rsidR="00CD132C">
              <w:rPr>
                <w:rFonts w:cs="Arial"/>
                <w:b/>
                <w:bCs/>
                <w:color w:val="000000"/>
                <w:sz w:val="20"/>
                <w:szCs w:val="20"/>
                <w:lang w:eastAsia="cs-CZ"/>
              </w:rPr>
              <w:t xml:space="preserve">toho </w:t>
            </w:r>
            <w:r w:rsidR="00276661">
              <w:rPr>
                <w:rFonts w:cs="Arial"/>
                <w:b/>
                <w:bCs/>
                <w:color w:val="000000"/>
                <w:sz w:val="20"/>
                <w:szCs w:val="20"/>
                <w:lang w:eastAsia="cs-CZ"/>
              </w:rPr>
              <w:t>p</w:t>
            </w:r>
            <w:r w:rsidR="009E1C35">
              <w:rPr>
                <w:rFonts w:cs="Arial"/>
                <w:b/>
                <w:bCs/>
                <w:color w:val="000000"/>
                <w:sz w:val="20"/>
                <w:szCs w:val="20"/>
                <w:lang w:eastAsia="cs-CZ"/>
              </w:rPr>
              <w:t>očet VZ zadaných přímo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1C35" w:rsidRPr="00651637" w:rsidRDefault="009E1C35" w:rsidP="00651637">
            <w:pPr>
              <w:spacing w:after="0"/>
              <w:jc w:val="center"/>
              <w:rPr>
                <w:rFonts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651637">
              <w:rPr>
                <w:rFonts w:cs="Arial"/>
                <w:b/>
                <w:bCs/>
                <w:color w:val="000000"/>
                <w:sz w:val="20"/>
                <w:szCs w:val="20"/>
                <w:lang w:eastAsia="cs-CZ"/>
              </w:rPr>
              <w:t>Celková smluvní cena (</w:t>
            </w:r>
            <w:r w:rsidR="00286116">
              <w:rPr>
                <w:rFonts w:cs="Arial"/>
                <w:b/>
                <w:bCs/>
                <w:color w:val="000000"/>
                <w:sz w:val="20"/>
                <w:szCs w:val="20"/>
                <w:lang w:eastAsia="cs-CZ"/>
              </w:rPr>
              <w:t xml:space="preserve">v </w:t>
            </w:r>
            <w:r w:rsidRPr="00651637">
              <w:rPr>
                <w:rFonts w:cs="Arial"/>
                <w:b/>
                <w:bCs/>
                <w:color w:val="000000"/>
                <w:sz w:val="20"/>
                <w:szCs w:val="20"/>
                <w:lang w:eastAsia="cs-CZ"/>
              </w:rPr>
              <w:t>Kč bez DPH)</w:t>
            </w:r>
          </w:p>
        </w:tc>
      </w:tr>
      <w:tr w:rsidR="00A444EF" w:rsidRPr="00651637" w:rsidTr="00D97FDE">
        <w:trPr>
          <w:trHeight w:val="2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44EF" w:rsidRPr="00A444EF" w:rsidRDefault="00A444EF" w:rsidP="00A444EF">
            <w:pPr>
              <w:spacing w:after="0"/>
              <w:rPr>
                <w:rFonts w:cs="Arial"/>
                <w:sz w:val="20"/>
                <w:szCs w:val="20"/>
              </w:rPr>
            </w:pPr>
            <w:r w:rsidRPr="00A444EF">
              <w:rPr>
                <w:rFonts w:cs="Arial"/>
                <w:sz w:val="20"/>
                <w:szCs w:val="20"/>
              </w:rPr>
              <w:t>Ministerstvo obrany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44EF" w:rsidRPr="00A444EF" w:rsidRDefault="00A444EF" w:rsidP="00276661">
            <w:pPr>
              <w:spacing w:after="0"/>
              <w:ind w:right="57"/>
              <w:jc w:val="right"/>
              <w:rPr>
                <w:rFonts w:cs="Arial"/>
                <w:sz w:val="20"/>
                <w:szCs w:val="20"/>
              </w:rPr>
            </w:pPr>
            <w:r w:rsidRPr="00A444EF">
              <w:rPr>
                <w:rFonts w:cs="Arial"/>
                <w:sz w:val="20"/>
                <w:szCs w:val="20"/>
              </w:rPr>
              <w:t>11 371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444EF" w:rsidRPr="00A444EF" w:rsidRDefault="00A444EF" w:rsidP="00276661">
            <w:pPr>
              <w:spacing w:after="0"/>
              <w:ind w:right="57"/>
              <w:jc w:val="right"/>
              <w:rPr>
                <w:rFonts w:cs="Arial"/>
                <w:sz w:val="20"/>
                <w:szCs w:val="20"/>
              </w:rPr>
            </w:pPr>
            <w:r w:rsidRPr="00A444EF">
              <w:rPr>
                <w:rFonts w:cs="Arial"/>
                <w:sz w:val="20"/>
                <w:szCs w:val="20"/>
              </w:rPr>
              <w:t>4 607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44EF" w:rsidRPr="00A444EF" w:rsidRDefault="00A444EF" w:rsidP="00276661">
            <w:pPr>
              <w:spacing w:after="0"/>
              <w:ind w:right="57"/>
              <w:jc w:val="right"/>
              <w:rPr>
                <w:rFonts w:cs="Arial"/>
                <w:sz w:val="20"/>
                <w:szCs w:val="20"/>
              </w:rPr>
            </w:pPr>
            <w:r w:rsidRPr="00A444EF">
              <w:rPr>
                <w:rFonts w:cs="Arial"/>
                <w:sz w:val="20"/>
                <w:szCs w:val="20"/>
              </w:rPr>
              <w:t>706 600 588</w:t>
            </w:r>
          </w:p>
        </w:tc>
      </w:tr>
      <w:tr w:rsidR="00A444EF" w:rsidRPr="00651637" w:rsidTr="00D97FDE">
        <w:trPr>
          <w:trHeight w:val="5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44EF" w:rsidRPr="00A444EF" w:rsidRDefault="00A444EF" w:rsidP="00A444EF">
            <w:pPr>
              <w:spacing w:after="0"/>
              <w:rPr>
                <w:rFonts w:cs="Arial"/>
                <w:sz w:val="20"/>
                <w:szCs w:val="20"/>
              </w:rPr>
            </w:pPr>
            <w:r w:rsidRPr="00A444EF">
              <w:rPr>
                <w:rFonts w:cs="Arial"/>
                <w:sz w:val="20"/>
                <w:szCs w:val="20"/>
              </w:rPr>
              <w:t>Ministerstvo vnitra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44EF" w:rsidRPr="00A444EF" w:rsidRDefault="00A444EF" w:rsidP="00276661">
            <w:pPr>
              <w:spacing w:after="0"/>
              <w:ind w:right="57"/>
              <w:jc w:val="right"/>
              <w:rPr>
                <w:rFonts w:cs="Arial"/>
                <w:sz w:val="20"/>
                <w:szCs w:val="20"/>
              </w:rPr>
            </w:pPr>
            <w:r w:rsidRPr="00A444EF">
              <w:rPr>
                <w:rFonts w:cs="Arial"/>
                <w:sz w:val="20"/>
                <w:szCs w:val="20"/>
              </w:rPr>
              <w:t>395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444EF" w:rsidRPr="00A444EF" w:rsidRDefault="00A444EF" w:rsidP="00276661">
            <w:pPr>
              <w:spacing w:after="0"/>
              <w:ind w:right="57"/>
              <w:jc w:val="right"/>
              <w:rPr>
                <w:rFonts w:cs="Arial"/>
                <w:sz w:val="20"/>
                <w:szCs w:val="20"/>
              </w:rPr>
            </w:pPr>
            <w:r w:rsidRPr="00A444EF">
              <w:rPr>
                <w:rFonts w:cs="Arial"/>
                <w:sz w:val="20"/>
                <w:szCs w:val="20"/>
              </w:rPr>
              <w:t>116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44EF" w:rsidRPr="00A444EF" w:rsidRDefault="00A444EF" w:rsidP="00276661">
            <w:pPr>
              <w:spacing w:after="0"/>
              <w:ind w:right="57"/>
              <w:jc w:val="right"/>
              <w:rPr>
                <w:rFonts w:cs="Arial"/>
                <w:sz w:val="20"/>
                <w:szCs w:val="20"/>
              </w:rPr>
            </w:pPr>
            <w:r w:rsidRPr="00A444EF">
              <w:rPr>
                <w:rFonts w:cs="Arial"/>
                <w:sz w:val="20"/>
                <w:szCs w:val="20"/>
              </w:rPr>
              <w:t>47 413 861</w:t>
            </w:r>
          </w:p>
        </w:tc>
      </w:tr>
      <w:tr w:rsidR="00A444EF" w:rsidRPr="00651637" w:rsidTr="00D97FDE">
        <w:trPr>
          <w:trHeight w:val="5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44EF" w:rsidRPr="00A444EF" w:rsidRDefault="00A444EF" w:rsidP="00A444EF">
            <w:pPr>
              <w:spacing w:after="0"/>
              <w:rPr>
                <w:rFonts w:cs="Arial"/>
                <w:sz w:val="20"/>
                <w:szCs w:val="20"/>
              </w:rPr>
            </w:pPr>
            <w:r w:rsidRPr="00A444EF">
              <w:rPr>
                <w:rFonts w:cs="Arial"/>
                <w:sz w:val="20"/>
                <w:szCs w:val="20"/>
              </w:rPr>
              <w:t>Ministerstvo zahraničních věcí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44EF" w:rsidRPr="00A444EF" w:rsidRDefault="00A444EF" w:rsidP="00276661">
            <w:pPr>
              <w:spacing w:after="0"/>
              <w:ind w:right="57"/>
              <w:jc w:val="right"/>
              <w:rPr>
                <w:rFonts w:cs="Arial"/>
                <w:sz w:val="20"/>
                <w:szCs w:val="20"/>
              </w:rPr>
            </w:pPr>
            <w:r w:rsidRPr="00A444EF">
              <w:rPr>
                <w:rFonts w:cs="Arial"/>
                <w:sz w:val="20"/>
                <w:szCs w:val="20"/>
              </w:rPr>
              <w:t>245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444EF" w:rsidRPr="00A444EF" w:rsidRDefault="00A444EF" w:rsidP="00276661">
            <w:pPr>
              <w:spacing w:after="0"/>
              <w:ind w:right="57"/>
              <w:jc w:val="right"/>
              <w:rPr>
                <w:rFonts w:cs="Arial"/>
                <w:sz w:val="20"/>
                <w:szCs w:val="20"/>
              </w:rPr>
            </w:pPr>
            <w:r w:rsidRPr="00A444EF">
              <w:rPr>
                <w:rFonts w:cs="Arial"/>
                <w:sz w:val="20"/>
                <w:szCs w:val="20"/>
              </w:rPr>
              <w:t>34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44EF" w:rsidRPr="00A444EF" w:rsidRDefault="00A444EF" w:rsidP="00276661">
            <w:pPr>
              <w:spacing w:after="0"/>
              <w:ind w:right="57"/>
              <w:jc w:val="right"/>
              <w:rPr>
                <w:rFonts w:cs="Arial"/>
                <w:sz w:val="20"/>
                <w:szCs w:val="20"/>
              </w:rPr>
            </w:pPr>
            <w:r w:rsidRPr="00A444EF">
              <w:rPr>
                <w:rFonts w:cs="Arial"/>
                <w:sz w:val="20"/>
                <w:szCs w:val="20"/>
              </w:rPr>
              <w:t>15 119 929</w:t>
            </w:r>
          </w:p>
        </w:tc>
      </w:tr>
      <w:tr w:rsidR="00A444EF" w:rsidRPr="00651637" w:rsidTr="00D97FDE">
        <w:trPr>
          <w:trHeight w:val="5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44EF" w:rsidRPr="00A444EF" w:rsidRDefault="00A444EF" w:rsidP="00A444EF">
            <w:pPr>
              <w:spacing w:after="0"/>
              <w:rPr>
                <w:rFonts w:cs="Arial"/>
                <w:sz w:val="20"/>
                <w:szCs w:val="20"/>
              </w:rPr>
            </w:pPr>
            <w:r w:rsidRPr="00A444EF">
              <w:rPr>
                <w:rFonts w:cs="Arial"/>
                <w:sz w:val="20"/>
                <w:szCs w:val="20"/>
              </w:rPr>
              <w:t>Ministerstvo zemědělství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44EF" w:rsidRPr="00A444EF" w:rsidRDefault="00A444EF" w:rsidP="00276661">
            <w:pPr>
              <w:spacing w:after="0"/>
              <w:ind w:right="57"/>
              <w:jc w:val="right"/>
              <w:rPr>
                <w:rFonts w:cs="Arial"/>
                <w:sz w:val="20"/>
                <w:szCs w:val="20"/>
              </w:rPr>
            </w:pPr>
            <w:r w:rsidRPr="00A444EF">
              <w:rPr>
                <w:rFonts w:cs="Arial"/>
                <w:sz w:val="20"/>
                <w:szCs w:val="20"/>
              </w:rPr>
              <w:t>192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444EF" w:rsidRPr="00A444EF" w:rsidRDefault="00A444EF" w:rsidP="00276661">
            <w:pPr>
              <w:spacing w:after="0"/>
              <w:ind w:right="57"/>
              <w:jc w:val="right"/>
              <w:rPr>
                <w:rFonts w:cs="Arial"/>
                <w:sz w:val="20"/>
                <w:szCs w:val="20"/>
              </w:rPr>
            </w:pPr>
            <w:r w:rsidRPr="00A444EF">
              <w:rPr>
                <w:rFonts w:cs="Arial"/>
                <w:sz w:val="20"/>
                <w:szCs w:val="20"/>
              </w:rPr>
              <w:t>21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44EF" w:rsidRPr="00A444EF" w:rsidRDefault="00A444EF" w:rsidP="00276661">
            <w:pPr>
              <w:spacing w:after="0"/>
              <w:ind w:right="57"/>
              <w:jc w:val="right"/>
              <w:rPr>
                <w:rFonts w:cs="Arial"/>
                <w:sz w:val="20"/>
                <w:szCs w:val="20"/>
              </w:rPr>
            </w:pPr>
            <w:r w:rsidRPr="00A444EF">
              <w:rPr>
                <w:rFonts w:cs="Arial"/>
                <w:sz w:val="20"/>
                <w:szCs w:val="20"/>
              </w:rPr>
              <w:t>34 239 045</w:t>
            </w:r>
          </w:p>
        </w:tc>
      </w:tr>
      <w:tr w:rsidR="00A444EF" w:rsidRPr="00651637" w:rsidTr="00D97FDE">
        <w:trPr>
          <w:trHeight w:val="88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44EF" w:rsidRPr="00A444EF" w:rsidRDefault="00A444EF" w:rsidP="00A444EF">
            <w:pPr>
              <w:spacing w:after="0"/>
              <w:rPr>
                <w:rFonts w:cs="Arial"/>
                <w:sz w:val="20"/>
                <w:szCs w:val="20"/>
              </w:rPr>
            </w:pPr>
            <w:r w:rsidRPr="00A444EF">
              <w:rPr>
                <w:rFonts w:cs="Arial"/>
                <w:sz w:val="20"/>
                <w:szCs w:val="20"/>
              </w:rPr>
              <w:t>Ministerstvo kultury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44EF" w:rsidRPr="00A444EF" w:rsidRDefault="00A444EF" w:rsidP="00276661">
            <w:pPr>
              <w:spacing w:after="0"/>
              <w:ind w:right="57"/>
              <w:jc w:val="right"/>
              <w:rPr>
                <w:rFonts w:cs="Arial"/>
                <w:sz w:val="20"/>
                <w:szCs w:val="20"/>
              </w:rPr>
            </w:pPr>
            <w:r w:rsidRPr="00A444EF">
              <w:rPr>
                <w:rFonts w:cs="Arial"/>
                <w:sz w:val="20"/>
                <w:szCs w:val="20"/>
              </w:rPr>
              <w:t>105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444EF" w:rsidRPr="00A444EF" w:rsidRDefault="00A444EF" w:rsidP="00276661">
            <w:pPr>
              <w:spacing w:after="0"/>
              <w:ind w:right="57"/>
              <w:jc w:val="right"/>
              <w:rPr>
                <w:rFonts w:cs="Arial"/>
                <w:sz w:val="20"/>
                <w:szCs w:val="20"/>
              </w:rPr>
            </w:pPr>
            <w:r w:rsidRPr="00A444EF">
              <w:rPr>
                <w:rFonts w:cs="Arial"/>
                <w:sz w:val="20"/>
                <w:szCs w:val="20"/>
              </w:rPr>
              <w:t>53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44EF" w:rsidRPr="00A444EF" w:rsidRDefault="00A444EF" w:rsidP="00276661">
            <w:pPr>
              <w:spacing w:after="0"/>
              <w:ind w:right="57"/>
              <w:jc w:val="right"/>
              <w:rPr>
                <w:rFonts w:cs="Arial"/>
                <w:sz w:val="20"/>
                <w:szCs w:val="20"/>
              </w:rPr>
            </w:pPr>
            <w:r w:rsidRPr="00A444EF">
              <w:rPr>
                <w:rFonts w:cs="Arial"/>
                <w:sz w:val="20"/>
                <w:szCs w:val="20"/>
              </w:rPr>
              <w:t>19 815 840</w:t>
            </w:r>
          </w:p>
        </w:tc>
      </w:tr>
      <w:tr w:rsidR="00A444EF" w:rsidRPr="00651637" w:rsidTr="00D97FDE">
        <w:trPr>
          <w:trHeight w:val="5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44EF" w:rsidRPr="00A444EF" w:rsidRDefault="00A444EF" w:rsidP="00A444EF">
            <w:pPr>
              <w:spacing w:after="0"/>
              <w:rPr>
                <w:rFonts w:cs="Arial"/>
                <w:sz w:val="20"/>
                <w:szCs w:val="20"/>
              </w:rPr>
            </w:pPr>
            <w:r w:rsidRPr="00A444EF">
              <w:rPr>
                <w:rFonts w:cs="Arial"/>
                <w:sz w:val="20"/>
                <w:szCs w:val="20"/>
              </w:rPr>
              <w:t>Ministerstvo financí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44EF" w:rsidRPr="00A444EF" w:rsidRDefault="00A444EF" w:rsidP="00276661">
            <w:pPr>
              <w:spacing w:after="0"/>
              <w:ind w:right="57"/>
              <w:jc w:val="right"/>
              <w:rPr>
                <w:rFonts w:cs="Arial"/>
                <w:sz w:val="20"/>
                <w:szCs w:val="20"/>
              </w:rPr>
            </w:pPr>
            <w:r w:rsidRPr="00A444EF">
              <w:rPr>
                <w:rFonts w:cs="Arial"/>
                <w:sz w:val="20"/>
                <w:szCs w:val="20"/>
              </w:rPr>
              <w:t>78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444EF" w:rsidRPr="00A444EF" w:rsidRDefault="00A444EF" w:rsidP="00276661">
            <w:pPr>
              <w:spacing w:after="0"/>
              <w:ind w:right="57"/>
              <w:jc w:val="right"/>
              <w:rPr>
                <w:rFonts w:cs="Arial"/>
                <w:sz w:val="20"/>
                <w:szCs w:val="20"/>
              </w:rPr>
            </w:pPr>
            <w:r w:rsidRPr="00A444EF">
              <w:rPr>
                <w:rFonts w:cs="Arial"/>
                <w:sz w:val="20"/>
                <w:szCs w:val="20"/>
              </w:rPr>
              <w:t>32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44EF" w:rsidRPr="00A444EF" w:rsidRDefault="00A444EF" w:rsidP="00276661">
            <w:pPr>
              <w:spacing w:after="0"/>
              <w:ind w:right="57"/>
              <w:jc w:val="right"/>
              <w:rPr>
                <w:rFonts w:cs="Arial"/>
                <w:sz w:val="20"/>
                <w:szCs w:val="20"/>
              </w:rPr>
            </w:pPr>
            <w:r w:rsidRPr="00A444EF">
              <w:rPr>
                <w:rFonts w:cs="Arial"/>
                <w:sz w:val="20"/>
                <w:szCs w:val="20"/>
              </w:rPr>
              <w:t>13 392 235</w:t>
            </w:r>
          </w:p>
        </w:tc>
      </w:tr>
      <w:tr w:rsidR="00A444EF" w:rsidRPr="00651637" w:rsidTr="00D97FDE">
        <w:trPr>
          <w:trHeight w:val="5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44EF" w:rsidRPr="00A444EF" w:rsidRDefault="00A444EF" w:rsidP="00A444EF">
            <w:pPr>
              <w:spacing w:after="0"/>
              <w:rPr>
                <w:rFonts w:cs="Arial"/>
                <w:sz w:val="20"/>
                <w:szCs w:val="20"/>
              </w:rPr>
            </w:pPr>
            <w:r w:rsidRPr="00A444EF">
              <w:rPr>
                <w:rFonts w:cs="Arial"/>
                <w:sz w:val="20"/>
                <w:szCs w:val="20"/>
              </w:rPr>
              <w:t>Ministerstvo školství, mládeže a tělovýchovy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44EF" w:rsidRPr="00A444EF" w:rsidRDefault="00A444EF" w:rsidP="00276661">
            <w:pPr>
              <w:spacing w:after="0"/>
              <w:ind w:right="57"/>
              <w:jc w:val="right"/>
              <w:rPr>
                <w:rFonts w:cs="Arial"/>
                <w:sz w:val="20"/>
                <w:szCs w:val="20"/>
              </w:rPr>
            </w:pPr>
            <w:r w:rsidRPr="00A444EF">
              <w:rPr>
                <w:rFonts w:cs="Arial"/>
                <w:sz w:val="20"/>
                <w:szCs w:val="20"/>
              </w:rPr>
              <w:t>74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444EF" w:rsidRPr="00A444EF" w:rsidRDefault="00A444EF" w:rsidP="00276661">
            <w:pPr>
              <w:spacing w:after="0"/>
              <w:ind w:right="57"/>
              <w:jc w:val="right"/>
              <w:rPr>
                <w:rFonts w:cs="Arial"/>
                <w:sz w:val="20"/>
                <w:szCs w:val="20"/>
              </w:rPr>
            </w:pPr>
            <w:r w:rsidRPr="00A444EF">
              <w:rPr>
                <w:rFonts w:cs="Arial"/>
                <w:sz w:val="20"/>
                <w:szCs w:val="20"/>
              </w:rPr>
              <w:t>16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44EF" w:rsidRPr="00A444EF" w:rsidRDefault="00A444EF" w:rsidP="00276661">
            <w:pPr>
              <w:spacing w:after="0"/>
              <w:ind w:right="57"/>
              <w:jc w:val="right"/>
              <w:rPr>
                <w:rFonts w:cs="Arial"/>
                <w:sz w:val="20"/>
                <w:szCs w:val="20"/>
              </w:rPr>
            </w:pPr>
            <w:r w:rsidRPr="00A444EF">
              <w:rPr>
                <w:rFonts w:cs="Arial"/>
                <w:sz w:val="20"/>
                <w:szCs w:val="20"/>
              </w:rPr>
              <w:t>22 549 356</w:t>
            </w:r>
          </w:p>
        </w:tc>
      </w:tr>
      <w:tr w:rsidR="00A444EF" w:rsidRPr="00651637" w:rsidTr="00D97FDE">
        <w:trPr>
          <w:trHeight w:val="5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44EF" w:rsidRPr="00A444EF" w:rsidRDefault="00A444EF" w:rsidP="00A444EF">
            <w:pPr>
              <w:spacing w:after="0"/>
              <w:rPr>
                <w:rFonts w:cs="Arial"/>
                <w:sz w:val="20"/>
                <w:szCs w:val="20"/>
              </w:rPr>
            </w:pPr>
            <w:r w:rsidRPr="00A444EF">
              <w:rPr>
                <w:rFonts w:cs="Arial"/>
                <w:sz w:val="20"/>
                <w:szCs w:val="20"/>
              </w:rPr>
              <w:t>Ministerstvo spravedlnosti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44EF" w:rsidRPr="00A444EF" w:rsidRDefault="00A444EF" w:rsidP="00276661">
            <w:pPr>
              <w:spacing w:after="0"/>
              <w:ind w:right="57"/>
              <w:jc w:val="right"/>
              <w:rPr>
                <w:rFonts w:cs="Arial"/>
                <w:sz w:val="20"/>
                <w:szCs w:val="20"/>
              </w:rPr>
            </w:pPr>
            <w:r w:rsidRPr="00A444EF">
              <w:rPr>
                <w:rFonts w:cs="Arial"/>
                <w:sz w:val="20"/>
                <w:szCs w:val="20"/>
              </w:rPr>
              <w:t>65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444EF" w:rsidRPr="00A444EF" w:rsidRDefault="00A444EF" w:rsidP="00276661">
            <w:pPr>
              <w:spacing w:after="0"/>
              <w:ind w:right="57"/>
              <w:jc w:val="right"/>
              <w:rPr>
                <w:rFonts w:cs="Arial"/>
                <w:sz w:val="20"/>
                <w:szCs w:val="20"/>
              </w:rPr>
            </w:pPr>
            <w:r w:rsidRPr="00A444EF">
              <w:rPr>
                <w:rFonts w:cs="Arial"/>
                <w:sz w:val="20"/>
                <w:szCs w:val="20"/>
              </w:rPr>
              <w:t>9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44EF" w:rsidRPr="00A444EF" w:rsidRDefault="00A444EF" w:rsidP="00276661">
            <w:pPr>
              <w:spacing w:after="0"/>
              <w:ind w:right="57"/>
              <w:jc w:val="right"/>
              <w:rPr>
                <w:rFonts w:cs="Arial"/>
                <w:sz w:val="20"/>
                <w:szCs w:val="20"/>
              </w:rPr>
            </w:pPr>
            <w:r w:rsidRPr="00A444EF">
              <w:rPr>
                <w:rFonts w:cs="Arial"/>
                <w:sz w:val="20"/>
                <w:szCs w:val="20"/>
              </w:rPr>
              <w:t>15 256 350</w:t>
            </w:r>
          </w:p>
        </w:tc>
      </w:tr>
      <w:tr w:rsidR="00A444EF" w:rsidRPr="00651637" w:rsidTr="00D97FDE">
        <w:trPr>
          <w:trHeight w:val="12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44EF" w:rsidRPr="00A444EF" w:rsidRDefault="00A444EF" w:rsidP="00A444EF">
            <w:pPr>
              <w:spacing w:after="0"/>
              <w:rPr>
                <w:rFonts w:cs="Arial"/>
                <w:sz w:val="20"/>
                <w:szCs w:val="20"/>
              </w:rPr>
            </w:pPr>
            <w:r w:rsidRPr="00A444EF">
              <w:rPr>
                <w:rFonts w:cs="Arial"/>
                <w:sz w:val="20"/>
                <w:szCs w:val="20"/>
              </w:rPr>
              <w:t>Ministerstvo životního prostředí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44EF" w:rsidRPr="00A444EF" w:rsidRDefault="00A444EF" w:rsidP="00276661">
            <w:pPr>
              <w:spacing w:after="0"/>
              <w:ind w:right="57"/>
              <w:jc w:val="right"/>
              <w:rPr>
                <w:rFonts w:cs="Arial"/>
                <w:sz w:val="20"/>
                <w:szCs w:val="20"/>
              </w:rPr>
            </w:pPr>
            <w:r w:rsidRPr="00A444EF">
              <w:rPr>
                <w:rFonts w:cs="Arial"/>
                <w:sz w:val="20"/>
                <w:szCs w:val="20"/>
              </w:rPr>
              <w:t>53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444EF" w:rsidRPr="00A444EF" w:rsidRDefault="00A444EF" w:rsidP="00276661">
            <w:pPr>
              <w:spacing w:after="0"/>
              <w:ind w:right="57"/>
              <w:jc w:val="right"/>
              <w:rPr>
                <w:rFonts w:cs="Arial"/>
                <w:sz w:val="20"/>
                <w:szCs w:val="20"/>
              </w:rPr>
            </w:pPr>
            <w:r w:rsidRPr="00A444EF">
              <w:rPr>
                <w:rFonts w:cs="Arial"/>
                <w:sz w:val="20"/>
                <w:szCs w:val="20"/>
              </w:rPr>
              <w:t>6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44EF" w:rsidRPr="00A444EF" w:rsidRDefault="00A444EF" w:rsidP="00276661">
            <w:pPr>
              <w:spacing w:after="0"/>
              <w:ind w:right="57"/>
              <w:jc w:val="right"/>
              <w:rPr>
                <w:rFonts w:cs="Arial"/>
                <w:sz w:val="20"/>
                <w:szCs w:val="20"/>
              </w:rPr>
            </w:pPr>
            <w:r w:rsidRPr="00A444EF">
              <w:rPr>
                <w:rFonts w:cs="Arial"/>
                <w:sz w:val="20"/>
                <w:szCs w:val="20"/>
              </w:rPr>
              <w:t>9 834 882</w:t>
            </w:r>
          </w:p>
        </w:tc>
      </w:tr>
      <w:tr w:rsidR="00A444EF" w:rsidRPr="00651637" w:rsidTr="00D97FDE">
        <w:trPr>
          <w:trHeight w:val="5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44EF" w:rsidRPr="00A444EF" w:rsidRDefault="00A444EF" w:rsidP="00A444EF">
            <w:pPr>
              <w:spacing w:after="0"/>
              <w:rPr>
                <w:rFonts w:cs="Arial"/>
                <w:sz w:val="20"/>
                <w:szCs w:val="20"/>
              </w:rPr>
            </w:pPr>
            <w:r w:rsidRPr="00A444EF">
              <w:rPr>
                <w:rFonts w:cs="Arial"/>
                <w:sz w:val="20"/>
                <w:szCs w:val="20"/>
              </w:rPr>
              <w:t>Ministerstvo pro místní rozvoj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44EF" w:rsidRPr="00A444EF" w:rsidRDefault="00A444EF" w:rsidP="00276661">
            <w:pPr>
              <w:spacing w:after="0"/>
              <w:ind w:right="57"/>
              <w:jc w:val="right"/>
              <w:rPr>
                <w:rFonts w:cs="Arial"/>
                <w:sz w:val="20"/>
                <w:szCs w:val="20"/>
              </w:rPr>
            </w:pPr>
            <w:r w:rsidRPr="00A444EF">
              <w:rPr>
                <w:rFonts w:cs="Arial"/>
                <w:sz w:val="20"/>
                <w:szCs w:val="20"/>
              </w:rPr>
              <w:t>49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444EF" w:rsidRPr="00A444EF" w:rsidRDefault="00A444EF" w:rsidP="00276661">
            <w:pPr>
              <w:spacing w:after="0"/>
              <w:ind w:right="57"/>
              <w:jc w:val="right"/>
              <w:rPr>
                <w:rFonts w:cs="Arial"/>
                <w:sz w:val="20"/>
                <w:szCs w:val="20"/>
              </w:rPr>
            </w:pPr>
            <w:r w:rsidRPr="00A444EF">
              <w:rPr>
                <w:rFonts w:cs="Arial"/>
                <w:sz w:val="20"/>
                <w:szCs w:val="20"/>
              </w:rPr>
              <w:t>0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44EF" w:rsidRPr="00A444EF" w:rsidRDefault="00A444EF" w:rsidP="00276661">
            <w:pPr>
              <w:spacing w:after="0"/>
              <w:ind w:right="57"/>
              <w:jc w:val="right"/>
              <w:rPr>
                <w:rFonts w:cs="Arial"/>
                <w:sz w:val="20"/>
                <w:szCs w:val="20"/>
              </w:rPr>
            </w:pPr>
            <w:r w:rsidRPr="00A444EF">
              <w:rPr>
                <w:rFonts w:cs="Arial"/>
                <w:sz w:val="20"/>
                <w:szCs w:val="20"/>
              </w:rPr>
              <w:t>12 205 556</w:t>
            </w:r>
          </w:p>
        </w:tc>
      </w:tr>
      <w:tr w:rsidR="00A444EF" w:rsidRPr="00651637" w:rsidTr="00D97FDE">
        <w:trPr>
          <w:trHeight w:val="5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44EF" w:rsidRPr="00A444EF" w:rsidRDefault="00A444EF" w:rsidP="00A444EF">
            <w:pPr>
              <w:spacing w:after="0"/>
              <w:rPr>
                <w:rFonts w:cs="Arial"/>
                <w:sz w:val="20"/>
                <w:szCs w:val="20"/>
              </w:rPr>
            </w:pPr>
            <w:r w:rsidRPr="00A444EF">
              <w:rPr>
                <w:rFonts w:cs="Arial"/>
                <w:sz w:val="20"/>
                <w:szCs w:val="20"/>
              </w:rPr>
              <w:t>Ministerstvo zdravotnictví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44EF" w:rsidRPr="00A444EF" w:rsidRDefault="00A444EF" w:rsidP="00276661">
            <w:pPr>
              <w:spacing w:after="0"/>
              <w:ind w:right="57"/>
              <w:jc w:val="right"/>
              <w:rPr>
                <w:rFonts w:cs="Arial"/>
                <w:sz w:val="20"/>
                <w:szCs w:val="20"/>
              </w:rPr>
            </w:pPr>
            <w:r w:rsidRPr="00A444EF">
              <w:rPr>
                <w:rFonts w:cs="Arial"/>
                <w:sz w:val="20"/>
                <w:szCs w:val="20"/>
              </w:rPr>
              <w:t>44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444EF" w:rsidRPr="00A444EF" w:rsidRDefault="00A444EF" w:rsidP="00276661">
            <w:pPr>
              <w:spacing w:after="0"/>
              <w:ind w:right="57"/>
              <w:jc w:val="right"/>
              <w:rPr>
                <w:rFonts w:cs="Arial"/>
                <w:sz w:val="20"/>
                <w:szCs w:val="20"/>
              </w:rPr>
            </w:pPr>
            <w:r w:rsidRPr="00A444EF">
              <w:rPr>
                <w:rFonts w:cs="Arial"/>
                <w:sz w:val="20"/>
                <w:szCs w:val="20"/>
              </w:rPr>
              <w:t>15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44EF" w:rsidRPr="00A444EF" w:rsidRDefault="00A444EF" w:rsidP="00276661">
            <w:pPr>
              <w:spacing w:after="0"/>
              <w:ind w:right="57"/>
              <w:jc w:val="right"/>
              <w:rPr>
                <w:rFonts w:cs="Arial"/>
                <w:sz w:val="20"/>
                <w:szCs w:val="20"/>
              </w:rPr>
            </w:pPr>
            <w:r w:rsidRPr="00A444EF">
              <w:rPr>
                <w:rFonts w:cs="Arial"/>
                <w:sz w:val="20"/>
                <w:szCs w:val="20"/>
              </w:rPr>
              <w:t>4 411 689</w:t>
            </w:r>
          </w:p>
        </w:tc>
      </w:tr>
      <w:tr w:rsidR="00A444EF" w:rsidRPr="00651637" w:rsidTr="00D97FDE">
        <w:trPr>
          <w:trHeight w:val="5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44EF" w:rsidRPr="00A444EF" w:rsidRDefault="00A444EF" w:rsidP="00A444EF">
            <w:pPr>
              <w:spacing w:after="0"/>
              <w:rPr>
                <w:rFonts w:cs="Arial"/>
                <w:sz w:val="20"/>
                <w:szCs w:val="20"/>
              </w:rPr>
            </w:pPr>
            <w:r w:rsidRPr="00A444EF">
              <w:rPr>
                <w:rFonts w:cs="Arial"/>
                <w:sz w:val="20"/>
                <w:szCs w:val="20"/>
              </w:rPr>
              <w:t>Ministerstvo průmyslu a obchodu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44EF" w:rsidRPr="00A444EF" w:rsidRDefault="00A444EF" w:rsidP="00276661">
            <w:pPr>
              <w:spacing w:after="0"/>
              <w:ind w:right="57"/>
              <w:jc w:val="right"/>
              <w:rPr>
                <w:rFonts w:cs="Arial"/>
                <w:sz w:val="20"/>
                <w:szCs w:val="20"/>
              </w:rPr>
            </w:pPr>
            <w:r w:rsidRPr="00A444EF">
              <w:rPr>
                <w:rFonts w:cs="Arial"/>
                <w:sz w:val="20"/>
                <w:szCs w:val="20"/>
              </w:rPr>
              <w:t>29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444EF" w:rsidRPr="00A444EF" w:rsidRDefault="00A444EF" w:rsidP="00276661">
            <w:pPr>
              <w:spacing w:after="0"/>
              <w:ind w:right="57"/>
              <w:jc w:val="right"/>
              <w:rPr>
                <w:rFonts w:cs="Arial"/>
                <w:sz w:val="20"/>
                <w:szCs w:val="20"/>
              </w:rPr>
            </w:pPr>
            <w:r w:rsidRPr="00A444EF">
              <w:rPr>
                <w:rFonts w:cs="Arial"/>
                <w:sz w:val="20"/>
                <w:szCs w:val="20"/>
              </w:rPr>
              <w:t>0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44EF" w:rsidRPr="00A444EF" w:rsidRDefault="00A444EF" w:rsidP="00276661">
            <w:pPr>
              <w:spacing w:after="0"/>
              <w:ind w:right="57"/>
              <w:jc w:val="right"/>
              <w:rPr>
                <w:rFonts w:cs="Arial"/>
                <w:sz w:val="20"/>
                <w:szCs w:val="20"/>
              </w:rPr>
            </w:pPr>
            <w:r w:rsidRPr="00A444EF">
              <w:rPr>
                <w:rFonts w:cs="Arial"/>
                <w:sz w:val="20"/>
                <w:szCs w:val="20"/>
              </w:rPr>
              <w:t>8 252 913</w:t>
            </w:r>
          </w:p>
        </w:tc>
      </w:tr>
      <w:tr w:rsidR="00A444EF" w:rsidRPr="00651637" w:rsidTr="00D97FDE">
        <w:trPr>
          <w:trHeight w:val="127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44EF" w:rsidRPr="00A444EF" w:rsidRDefault="00A444EF" w:rsidP="00A444EF">
            <w:pPr>
              <w:spacing w:after="0"/>
              <w:rPr>
                <w:rFonts w:cs="Arial"/>
                <w:sz w:val="20"/>
                <w:szCs w:val="20"/>
              </w:rPr>
            </w:pPr>
            <w:r w:rsidRPr="00A444EF">
              <w:rPr>
                <w:rFonts w:cs="Arial"/>
                <w:sz w:val="20"/>
                <w:szCs w:val="20"/>
              </w:rPr>
              <w:t>Ministerstvo dopravy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44EF" w:rsidRPr="00A444EF" w:rsidRDefault="00A444EF" w:rsidP="00276661">
            <w:pPr>
              <w:spacing w:after="0"/>
              <w:ind w:right="57"/>
              <w:jc w:val="right"/>
              <w:rPr>
                <w:rFonts w:cs="Arial"/>
                <w:sz w:val="20"/>
                <w:szCs w:val="20"/>
              </w:rPr>
            </w:pPr>
            <w:r w:rsidRPr="00A444EF">
              <w:rPr>
                <w:rFonts w:cs="Arial"/>
                <w:sz w:val="20"/>
                <w:szCs w:val="20"/>
              </w:rPr>
              <w:t>26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444EF" w:rsidRPr="00A444EF" w:rsidRDefault="00A444EF" w:rsidP="00276661">
            <w:pPr>
              <w:spacing w:after="0"/>
              <w:ind w:right="57"/>
              <w:jc w:val="right"/>
              <w:rPr>
                <w:rFonts w:cs="Arial"/>
                <w:sz w:val="20"/>
                <w:szCs w:val="20"/>
              </w:rPr>
            </w:pPr>
            <w:r w:rsidRPr="00A444EF">
              <w:rPr>
                <w:rFonts w:cs="Arial"/>
                <w:sz w:val="20"/>
                <w:szCs w:val="20"/>
              </w:rPr>
              <w:t>7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44EF" w:rsidRPr="00A444EF" w:rsidRDefault="00A444EF" w:rsidP="00276661">
            <w:pPr>
              <w:spacing w:after="0"/>
              <w:ind w:right="57"/>
              <w:jc w:val="right"/>
              <w:rPr>
                <w:rFonts w:cs="Arial"/>
                <w:sz w:val="20"/>
                <w:szCs w:val="20"/>
              </w:rPr>
            </w:pPr>
            <w:r w:rsidRPr="00A444EF">
              <w:rPr>
                <w:rFonts w:cs="Arial"/>
                <w:sz w:val="20"/>
                <w:szCs w:val="20"/>
              </w:rPr>
              <w:t>5 039 283</w:t>
            </w:r>
          </w:p>
        </w:tc>
      </w:tr>
      <w:tr w:rsidR="00A444EF" w:rsidRPr="00651637" w:rsidTr="00D97FDE">
        <w:trPr>
          <w:trHeight w:val="182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444EF" w:rsidRPr="00A444EF" w:rsidRDefault="00A444EF" w:rsidP="00A444EF">
            <w:pPr>
              <w:spacing w:after="0"/>
              <w:rPr>
                <w:rFonts w:cs="Arial"/>
                <w:sz w:val="20"/>
                <w:szCs w:val="20"/>
              </w:rPr>
            </w:pPr>
            <w:r w:rsidRPr="00A444EF">
              <w:rPr>
                <w:rFonts w:cs="Arial"/>
                <w:sz w:val="20"/>
                <w:szCs w:val="20"/>
              </w:rPr>
              <w:t>Ministerstvo práce a sociálních věcí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444EF" w:rsidRPr="00A444EF" w:rsidRDefault="00A444EF" w:rsidP="00276661">
            <w:pPr>
              <w:spacing w:after="0"/>
              <w:ind w:right="57"/>
              <w:jc w:val="right"/>
              <w:rPr>
                <w:rFonts w:cs="Arial"/>
                <w:sz w:val="20"/>
                <w:szCs w:val="20"/>
              </w:rPr>
            </w:pPr>
            <w:r w:rsidRPr="00A444EF">
              <w:rPr>
                <w:rFonts w:cs="Arial"/>
                <w:sz w:val="20"/>
                <w:szCs w:val="20"/>
              </w:rPr>
              <w:t>25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444EF" w:rsidRPr="00A444EF" w:rsidRDefault="00A444EF" w:rsidP="00276661">
            <w:pPr>
              <w:spacing w:after="0"/>
              <w:ind w:right="57"/>
              <w:jc w:val="right"/>
              <w:rPr>
                <w:rFonts w:cs="Arial"/>
                <w:sz w:val="20"/>
                <w:szCs w:val="20"/>
              </w:rPr>
            </w:pPr>
            <w:r w:rsidRPr="00A444EF">
              <w:rPr>
                <w:rFonts w:cs="Arial"/>
                <w:sz w:val="20"/>
                <w:szCs w:val="20"/>
              </w:rPr>
              <w:t>0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444EF" w:rsidRPr="00A444EF" w:rsidRDefault="00A444EF" w:rsidP="00276661">
            <w:pPr>
              <w:spacing w:after="0"/>
              <w:ind w:right="57"/>
              <w:jc w:val="right"/>
              <w:rPr>
                <w:rFonts w:cs="Arial"/>
                <w:sz w:val="20"/>
                <w:szCs w:val="20"/>
              </w:rPr>
            </w:pPr>
            <w:r w:rsidRPr="00A444EF">
              <w:rPr>
                <w:rFonts w:cs="Arial"/>
                <w:sz w:val="20"/>
                <w:szCs w:val="20"/>
              </w:rPr>
              <w:t>5 682 653</w:t>
            </w:r>
          </w:p>
        </w:tc>
      </w:tr>
      <w:tr w:rsidR="009E1C35" w:rsidRPr="00651637" w:rsidTr="007F5F7B">
        <w:trPr>
          <w:trHeight w:val="182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E1C35" w:rsidRPr="004B3F6C" w:rsidRDefault="009E1C35" w:rsidP="00651637">
            <w:pPr>
              <w:spacing w:after="0"/>
              <w:jc w:val="left"/>
              <w:rPr>
                <w:rFonts w:cs="Arial"/>
                <w:b/>
                <w:color w:val="000000"/>
                <w:sz w:val="20"/>
                <w:szCs w:val="20"/>
                <w:lang w:eastAsia="cs-CZ"/>
              </w:rPr>
            </w:pPr>
            <w:r w:rsidRPr="004B3F6C">
              <w:rPr>
                <w:rFonts w:cs="Arial"/>
                <w:b/>
                <w:color w:val="000000"/>
                <w:sz w:val="20"/>
                <w:szCs w:val="20"/>
                <w:lang w:eastAsia="cs-CZ"/>
              </w:rPr>
              <w:t>CELKEM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E1C35" w:rsidRPr="004B3F6C" w:rsidRDefault="009E1C35" w:rsidP="00276661">
            <w:pPr>
              <w:spacing w:after="0"/>
              <w:ind w:right="57"/>
              <w:jc w:val="right"/>
              <w:rPr>
                <w:rFonts w:cs="Arial"/>
                <w:b/>
                <w:color w:val="000000"/>
                <w:sz w:val="20"/>
                <w:szCs w:val="20"/>
                <w:lang w:eastAsia="cs-CZ"/>
              </w:rPr>
            </w:pPr>
            <w:r w:rsidRPr="004B3F6C">
              <w:rPr>
                <w:rFonts w:cs="Arial"/>
                <w:b/>
                <w:color w:val="000000"/>
                <w:sz w:val="20"/>
                <w:szCs w:val="20"/>
                <w:lang w:eastAsia="cs-CZ"/>
              </w:rPr>
              <w:t>12 751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E1C35" w:rsidRPr="004B3F6C" w:rsidRDefault="0075335F" w:rsidP="00276661">
            <w:pPr>
              <w:spacing w:after="0"/>
              <w:ind w:right="57"/>
              <w:jc w:val="right"/>
              <w:rPr>
                <w:rFonts w:cs="Arial"/>
                <w:b/>
                <w:color w:val="000000"/>
                <w:sz w:val="20"/>
                <w:szCs w:val="20"/>
                <w:lang w:eastAsia="cs-CZ"/>
              </w:rPr>
            </w:pPr>
            <w:r>
              <w:rPr>
                <w:rFonts w:cs="Arial"/>
                <w:b/>
                <w:color w:val="000000"/>
                <w:sz w:val="20"/>
                <w:szCs w:val="20"/>
                <w:lang w:eastAsia="cs-CZ"/>
              </w:rPr>
              <w:fldChar w:fldCharType="begin"/>
            </w:r>
            <w:r>
              <w:rPr>
                <w:rFonts w:cs="Arial"/>
                <w:b/>
                <w:color w:val="000000"/>
                <w:sz w:val="20"/>
                <w:szCs w:val="20"/>
                <w:lang w:eastAsia="cs-CZ"/>
              </w:rPr>
              <w:instrText xml:space="preserve"> =SUM(ABOVE) </w:instrText>
            </w:r>
            <w:r>
              <w:rPr>
                <w:rFonts w:cs="Arial"/>
                <w:b/>
                <w:color w:val="000000"/>
                <w:sz w:val="20"/>
                <w:szCs w:val="20"/>
                <w:lang w:eastAsia="cs-CZ"/>
              </w:rPr>
              <w:fldChar w:fldCharType="separate"/>
            </w:r>
            <w:r>
              <w:rPr>
                <w:rFonts w:cs="Arial"/>
                <w:b/>
                <w:noProof/>
                <w:color w:val="000000"/>
                <w:sz w:val="20"/>
                <w:szCs w:val="20"/>
                <w:lang w:eastAsia="cs-CZ"/>
              </w:rPr>
              <w:t>4 916</w:t>
            </w:r>
            <w:r>
              <w:rPr>
                <w:rFonts w:cs="Arial"/>
                <w:b/>
                <w:color w:val="000000"/>
                <w:sz w:val="20"/>
                <w:szCs w:val="20"/>
                <w:lang w:eastAsia="cs-CZ"/>
              </w:rPr>
              <w:fldChar w:fldCharType="end"/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E1C35" w:rsidRPr="004B3F6C" w:rsidRDefault="009E1C35" w:rsidP="00276661">
            <w:pPr>
              <w:spacing w:after="0"/>
              <w:ind w:right="57"/>
              <w:jc w:val="right"/>
              <w:rPr>
                <w:rFonts w:cs="Arial"/>
                <w:b/>
                <w:color w:val="000000"/>
                <w:sz w:val="20"/>
                <w:szCs w:val="20"/>
                <w:lang w:eastAsia="cs-CZ"/>
              </w:rPr>
            </w:pPr>
            <w:r w:rsidRPr="004B3F6C">
              <w:rPr>
                <w:rFonts w:cs="Arial"/>
                <w:b/>
                <w:color w:val="000000"/>
                <w:sz w:val="20"/>
                <w:szCs w:val="20"/>
                <w:lang w:eastAsia="cs-CZ"/>
              </w:rPr>
              <w:t>919 814 180</w:t>
            </w:r>
          </w:p>
        </w:tc>
      </w:tr>
    </w:tbl>
    <w:p w:rsidR="00410607" w:rsidRPr="0072233D" w:rsidRDefault="00410607" w:rsidP="006A6E87">
      <w:pPr>
        <w:tabs>
          <w:tab w:val="left" w:pos="6195"/>
        </w:tabs>
        <w:spacing w:after="0"/>
        <w:rPr>
          <w:rFonts w:cs="Arial"/>
          <w:sz w:val="18"/>
          <w:szCs w:val="18"/>
        </w:rPr>
      </w:pPr>
      <w:r w:rsidRPr="0072233D">
        <w:rPr>
          <w:rFonts w:cs="Arial"/>
          <w:b/>
          <w:sz w:val="18"/>
          <w:szCs w:val="18"/>
        </w:rPr>
        <w:t>Zdroj:</w:t>
      </w:r>
      <w:r w:rsidRPr="00452CB4">
        <w:rPr>
          <w:rFonts w:cs="Arial"/>
          <w:sz w:val="20"/>
          <w:szCs w:val="20"/>
        </w:rPr>
        <w:t xml:space="preserve"> </w:t>
      </w:r>
      <w:r w:rsidRPr="0072233D">
        <w:rPr>
          <w:rFonts w:cs="Arial"/>
          <w:bCs/>
          <w:sz w:val="18"/>
          <w:szCs w:val="18"/>
        </w:rPr>
        <w:t>dataset</w:t>
      </w:r>
      <w:r w:rsidR="007E7767">
        <w:rPr>
          <w:rFonts w:cs="Arial"/>
          <w:bCs/>
          <w:sz w:val="18"/>
          <w:szCs w:val="18"/>
        </w:rPr>
        <w:t xml:space="preserve"> VZ</w:t>
      </w:r>
      <w:r w:rsidRPr="0072233D">
        <w:rPr>
          <w:rFonts w:cs="Arial"/>
          <w:sz w:val="18"/>
          <w:szCs w:val="18"/>
        </w:rPr>
        <w:t xml:space="preserve">; </w:t>
      </w:r>
      <w:r w:rsidR="008C34B5">
        <w:rPr>
          <w:rFonts w:cs="Arial"/>
          <w:sz w:val="18"/>
          <w:szCs w:val="18"/>
        </w:rPr>
        <w:t>zpracováno NKÚ</w:t>
      </w:r>
      <w:r w:rsidR="00D6571D">
        <w:rPr>
          <w:rFonts w:cs="Arial"/>
          <w:sz w:val="18"/>
          <w:szCs w:val="18"/>
        </w:rPr>
        <w:t>.</w:t>
      </w:r>
      <w:r w:rsidR="001066B6">
        <w:rPr>
          <w:rFonts w:cs="Arial"/>
          <w:sz w:val="18"/>
          <w:szCs w:val="18"/>
        </w:rPr>
        <w:t xml:space="preserve"> </w:t>
      </w:r>
    </w:p>
    <w:p w:rsidR="001066B6" w:rsidRDefault="001066B6" w:rsidP="006A6E87">
      <w:pPr>
        <w:spacing w:after="0"/>
        <w:rPr>
          <w:rFonts w:cs="Arial"/>
          <w:szCs w:val="22"/>
        </w:rPr>
      </w:pPr>
    </w:p>
    <w:p w:rsidR="00410607" w:rsidRDefault="004B3F6C" w:rsidP="006A6E87">
      <w:pPr>
        <w:spacing w:after="0"/>
        <w:rPr>
          <w:rFonts w:cs="Arial"/>
          <w:szCs w:val="22"/>
        </w:rPr>
      </w:pPr>
      <w:r>
        <w:rPr>
          <w:rFonts w:cs="Arial"/>
          <w:szCs w:val="22"/>
        </w:rPr>
        <w:t xml:space="preserve">Je zřejmé, </w:t>
      </w:r>
      <w:r w:rsidR="00410607" w:rsidRPr="009F4899">
        <w:rPr>
          <w:rFonts w:cs="Arial"/>
          <w:szCs w:val="22"/>
        </w:rPr>
        <w:t xml:space="preserve">že </w:t>
      </w:r>
      <w:r w:rsidR="004A1F54" w:rsidRPr="009F4899">
        <w:rPr>
          <w:rFonts w:cs="Arial"/>
          <w:szCs w:val="22"/>
        </w:rPr>
        <w:t xml:space="preserve">v prvním roce </w:t>
      </w:r>
      <w:r>
        <w:rPr>
          <w:rFonts w:cs="Arial"/>
          <w:szCs w:val="22"/>
        </w:rPr>
        <w:t xml:space="preserve">provozu </w:t>
      </w:r>
      <w:r w:rsidR="004A1F54" w:rsidRPr="009F4899">
        <w:rPr>
          <w:rFonts w:cs="Arial"/>
          <w:szCs w:val="22"/>
        </w:rPr>
        <w:t>e-tržišť byl</w:t>
      </w:r>
      <w:r w:rsidR="00A12FBA" w:rsidRPr="009F4899">
        <w:rPr>
          <w:rFonts w:cs="Arial"/>
          <w:szCs w:val="22"/>
        </w:rPr>
        <w:t>o</w:t>
      </w:r>
      <w:r w:rsidR="004A1F54" w:rsidRPr="009F4899">
        <w:rPr>
          <w:rFonts w:cs="Arial"/>
          <w:szCs w:val="22"/>
        </w:rPr>
        <w:t xml:space="preserve"> </w:t>
      </w:r>
      <w:r>
        <w:rPr>
          <w:rFonts w:cs="Arial"/>
          <w:szCs w:val="22"/>
        </w:rPr>
        <w:t xml:space="preserve">MO </w:t>
      </w:r>
      <w:r w:rsidR="00410607" w:rsidRPr="009F4899">
        <w:rPr>
          <w:rFonts w:cs="Arial"/>
          <w:szCs w:val="22"/>
        </w:rPr>
        <w:t>zadavatele</w:t>
      </w:r>
      <w:r w:rsidR="00401F91" w:rsidRPr="00AE234D">
        <w:rPr>
          <w:rFonts w:cs="Arial"/>
          <w:szCs w:val="22"/>
        </w:rPr>
        <w:t xml:space="preserve">m </w:t>
      </w:r>
      <w:r>
        <w:rPr>
          <w:rFonts w:cs="Arial"/>
          <w:szCs w:val="22"/>
        </w:rPr>
        <w:t xml:space="preserve">s nejvyšším počtem VZ, nicméně 36 % těchto </w:t>
      </w:r>
      <w:r w:rsidR="00A12FBA" w:rsidRPr="0083641C">
        <w:rPr>
          <w:rFonts w:cs="Arial"/>
          <w:szCs w:val="22"/>
        </w:rPr>
        <w:t xml:space="preserve">zakázek </w:t>
      </w:r>
      <w:r>
        <w:rPr>
          <w:rFonts w:cs="Arial"/>
          <w:szCs w:val="22"/>
        </w:rPr>
        <w:t xml:space="preserve">zadalo </w:t>
      </w:r>
      <w:r w:rsidR="009540A2" w:rsidRPr="0083641C">
        <w:rPr>
          <w:rFonts w:cs="Arial"/>
          <w:szCs w:val="22"/>
        </w:rPr>
        <w:t>přímo</w:t>
      </w:r>
      <w:r w:rsidR="00A12FBA" w:rsidRPr="0083641C">
        <w:rPr>
          <w:rFonts w:cs="Arial"/>
          <w:szCs w:val="22"/>
        </w:rPr>
        <w:t xml:space="preserve">, </w:t>
      </w:r>
      <w:r w:rsidR="00BD45C2" w:rsidRPr="0083641C">
        <w:rPr>
          <w:rFonts w:cs="Arial"/>
          <w:szCs w:val="22"/>
        </w:rPr>
        <w:t>tzn.</w:t>
      </w:r>
      <w:r w:rsidR="00A12FBA" w:rsidRPr="0083641C">
        <w:rPr>
          <w:rFonts w:cs="Arial"/>
          <w:szCs w:val="22"/>
        </w:rPr>
        <w:t xml:space="preserve"> </w:t>
      </w:r>
      <w:r w:rsidR="00E16C1D" w:rsidRPr="0083641C">
        <w:rPr>
          <w:rFonts w:cs="Arial"/>
          <w:szCs w:val="22"/>
        </w:rPr>
        <w:t>b</w:t>
      </w:r>
      <w:r w:rsidR="00530A58" w:rsidRPr="0083641C">
        <w:rPr>
          <w:rFonts w:cs="Arial"/>
          <w:szCs w:val="22"/>
        </w:rPr>
        <w:t>e</w:t>
      </w:r>
      <w:r w:rsidR="00E16C1D" w:rsidRPr="0083641C">
        <w:rPr>
          <w:rFonts w:cs="Arial"/>
          <w:szCs w:val="22"/>
        </w:rPr>
        <w:t>z soutěže</w:t>
      </w:r>
      <w:r w:rsidR="00410607" w:rsidRPr="0083641C">
        <w:rPr>
          <w:rFonts w:cs="Arial"/>
          <w:szCs w:val="22"/>
        </w:rPr>
        <w:t xml:space="preserve">. </w:t>
      </w:r>
      <w:r w:rsidR="009F4899">
        <w:rPr>
          <w:rFonts w:cs="Arial"/>
          <w:szCs w:val="22"/>
        </w:rPr>
        <w:t xml:space="preserve">Ostatní </w:t>
      </w:r>
      <w:r>
        <w:rPr>
          <w:rFonts w:cs="Arial"/>
          <w:szCs w:val="22"/>
        </w:rPr>
        <w:t xml:space="preserve">ministerstva zadala na </w:t>
      </w:r>
      <w:r w:rsidR="00EB6920">
        <w:rPr>
          <w:rFonts w:cs="Arial"/>
          <w:szCs w:val="22"/>
        </w:rPr>
        <w:br/>
      </w:r>
      <w:r>
        <w:rPr>
          <w:rFonts w:cs="Arial"/>
          <w:szCs w:val="22"/>
        </w:rPr>
        <w:t xml:space="preserve">e-tržištích 11 % z celkového počtu analyzovaných zakázek, což ve finančním objemu představovalo </w:t>
      </w:r>
      <w:r w:rsidR="002A62A7">
        <w:rPr>
          <w:rFonts w:cs="Arial"/>
          <w:szCs w:val="22"/>
        </w:rPr>
        <w:t>23 % z celkové smluvní ceny uvedené v tabulce č.</w:t>
      </w:r>
      <w:r w:rsidR="00777379">
        <w:rPr>
          <w:rFonts w:cs="Arial"/>
          <w:szCs w:val="22"/>
        </w:rPr>
        <w:t xml:space="preserve"> </w:t>
      </w:r>
      <w:r w:rsidR="00DC1A92">
        <w:rPr>
          <w:rFonts w:cs="Arial"/>
          <w:szCs w:val="22"/>
        </w:rPr>
        <w:t xml:space="preserve">1. </w:t>
      </w:r>
      <w:r w:rsidR="009F4899" w:rsidRPr="002916C5">
        <w:rPr>
          <w:rFonts w:cs="Arial"/>
          <w:szCs w:val="22"/>
        </w:rPr>
        <w:t xml:space="preserve">MMR </w:t>
      </w:r>
      <w:r w:rsidR="00D6571D">
        <w:rPr>
          <w:rFonts w:cs="Arial"/>
          <w:szCs w:val="22"/>
        </w:rPr>
        <w:t>z celkového počtu 49 </w:t>
      </w:r>
      <w:r w:rsidR="009F4899">
        <w:rPr>
          <w:rFonts w:cs="Arial"/>
          <w:szCs w:val="22"/>
        </w:rPr>
        <w:t xml:space="preserve">zakázek </w:t>
      </w:r>
      <w:r w:rsidR="009F4899" w:rsidRPr="002916C5">
        <w:rPr>
          <w:rFonts w:cs="Arial"/>
          <w:szCs w:val="22"/>
        </w:rPr>
        <w:t xml:space="preserve">zadalo 33 </w:t>
      </w:r>
      <w:r w:rsidR="009F4899">
        <w:rPr>
          <w:rFonts w:cs="Arial"/>
          <w:szCs w:val="22"/>
        </w:rPr>
        <w:t>otevřenou výzvou,</w:t>
      </w:r>
      <w:r w:rsidR="009F4899" w:rsidRPr="002916C5">
        <w:rPr>
          <w:rFonts w:cs="Arial"/>
          <w:szCs w:val="22"/>
        </w:rPr>
        <w:t xml:space="preserve"> p</w:t>
      </w:r>
      <w:r w:rsidR="009F4899">
        <w:rPr>
          <w:rFonts w:cs="Arial"/>
          <w:szCs w:val="22"/>
        </w:rPr>
        <w:t>římé zadání a</w:t>
      </w:r>
      <w:r w:rsidR="00051FD9">
        <w:rPr>
          <w:rFonts w:cs="Arial"/>
          <w:szCs w:val="22"/>
        </w:rPr>
        <w:t>ni</w:t>
      </w:r>
      <w:r w:rsidR="009F4899">
        <w:rPr>
          <w:rFonts w:cs="Arial"/>
          <w:szCs w:val="22"/>
        </w:rPr>
        <w:t xml:space="preserve"> e-aukci nepoužilo.</w:t>
      </w:r>
      <w:r w:rsidR="009F4899" w:rsidRPr="002916C5">
        <w:rPr>
          <w:rFonts w:cs="Arial"/>
          <w:szCs w:val="22"/>
        </w:rPr>
        <w:t xml:space="preserve"> MSp zadalo </w:t>
      </w:r>
      <w:r w:rsidR="00D6571D">
        <w:rPr>
          <w:rFonts w:cs="Arial"/>
          <w:szCs w:val="22"/>
        </w:rPr>
        <w:t>z 65 </w:t>
      </w:r>
      <w:r w:rsidR="009F4899">
        <w:rPr>
          <w:rFonts w:cs="Arial"/>
          <w:szCs w:val="22"/>
        </w:rPr>
        <w:t xml:space="preserve">zakázek </w:t>
      </w:r>
      <w:r w:rsidR="009F4899" w:rsidRPr="002916C5">
        <w:rPr>
          <w:rFonts w:cs="Arial"/>
          <w:szCs w:val="22"/>
        </w:rPr>
        <w:t>otevřenou výzvou 56 a přímým zadáním 9</w:t>
      </w:r>
      <w:r w:rsidR="00051FD9">
        <w:rPr>
          <w:rFonts w:cs="Arial"/>
          <w:szCs w:val="22"/>
        </w:rPr>
        <w:t xml:space="preserve"> VZ</w:t>
      </w:r>
      <w:r w:rsidR="009F4899" w:rsidRPr="002916C5">
        <w:rPr>
          <w:rFonts w:cs="Arial"/>
          <w:szCs w:val="22"/>
        </w:rPr>
        <w:t xml:space="preserve">, e-aukci také nepoužilo. </w:t>
      </w:r>
      <w:r w:rsidR="002A62A7">
        <w:rPr>
          <w:rFonts w:cs="Arial"/>
          <w:szCs w:val="22"/>
        </w:rPr>
        <w:t xml:space="preserve">Dále uvedené </w:t>
      </w:r>
      <w:r w:rsidR="009F4899">
        <w:rPr>
          <w:rFonts w:cs="Arial"/>
          <w:szCs w:val="22"/>
        </w:rPr>
        <w:t xml:space="preserve">příklady (viz kapitola 6.2) </w:t>
      </w:r>
      <w:r w:rsidR="00051FD9">
        <w:rPr>
          <w:rFonts w:cs="Arial"/>
          <w:szCs w:val="22"/>
        </w:rPr>
        <w:t>nedodržení</w:t>
      </w:r>
      <w:r w:rsidR="009F4899">
        <w:rPr>
          <w:rFonts w:cs="Arial"/>
          <w:szCs w:val="22"/>
        </w:rPr>
        <w:t xml:space="preserve"> povinnosti zadávat</w:t>
      </w:r>
      <w:r w:rsidR="00051FD9">
        <w:rPr>
          <w:rFonts w:cs="Arial"/>
          <w:szCs w:val="22"/>
        </w:rPr>
        <w:t xml:space="preserve"> zakázky</w:t>
      </w:r>
      <w:r w:rsidR="009F4899">
        <w:rPr>
          <w:rFonts w:cs="Arial"/>
          <w:szCs w:val="22"/>
        </w:rPr>
        <w:t xml:space="preserve"> přes e-tržiště mohou naznačovat existenci rezerv ve využ</w:t>
      </w:r>
      <w:r w:rsidR="00051FD9">
        <w:rPr>
          <w:rFonts w:cs="Arial"/>
          <w:szCs w:val="22"/>
        </w:rPr>
        <w:t>ívání</w:t>
      </w:r>
      <w:r w:rsidR="009F4899">
        <w:rPr>
          <w:rFonts w:cs="Arial"/>
          <w:szCs w:val="22"/>
        </w:rPr>
        <w:t xml:space="preserve"> e-tržišť </w:t>
      </w:r>
      <w:r w:rsidR="00051FD9">
        <w:rPr>
          <w:rFonts w:cs="Arial"/>
          <w:szCs w:val="22"/>
        </w:rPr>
        <w:t xml:space="preserve">ze strany </w:t>
      </w:r>
      <w:r w:rsidR="009F4899">
        <w:rPr>
          <w:rFonts w:cs="Arial"/>
          <w:szCs w:val="22"/>
        </w:rPr>
        <w:t>ÚOSS</w:t>
      </w:r>
      <w:r w:rsidR="002A62A7">
        <w:rPr>
          <w:rFonts w:cs="Arial"/>
          <w:szCs w:val="22"/>
        </w:rPr>
        <w:t xml:space="preserve"> a další</w:t>
      </w:r>
      <w:r w:rsidR="00051FD9">
        <w:rPr>
          <w:rFonts w:cs="Arial"/>
          <w:szCs w:val="22"/>
        </w:rPr>
        <w:t>ch</w:t>
      </w:r>
      <w:r w:rsidR="002A62A7">
        <w:rPr>
          <w:rFonts w:cs="Arial"/>
          <w:szCs w:val="22"/>
        </w:rPr>
        <w:t xml:space="preserve"> povinný</w:t>
      </w:r>
      <w:r w:rsidR="00051FD9">
        <w:rPr>
          <w:rFonts w:cs="Arial"/>
          <w:szCs w:val="22"/>
        </w:rPr>
        <w:t>ch</w:t>
      </w:r>
      <w:r w:rsidR="002A62A7">
        <w:rPr>
          <w:rFonts w:cs="Arial"/>
          <w:szCs w:val="22"/>
        </w:rPr>
        <w:t xml:space="preserve"> zadavatel</w:t>
      </w:r>
      <w:r w:rsidR="00051FD9">
        <w:rPr>
          <w:rFonts w:cs="Arial"/>
          <w:szCs w:val="22"/>
        </w:rPr>
        <w:t>ů</w:t>
      </w:r>
      <w:r w:rsidR="002A62A7">
        <w:rPr>
          <w:rFonts w:cs="Arial"/>
          <w:szCs w:val="22"/>
        </w:rPr>
        <w:t>.</w:t>
      </w:r>
    </w:p>
    <w:p w:rsidR="001066B6" w:rsidRDefault="001066B6" w:rsidP="006A6E87">
      <w:pPr>
        <w:spacing w:after="0"/>
        <w:rPr>
          <w:rFonts w:cs="Arial"/>
          <w:szCs w:val="22"/>
        </w:rPr>
      </w:pPr>
    </w:p>
    <w:p w:rsidR="0008672C" w:rsidRDefault="00814E60" w:rsidP="006A6E87">
      <w:pPr>
        <w:pStyle w:val="Nadpis2"/>
        <w:keepNext w:val="0"/>
        <w:keepLines w:val="0"/>
        <w:spacing w:before="0" w:after="120"/>
      </w:pPr>
      <w:r>
        <w:t xml:space="preserve">5.1 </w:t>
      </w:r>
      <w:r w:rsidR="0008672C">
        <w:t>Nedostatky v evidenci veřejných zakázek a kvalita dat pro vyhodnocování</w:t>
      </w:r>
    </w:p>
    <w:p w:rsidR="0022645A" w:rsidRDefault="001911EC" w:rsidP="006A6E87">
      <w:pPr>
        <w:spacing w:after="0"/>
        <w:rPr>
          <w:rFonts w:cs="Arial"/>
          <w:szCs w:val="22"/>
        </w:rPr>
      </w:pPr>
      <w:r>
        <w:rPr>
          <w:rFonts w:cs="Arial"/>
          <w:szCs w:val="22"/>
        </w:rPr>
        <w:t xml:space="preserve">NKÚ prověřil shodu </w:t>
      </w:r>
      <w:r w:rsidR="00B03C4F">
        <w:rPr>
          <w:rFonts w:cs="Arial"/>
          <w:szCs w:val="22"/>
        </w:rPr>
        <w:t xml:space="preserve">údajů o </w:t>
      </w:r>
      <w:r w:rsidR="0022645A">
        <w:rPr>
          <w:rFonts w:cs="Arial"/>
          <w:szCs w:val="22"/>
        </w:rPr>
        <w:t>zakáz</w:t>
      </w:r>
      <w:r w:rsidR="00B03C4F">
        <w:rPr>
          <w:rFonts w:cs="Arial"/>
          <w:szCs w:val="22"/>
        </w:rPr>
        <w:t>kách</w:t>
      </w:r>
      <w:r w:rsidR="0022645A">
        <w:rPr>
          <w:rFonts w:cs="Arial"/>
          <w:szCs w:val="22"/>
        </w:rPr>
        <w:t xml:space="preserve"> </w:t>
      </w:r>
      <w:r>
        <w:rPr>
          <w:rFonts w:cs="Arial"/>
          <w:szCs w:val="22"/>
        </w:rPr>
        <w:t xml:space="preserve">z e-tržišť </w:t>
      </w:r>
      <w:r w:rsidR="0022645A">
        <w:rPr>
          <w:rFonts w:cs="Arial"/>
          <w:szCs w:val="22"/>
        </w:rPr>
        <w:t xml:space="preserve">se statistikami </w:t>
      </w:r>
      <w:r w:rsidR="00D6571D">
        <w:rPr>
          <w:rFonts w:cs="Arial"/>
          <w:szCs w:val="22"/>
        </w:rPr>
        <w:t>v </w:t>
      </w:r>
      <w:r w:rsidR="00D6571D" w:rsidRPr="006A6E87">
        <w:rPr>
          <w:rFonts w:cs="Arial"/>
          <w:i/>
          <w:szCs w:val="22"/>
        </w:rPr>
        <w:t>Informačním systému o </w:t>
      </w:r>
      <w:r w:rsidR="00E37E5F" w:rsidRPr="006A6E87">
        <w:rPr>
          <w:rFonts w:cs="Arial"/>
          <w:i/>
          <w:szCs w:val="22"/>
        </w:rPr>
        <w:t>veřejných zakázkách</w:t>
      </w:r>
      <w:r w:rsidR="00E37E5F">
        <w:rPr>
          <w:rFonts w:cs="Arial"/>
          <w:szCs w:val="22"/>
        </w:rPr>
        <w:t xml:space="preserve">, ve kterých se automaticky shromažďují </w:t>
      </w:r>
      <w:r w:rsidR="00187769">
        <w:rPr>
          <w:rFonts w:cs="Arial"/>
          <w:szCs w:val="22"/>
        </w:rPr>
        <w:t xml:space="preserve">údaje </w:t>
      </w:r>
      <w:r w:rsidR="00E37E5F">
        <w:rPr>
          <w:rFonts w:cs="Arial"/>
          <w:szCs w:val="22"/>
        </w:rPr>
        <w:t xml:space="preserve">o zakázkách evidovaných </w:t>
      </w:r>
      <w:r>
        <w:rPr>
          <w:rFonts w:cs="Arial"/>
          <w:szCs w:val="22"/>
        </w:rPr>
        <w:t>ve</w:t>
      </w:r>
      <w:r w:rsidR="0022645A" w:rsidRPr="00347B30">
        <w:rPr>
          <w:rFonts w:cs="Arial"/>
          <w:szCs w:val="22"/>
        </w:rPr>
        <w:t xml:space="preserve"> věstníku </w:t>
      </w:r>
      <w:r w:rsidR="00E37E5F">
        <w:rPr>
          <w:rFonts w:cs="Arial"/>
          <w:szCs w:val="22"/>
        </w:rPr>
        <w:t xml:space="preserve">příslušného </w:t>
      </w:r>
      <w:r w:rsidR="0022645A" w:rsidRPr="00347B30">
        <w:rPr>
          <w:rFonts w:cs="Arial"/>
          <w:szCs w:val="22"/>
        </w:rPr>
        <w:t>e-tržiště</w:t>
      </w:r>
      <w:r w:rsidR="0022645A">
        <w:rPr>
          <w:rFonts w:cs="Arial"/>
          <w:szCs w:val="22"/>
        </w:rPr>
        <w:t xml:space="preserve">. Zde </w:t>
      </w:r>
      <w:r w:rsidR="006436AF">
        <w:rPr>
          <w:rFonts w:cs="Arial"/>
          <w:szCs w:val="22"/>
        </w:rPr>
        <w:t>NKÚ zjistil</w:t>
      </w:r>
      <w:r w:rsidR="0022645A">
        <w:rPr>
          <w:rFonts w:cs="Arial"/>
          <w:szCs w:val="22"/>
        </w:rPr>
        <w:t xml:space="preserve"> nesrovnalost</w:t>
      </w:r>
      <w:r w:rsidR="006D1CEC">
        <w:rPr>
          <w:rFonts w:cs="Arial"/>
          <w:szCs w:val="22"/>
        </w:rPr>
        <w:t>i</w:t>
      </w:r>
      <w:r w:rsidR="0022645A" w:rsidRPr="00347B30">
        <w:rPr>
          <w:rFonts w:cs="Arial"/>
          <w:szCs w:val="22"/>
        </w:rPr>
        <w:t xml:space="preserve"> v počtu zadaných VZ </w:t>
      </w:r>
      <w:r w:rsidR="006D1CEC">
        <w:rPr>
          <w:rFonts w:cs="Arial"/>
          <w:szCs w:val="22"/>
        </w:rPr>
        <w:t>i v </w:t>
      </w:r>
      <w:r w:rsidR="0022645A" w:rsidRPr="00347B30">
        <w:rPr>
          <w:rFonts w:cs="Arial"/>
          <w:szCs w:val="22"/>
        </w:rPr>
        <w:t>jejich hodnotě</w:t>
      </w:r>
      <w:r w:rsidR="006D1CEC">
        <w:rPr>
          <w:rFonts w:cs="Arial"/>
          <w:szCs w:val="22"/>
        </w:rPr>
        <w:t>, přičemž nesrovnalosti byly</w:t>
      </w:r>
      <w:r w:rsidR="00E37E5F">
        <w:rPr>
          <w:rFonts w:cs="Arial"/>
          <w:szCs w:val="22"/>
        </w:rPr>
        <w:t xml:space="preserve"> způsoben</w:t>
      </w:r>
      <w:r w:rsidR="006D1CEC">
        <w:rPr>
          <w:rFonts w:cs="Arial"/>
          <w:szCs w:val="22"/>
        </w:rPr>
        <w:t>y</w:t>
      </w:r>
      <w:r w:rsidR="0022645A">
        <w:rPr>
          <w:rFonts w:cs="Arial"/>
          <w:szCs w:val="22"/>
        </w:rPr>
        <w:t xml:space="preserve"> </w:t>
      </w:r>
      <w:r w:rsidR="006D1CEC">
        <w:rPr>
          <w:rFonts w:cs="Arial"/>
          <w:szCs w:val="22"/>
        </w:rPr>
        <w:t xml:space="preserve">zejména </w:t>
      </w:r>
      <w:r w:rsidR="0022645A">
        <w:rPr>
          <w:rFonts w:cs="Arial"/>
          <w:szCs w:val="22"/>
        </w:rPr>
        <w:t xml:space="preserve">evidencí a importem dat. </w:t>
      </w:r>
      <w:r w:rsidR="006D1CEC">
        <w:rPr>
          <w:rFonts w:cs="Arial"/>
          <w:szCs w:val="22"/>
        </w:rPr>
        <w:t>I</w:t>
      </w:r>
      <w:r w:rsidR="00793E93">
        <w:rPr>
          <w:rFonts w:cs="Arial"/>
          <w:szCs w:val="22"/>
        </w:rPr>
        <w:t>nformace</w:t>
      </w:r>
      <w:r w:rsidR="0022645A" w:rsidRPr="00347B30">
        <w:rPr>
          <w:rFonts w:cs="Arial"/>
          <w:szCs w:val="22"/>
        </w:rPr>
        <w:t xml:space="preserve"> </w:t>
      </w:r>
      <w:r w:rsidR="006D1CEC" w:rsidRPr="00347B30">
        <w:rPr>
          <w:rFonts w:cs="Arial"/>
          <w:szCs w:val="22"/>
        </w:rPr>
        <w:t>za stejné sledované období</w:t>
      </w:r>
      <w:r w:rsidR="006D1CEC">
        <w:rPr>
          <w:rFonts w:cs="Arial"/>
          <w:szCs w:val="22"/>
        </w:rPr>
        <w:t xml:space="preserve"> se lišily </w:t>
      </w:r>
      <w:r w:rsidR="0022645A" w:rsidRPr="00347B30">
        <w:rPr>
          <w:rFonts w:cs="Arial"/>
          <w:szCs w:val="22"/>
        </w:rPr>
        <w:t>v</w:t>
      </w:r>
      <w:r w:rsidR="006D1CEC">
        <w:rPr>
          <w:rFonts w:cs="Arial"/>
          <w:szCs w:val="22"/>
        </w:rPr>
        <w:t> závislosti na tom, ve kterém termínu byl import proveden</w:t>
      </w:r>
      <w:r w:rsidR="0022645A">
        <w:rPr>
          <w:rFonts w:cs="Arial"/>
          <w:szCs w:val="22"/>
        </w:rPr>
        <w:t>. Z tohoto důvodu n</w:t>
      </w:r>
      <w:r w:rsidR="0022645A" w:rsidRPr="00347B30">
        <w:rPr>
          <w:rFonts w:cs="Arial"/>
          <w:szCs w:val="22"/>
        </w:rPr>
        <w:t>elze zajistit trvalou srovnatelnost údajů o zadaných VZ.</w:t>
      </w:r>
      <w:r w:rsidR="0022645A">
        <w:rPr>
          <w:rFonts w:cs="Arial"/>
          <w:szCs w:val="22"/>
        </w:rPr>
        <w:t xml:space="preserve"> </w:t>
      </w:r>
      <w:r w:rsidR="00E37E5F">
        <w:rPr>
          <w:rFonts w:cs="Arial"/>
          <w:szCs w:val="22"/>
        </w:rPr>
        <w:t>Dále</w:t>
      </w:r>
      <w:r w:rsidR="00E37E5F" w:rsidRPr="00347B30">
        <w:rPr>
          <w:rFonts w:cs="Arial"/>
          <w:szCs w:val="22"/>
        </w:rPr>
        <w:t xml:space="preserve"> byly </w:t>
      </w:r>
      <w:r w:rsidR="006D1CEC">
        <w:rPr>
          <w:rFonts w:cs="Arial"/>
          <w:szCs w:val="22"/>
        </w:rPr>
        <w:t xml:space="preserve">v údajích u jednotlivých VZ </w:t>
      </w:r>
      <w:r w:rsidR="00E37E5F" w:rsidRPr="00347B30">
        <w:rPr>
          <w:rFonts w:cs="Arial"/>
          <w:szCs w:val="22"/>
        </w:rPr>
        <w:t>zjiště</w:t>
      </w:r>
      <w:r w:rsidR="00E37E5F">
        <w:rPr>
          <w:rFonts w:cs="Arial"/>
          <w:szCs w:val="22"/>
        </w:rPr>
        <w:t xml:space="preserve">ny </w:t>
      </w:r>
      <w:r w:rsidR="0022645A" w:rsidRPr="00347B30">
        <w:rPr>
          <w:rFonts w:cs="Arial"/>
          <w:szCs w:val="22"/>
        </w:rPr>
        <w:t>nesrovnalosti</w:t>
      </w:r>
      <w:r w:rsidR="00E37E5F">
        <w:rPr>
          <w:rFonts w:cs="Arial"/>
          <w:szCs w:val="22"/>
        </w:rPr>
        <w:t xml:space="preserve">, </w:t>
      </w:r>
      <w:r w:rsidR="0073588A">
        <w:rPr>
          <w:rFonts w:cs="Arial"/>
          <w:szCs w:val="22"/>
        </w:rPr>
        <w:t>které jsou popsány níže.</w:t>
      </w:r>
      <w:r w:rsidR="0022645A" w:rsidRPr="00347B30">
        <w:rPr>
          <w:rFonts w:cs="Arial"/>
          <w:szCs w:val="22"/>
        </w:rPr>
        <w:t xml:space="preserve"> </w:t>
      </w:r>
    </w:p>
    <w:p w:rsidR="001066B6" w:rsidRDefault="001066B6" w:rsidP="006A6E87">
      <w:pPr>
        <w:spacing w:after="0"/>
        <w:rPr>
          <w:rFonts w:cs="Arial"/>
          <w:szCs w:val="22"/>
        </w:rPr>
      </w:pPr>
    </w:p>
    <w:p w:rsidR="0073588A" w:rsidRDefault="00A34700" w:rsidP="006A6E87">
      <w:pPr>
        <w:spacing w:after="0"/>
        <w:rPr>
          <w:rFonts w:cs="Arial"/>
          <w:szCs w:val="22"/>
        </w:rPr>
      </w:pPr>
      <w:r w:rsidRPr="00410607">
        <w:rPr>
          <w:rFonts w:cs="Arial"/>
          <w:szCs w:val="22"/>
        </w:rPr>
        <w:t xml:space="preserve">Zadavatelé </w:t>
      </w:r>
      <w:r w:rsidR="0073588A">
        <w:rPr>
          <w:rFonts w:cs="Arial"/>
          <w:szCs w:val="22"/>
        </w:rPr>
        <w:t xml:space="preserve">při zadávání zakázky na e-tržišti </w:t>
      </w:r>
      <w:r w:rsidRPr="00410607">
        <w:rPr>
          <w:rFonts w:cs="Arial"/>
          <w:szCs w:val="22"/>
        </w:rPr>
        <w:t xml:space="preserve">mají povinnost vymezit </w:t>
      </w:r>
      <w:r w:rsidR="0073588A">
        <w:rPr>
          <w:rFonts w:cs="Arial"/>
          <w:szCs w:val="22"/>
        </w:rPr>
        <w:t xml:space="preserve">její </w:t>
      </w:r>
      <w:r w:rsidRPr="00410607">
        <w:rPr>
          <w:rFonts w:cs="Arial"/>
          <w:szCs w:val="22"/>
        </w:rPr>
        <w:t xml:space="preserve">předmět prostřednictvím kódu CPV </w:t>
      </w:r>
      <w:r w:rsidR="002C671F">
        <w:rPr>
          <w:rFonts w:cs="Arial"/>
          <w:szCs w:val="22"/>
        </w:rPr>
        <w:t>z </w:t>
      </w:r>
      <w:r w:rsidR="006D1CEC">
        <w:rPr>
          <w:rFonts w:cs="Arial"/>
          <w:szCs w:val="22"/>
        </w:rPr>
        <w:t>č</w:t>
      </w:r>
      <w:r w:rsidRPr="00410607">
        <w:rPr>
          <w:rFonts w:cs="Arial"/>
          <w:szCs w:val="22"/>
        </w:rPr>
        <w:t>íselníku NIPEZ.</w:t>
      </w:r>
      <w:r w:rsidRPr="00347B30">
        <w:rPr>
          <w:rFonts w:cs="Arial"/>
          <w:szCs w:val="22"/>
        </w:rPr>
        <w:t xml:space="preserve"> </w:t>
      </w:r>
      <w:r w:rsidR="0022645A" w:rsidRPr="00347B30">
        <w:rPr>
          <w:rFonts w:cs="Arial"/>
          <w:szCs w:val="22"/>
        </w:rPr>
        <w:t xml:space="preserve">Současně </w:t>
      </w:r>
      <w:r w:rsidR="00976C7D">
        <w:rPr>
          <w:rFonts w:cs="Arial"/>
          <w:szCs w:val="22"/>
        </w:rPr>
        <w:t xml:space="preserve">se </w:t>
      </w:r>
      <w:r w:rsidR="0022645A" w:rsidRPr="00347B30">
        <w:rPr>
          <w:rFonts w:cs="Arial"/>
          <w:szCs w:val="22"/>
        </w:rPr>
        <w:t xml:space="preserve">musí </w:t>
      </w:r>
      <w:r w:rsidR="00976C7D">
        <w:rPr>
          <w:rFonts w:cs="Arial"/>
          <w:szCs w:val="22"/>
        </w:rPr>
        <w:t>řídit</w:t>
      </w:r>
      <w:r w:rsidR="0022645A" w:rsidRPr="00347B30">
        <w:rPr>
          <w:rFonts w:cs="Arial"/>
          <w:szCs w:val="22"/>
        </w:rPr>
        <w:t xml:space="preserve"> </w:t>
      </w:r>
      <w:r w:rsidR="00976C7D">
        <w:rPr>
          <w:rFonts w:cs="Arial"/>
          <w:szCs w:val="22"/>
        </w:rPr>
        <w:t>s</w:t>
      </w:r>
      <w:r w:rsidR="0022645A" w:rsidRPr="00347B30">
        <w:rPr>
          <w:rFonts w:cs="Arial"/>
          <w:szCs w:val="22"/>
        </w:rPr>
        <w:t>eznam</w:t>
      </w:r>
      <w:r w:rsidR="00976C7D">
        <w:rPr>
          <w:rFonts w:cs="Arial"/>
          <w:szCs w:val="22"/>
        </w:rPr>
        <w:t>em</w:t>
      </w:r>
      <w:r w:rsidR="0022645A" w:rsidRPr="00347B30">
        <w:rPr>
          <w:rFonts w:cs="Arial"/>
          <w:szCs w:val="22"/>
        </w:rPr>
        <w:t xml:space="preserve"> komodit</w:t>
      </w:r>
      <w:r w:rsidR="002E4630" w:rsidRPr="002E4630">
        <w:rPr>
          <w:rFonts w:cs="Arial"/>
          <w:szCs w:val="22"/>
        </w:rPr>
        <w:t xml:space="preserve"> </w:t>
      </w:r>
      <w:r w:rsidR="002E4630">
        <w:rPr>
          <w:rFonts w:cs="Arial"/>
          <w:szCs w:val="22"/>
        </w:rPr>
        <w:t>schválen</w:t>
      </w:r>
      <w:r w:rsidR="00976C7D">
        <w:rPr>
          <w:rFonts w:cs="Arial"/>
          <w:szCs w:val="22"/>
        </w:rPr>
        <w:t>ým</w:t>
      </w:r>
      <w:r w:rsidR="002E4630">
        <w:rPr>
          <w:rFonts w:cs="Arial"/>
          <w:szCs w:val="22"/>
        </w:rPr>
        <w:t xml:space="preserve"> </w:t>
      </w:r>
      <w:r w:rsidR="00976C7D">
        <w:rPr>
          <w:rFonts w:cs="Arial"/>
          <w:szCs w:val="22"/>
        </w:rPr>
        <w:t>usnesením vlády ze dne 15. 6. 2011</w:t>
      </w:r>
      <w:r w:rsidR="002E4630">
        <w:rPr>
          <w:rFonts w:cs="Arial"/>
          <w:szCs w:val="22"/>
        </w:rPr>
        <w:t xml:space="preserve"> č. 451</w:t>
      </w:r>
      <w:r w:rsidR="0022645A" w:rsidRPr="00347B30">
        <w:rPr>
          <w:rFonts w:cs="Arial"/>
          <w:szCs w:val="22"/>
        </w:rPr>
        <w:t xml:space="preserve">. Tyto dva zdroje se však </w:t>
      </w:r>
      <w:r w:rsidR="002C671F">
        <w:rPr>
          <w:rFonts w:cs="Arial"/>
          <w:szCs w:val="22"/>
        </w:rPr>
        <w:t>v </w:t>
      </w:r>
      <w:r w:rsidR="0022645A" w:rsidRPr="00347B30">
        <w:rPr>
          <w:rFonts w:cs="Arial"/>
          <w:szCs w:val="22"/>
        </w:rPr>
        <w:t>označ</w:t>
      </w:r>
      <w:r w:rsidR="00976C7D">
        <w:rPr>
          <w:rFonts w:cs="Arial"/>
          <w:szCs w:val="22"/>
        </w:rPr>
        <w:t>ování</w:t>
      </w:r>
      <w:r w:rsidR="0022645A" w:rsidRPr="00347B30">
        <w:rPr>
          <w:rFonts w:cs="Arial"/>
          <w:szCs w:val="22"/>
        </w:rPr>
        <w:t xml:space="preserve"> komodit </w:t>
      </w:r>
      <w:r w:rsidR="008777B5">
        <w:rPr>
          <w:rFonts w:cs="Arial"/>
          <w:szCs w:val="22"/>
        </w:rPr>
        <w:t>do jisté míry rozcházejí</w:t>
      </w:r>
      <w:r w:rsidR="0073588A">
        <w:rPr>
          <w:rFonts w:cs="Arial"/>
          <w:szCs w:val="22"/>
        </w:rPr>
        <w:t xml:space="preserve">. </w:t>
      </w:r>
      <w:r w:rsidR="0073588A">
        <w:rPr>
          <w:rFonts w:cs="Arial"/>
        </w:rPr>
        <w:t>J</w:t>
      </w:r>
      <w:r w:rsidR="0073588A" w:rsidRPr="00E417B6">
        <w:rPr>
          <w:rFonts w:cs="Arial"/>
        </w:rPr>
        <w:t xml:space="preserve">eden </w:t>
      </w:r>
      <w:r w:rsidR="0073588A">
        <w:rPr>
          <w:rFonts w:cs="Arial"/>
        </w:rPr>
        <w:t xml:space="preserve">zdroj </w:t>
      </w:r>
      <w:r w:rsidR="0073588A" w:rsidRPr="00E417B6">
        <w:rPr>
          <w:rFonts w:cs="Arial"/>
        </w:rPr>
        <w:t>uvádí, že komodita je povinná, ačkoliv ve druhém tato povinnost uvedena není</w:t>
      </w:r>
      <w:r w:rsidR="0073588A">
        <w:rPr>
          <w:rFonts w:cs="Arial"/>
        </w:rPr>
        <w:t xml:space="preserve">. Tyto </w:t>
      </w:r>
      <w:r w:rsidR="001911EC">
        <w:rPr>
          <w:rFonts w:cs="Arial"/>
        </w:rPr>
        <w:t xml:space="preserve">rozdíly </w:t>
      </w:r>
      <w:r w:rsidR="0073588A">
        <w:rPr>
          <w:rFonts w:cs="Arial"/>
        </w:rPr>
        <w:t>pak</w:t>
      </w:r>
      <w:r w:rsidR="0022645A" w:rsidRPr="00347B30">
        <w:rPr>
          <w:rFonts w:cs="Arial"/>
          <w:szCs w:val="22"/>
        </w:rPr>
        <w:t xml:space="preserve"> </w:t>
      </w:r>
      <w:proofErr w:type="spellStart"/>
      <w:r w:rsidR="008777B5">
        <w:rPr>
          <w:rFonts w:cs="Arial"/>
          <w:szCs w:val="22"/>
        </w:rPr>
        <w:t>znepřehledňují</w:t>
      </w:r>
      <w:proofErr w:type="spellEnd"/>
      <w:r w:rsidR="008777B5">
        <w:rPr>
          <w:rFonts w:cs="Arial"/>
          <w:szCs w:val="22"/>
        </w:rPr>
        <w:t xml:space="preserve"> </w:t>
      </w:r>
      <w:r w:rsidR="0022645A" w:rsidRPr="00347B30">
        <w:rPr>
          <w:rFonts w:cs="Arial"/>
          <w:szCs w:val="22"/>
        </w:rPr>
        <w:t xml:space="preserve">zadávání povinných komodit a </w:t>
      </w:r>
      <w:r w:rsidR="00203002">
        <w:rPr>
          <w:rFonts w:cs="Arial"/>
          <w:szCs w:val="22"/>
        </w:rPr>
        <w:t>mohou zkreslovat</w:t>
      </w:r>
      <w:r w:rsidR="00203002" w:rsidRPr="00347B30">
        <w:rPr>
          <w:rFonts w:cs="Arial"/>
          <w:szCs w:val="22"/>
        </w:rPr>
        <w:t xml:space="preserve"> </w:t>
      </w:r>
      <w:r w:rsidR="0022645A" w:rsidRPr="00347B30">
        <w:rPr>
          <w:rFonts w:cs="Arial"/>
          <w:szCs w:val="22"/>
        </w:rPr>
        <w:t xml:space="preserve">statistické vyhodnocení trhu veřejných zakázek </w:t>
      </w:r>
      <w:r w:rsidR="002C671F">
        <w:rPr>
          <w:rFonts w:cs="Arial"/>
          <w:szCs w:val="22"/>
        </w:rPr>
        <w:t>z </w:t>
      </w:r>
      <w:r w:rsidR="0022645A" w:rsidRPr="00347B30">
        <w:rPr>
          <w:rFonts w:cs="Arial"/>
          <w:szCs w:val="22"/>
        </w:rPr>
        <w:t>komoditního hlediska.</w:t>
      </w:r>
    </w:p>
    <w:p w:rsidR="001066B6" w:rsidRDefault="001066B6" w:rsidP="006A6E87">
      <w:pPr>
        <w:spacing w:after="0"/>
        <w:rPr>
          <w:rFonts w:cs="Arial"/>
          <w:szCs w:val="22"/>
        </w:rPr>
      </w:pPr>
    </w:p>
    <w:p w:rsidR="00410607" w:rsidRDefault="00187769" w:rsidP="006A6E87">
      <w:pPr>
        <w:spacing w:after="0"/>
        <w:rPr>
          <w:rFonts w:cs="Arial"/>
          <w:szCs w:val="22"/>
        </w:rPr>
      </w:pPr>
      <w:r>
        <w:rPr>
          <w:rFonts w:cs="Arial"/>
          <w:szCs w:val="22"/>
        </w:rPr>
        <w:t>A</w:t>
      </w:r>
      <w:r w:rsidR="00410607">
        <w:rPr>
          <w:rFonts w:cs="Arial"/>
          <w:szCs w:val="22"/>
        </w:rPr>
        <w:t>nalýz</w:t>
      </w:r>
      <w:r>
        <w:rPr>
          <w:rFonts w:cs="Arial"/>
          <w:szCs w:val="22"/>
        </w:rPr>
        <w:t xml:space="preserve">ou </w:t>
      </w:r>
      <w:r w:rsidR="00410607">
        <w:rPr>
          <w:rFonts w:cs="Arial"/>
          <w:szCs w:val="22"/>
        </w:rPr>
        <w:t xml:space="preserve">zakázek </w:t>
      </w:r>
      <w:r w:rsidR="00411F22">
        <w:rPr>
          <w:rFonts w:cs="Arial"/>
          <w:szCs w:val="22"/>
        </w:rPr>
        <w:t>z</w:t>
      </w:r>
      <w:r w:rsidR="007E7767">
        <w:rPr>
          <w:rFonts w:cs="Arial"/>
          <w:szCs w:val="22"/>
        </w:rPr>
        <w:t> </w:t>
      </w:r>
      <w:proofErr w:type="spellStart"/>
      <w:r w:rsidR="00410607">
        <w:rPr>
          <w:rFonts w:cs="Arial"/>
          <w:szCs w:val="22"/>
        </w:rPr>
        <w:t>datasetu</w:t>
      </w:r>
      <w:proofErr w:type="spellEnd"/>
      <w:r w:rsidR="007E7767">
        <w:rPr>
          <w:rFonts w:cs="Arial"/>
          <w:szCs w:val="22"/>
        </w:rPr>
        <w:t xml:space="preserve"> </w:t>
      </w:r>
      <w:proofErr w:type="spellStart"/>
      <w:r w:rsidR="007E7767">
        <w:rPr>
          <w:rFonts w:cs="Arial"/>
          <w:szCs w:val="22"/>
        </w:rPr>
        <w:t>VZ</w:t>
      </w:r>
      <w:proofErr w:type="spellEnd"/>
      <w:r w:rsidR="00410607">
        <w:rPr>
          <w:rFonts w:cs="Arial"/>
          <w:szCs w:val="22"/>
        </w:rPr>
        <w:t xml:space="preserve"> </w:t>
      </w:r>
      <w:r>
        <w:rPr>
          <w:rFonts w:cs="Arial"/>
          <w:szCs w:val="22"/>
        </w:rPr>
        <w:t xml:space="preserve">byly zjištěny </w:t>
      </w:r>
      <w:r w:rsidR="00410607">
        <w:rPr>
          <w:rFonts w:cs="Arial"/>
          <w:szCs w:val="22"/>
        </w:rPr>
        <w:t>nedostatky</w:t>
      </w:r>
      <w:r w:rsidR="003E1267">
        <w:rPr>
          <w:rFonts w:cs="Arial"/>
          <w:szCs w:val="22"/>
        </w:rPr>
        <w:t xml:space="preserve"> </w:t>
      </w:r>
      <w:r w:rsidR="002C671F">
        <w:rPr>
          <w:rFonts w:cs="Arial"/>
          <w:szCs w:val="22"/>
        </w:rPr>
        <w:t>v </w:t>
      </w:r>
      <w:r w:rsidR="00411F22">
        <w:rPr>
          <w:rFonts w:cs="Arial"/>
          <w:szCs w:val="22"/>
        </w:rPr>
        <w:t xml:space="preserve">informacích vložených </w:t>
      </w:r>
      <w:r w:rsidR="00DB70CC">
        <w:rPr>
          <w:rFonts w:cs="Arial"/>
          <w:szCs w:val="22"/>
        </w:rPr>
        <w:t>zadavateli do</w:t>
      </w:r>
      <w:r w:rsidR="003E1267">
        <w:rPr>
          <w:rFonts w:cs="Arial"/>
          <w:szCs w:val="22"/>
        </w:rPr>
        <w:t xml:space="preserve"> e-tržiš</w:t>
      </w:r>
      <w:r w:rsidR="00DB70CC">
        <w:rPr>
          <w:rFonts w:cs="Arial"/>
          <w:szCs w:val="22"/>
        </w:rPr>
        <w:t>ť</w:t>
      </w:r>
      <w:r w:rsidR="003E1267">
        <w:rPr>
          <w:rFonts w:cs="Arial"/>
          <w:szCs w:val="22"/>
        </w:rPr>
        <w:t>. Jednalo se zejména o nesprávné vykázání předpokládané hodnoty či smluvní částky</w:t>
      </w:r>
      <w:r w:rsidR="00312C5E">
        <w:rPr>
          <w:rFonts w:cs="Arial"/>
          <w:szCs w:val="22"/>
        </w:rPr>
        <w:t xml:space="preserve">, např. </w:t>
      </w:r>
      <w:r w:rsidR="00165079">
        <w:rPr>
          <w:rFonts w:cs="Arial"/>
          <w:szCs w:val="22"/>
        </w:rPr>
        <w:t>zadání</w:t>
      </w:r>
      <w:r w:rsidR="00312C5E">
        <w:rPr>
          <w:rFonts w:cs="Arial"/>
          <w:szCs w:val="22"/>
        </w:rPr>
        <w:t xml:space="preserve"> nulové </w:t>
      </w:r>
      <w:r w:rsidR="00830DAC">
        <w:rPr>
          <w:rFonts w:cs="Arial"/>
          <w:szCs w:val="22"/>
        </w:rPr>
        <w:t xml:space="preserve">hodnoty nebo </w:t>
      </w:r>
      <w:r w:rsidR="00165079">
        <w:rPr>
          <w:rFonts w:cs="Arial"/>
          <w:szCs w:val="22"/>
        </w:rPr>
        <w:t xml:space="preserve">uvedení </w:t>
      </w:r>
      <w:r w:rsidR="00312C5E">
        <w:rPr>
          <w:rFonts w:cs="Arial"/>
          <w:szCs w:val="22"/>
        </w:rPr>
        <w:t xml:space="preserve">ceny </w:t>
      </w:r>
      <w:r w:rsidR="003E1267">
        <w:rPr>
          <w:rFonts w:cs="Arial"/>
          <w:szCs w:val="22"/>
        </w:rPr>
        <w:t>za nakoupenou jednotku</w:t>
      </w:r>
      <w:r w:rsidR="00CD0FA7">
        <w:rPr>
          <w:rFonts w:cs="Arial"/>
          <w:szCs w:val="22"/>
        </w:rPr>
        <w:t xml:space="preserve"> namísto ceny za celou VZ</w:t>
      </w:r>
      <w:r w:rsidR="00411F22">
        <w:rPr>
          <w:rFonts w:cs="Arial"/>
          <w:szCs w:val="22"/>
        </w:rPr>
        <w:t>, nebo</w:t>
      </w:r>
      <w:r w:rsidR="00CD0FA7">
        <w:rPr>
          <w:rFonts w:cs="Arial"/>
          <w:szCs w:val="22"/>
        </w:rPr>
        <w:t xml:space="preserve"> naopak</w:t>
      </w:r>
      <w:r w:rsidR="00830DAC">
        <w:rPr>
          <w:rFonts w:cs="Arial"/>
          <w:szCs w:val="22"/>
        </w:rPr>
        <w:t xml:space="preserve">. </w:t>
      </w:r>
      <w:r w:rsidR="003E1267">
        <w:rPr>
          <w:rFonts w:cs="Arial"/>
          <w:szCs w:val="22"/>
        </w:rPr>
        <w:t>Dále byly chyby shledány v uvedení sazby DPH</w:t>
      </w:r>
      <w:r w:rsidR="007346A9">
        <w:rPr>
          <w:rFonts w:cs="Arial"/>
          <w:szCs w:val="22"/>
        </w:rPr>
        <w:t>, která</w:t>
      </w:r>
      <w:r w:rsidR="003E1267">
        <w:rPr>
          <w:rFonts w:cs="Arial"/>
          <w:szCs w:val="22"/>
        </w:rPr>
        <w:t xml:space="preserve"> se pohybovala v rozpětí od </w:t>
      </w:r>
      <w:r w:rsidR="00411F22" w:rsidRPr="00997B05">
        <w:rPr>
          <w:rFonts w:cs="Arial"/>
        </w:rPr>
        <w:t>−</w:t>
      </w:r>
      <w:r w:rsidR="003E1267">
        <w:rPr>
          <w:rFonts w:cs="Arial"/>
          <w:szCs w:val="22"/>
        </w:rPr>
        <w:t xml:space="preserve">100 </w:t>
      </w:r>
      <w:r w:rsidR="00411F22">
        <w:rPr>
          <w:rFonts w:cs="Arial"/>
          <w:szCs w:val="22"/>
        </w:rPr>
        <w:t>do</w:t>
      </w:r>
      <w:r w:rsidR="003E1267">
        <w:rPr>
          <w:rFonts w:cs="Arial"/>
          <w:szCs w:val="22"/>
        </w:rPr>
        <w:t xml:space="preserve"> 1</w:t>
      </w:r>
      <w:r w:rsidR="00411F22">
        <w:rPr>
          <w:rFonts w:cs="Arial"/>
          <w:szCs w:val="22"/>
        </w:rPr>
        <w:t> </w:t>
      </w:r>
      <w:r w:rsidR="003E1267">
        <w:rPr>
          <w:rFonts w:cs="Arial"/>
          <w:szCs w:val="22"/>
        </w:rPr>
        <w:t xml:space="preserve">100 %, </w:t>
      </w:r>
      <w:r w:rsidR="00411F22">
        <w:rPr>
          <w:rFonts w:cs="Arial"/>
          <w:szCs w:val="22"/>
        </w:rPr>
        <w:t>nebo chyběly</w:t>
      </w:r>
      <w:r w:rsidR="007346A9">
        <w:rPr>
          <w:rFonts w:cs="Arial"/>
          <w:szCs w:val="22"/>
        </w:rPr>
        <w:t xml:space="preserve"> informac</w:t>
      </w:r>
      <w:r w:rsidR="00411F22">
        <w:rPr>
          <w:rFonts w:cs="Arial"/>
          <w:szCs w:val="22"/>
        </w:rPr>
        <w:t>e</w:t>
      </w:r>
      <w:r w:rsidR="003E1267">
        <w:rPr>
          <w:rFonts w:cs="Arial"/>
          <w:szCs w:val="22"/>
        </w:rPr>
        <w:t xml:space="preserve"> o vítězném dodavateli či datu uzavření smlouvy.</w:t>
      </w:r>
    </w:p>
    <w:p w:rsidR="001066B6" w:rsidRDefault="001066B6" w:rsidP="006A6E87">
      <w:pPr>
        <w:spacing w:after="0"/>
        <w:rPr>
          <w:rFonts w:cs="Arial"/>
          <w:szCs w:val="22"/>
        </w:rPr>
      </w:pPr>
    </w:p>
    <w:p w:rsidR="00642421" w:rsidRDefault="00830DAC" w:rsidP="006A6E87">
      <w:pPr>
        <w:pStyle w:val="Textkomente"/>
        <w:spacing w:after="0"/>
        <w:rPr>
          <w:rFonts w:cs="Arial"/>
          <w:b/>
          <w:sz w:val="22"/>
          <w:szCs w:val="22"/>
        </w:rPr>
      </w:pPr>
      <w:r w:rsidRPr="00D60224">
        <w:rPr>
          <w:rFonts w:cs="Arial"/>
          <w:b/>
          <w:sz w:val="22"/>
          <w:szCs w:val="22"/>
        </w:rPr>
        <w:t>Z uvedených skutečností vyplývá, že systém e-tržišť umožňoval zadá</w:t>
      </w:r>
      <w:r w:rsidR="00642421">
        <w:rPr>
          <w:rFonts w:cs="Arial"/>
          <w:b/>
          <w:sz w:val="22"/>
          <w:szCs w:val="22"/>
        </w:rPr>
        <w:t>vá</w:t>
      </w:r>
      <w:r w:rsidRPr="00D60224">
        <w:rPr>
          <w:rFonts w:cs="Arial"/>
          <w:b/>
          <w:sz w:val="22"/>
          <w:szCs w:val="22"/>
        </w:rPr>
        <w:t xml:space="preserve">ní chybných </w:t>
      </w:r>
      <w:r w:rsidR="00642421">
        <w:rPr>
          <w:rFonts w:cs="Arial"/>
          <w:b/>
          <w:sz w:val="22"/>
          <w:szCs w:val="22"/>
        </w:rPr>
        <w:t>informací (</w:t>
      </w:r>
      <w:r w:rsidRPr="00D60224">
        <w:rPr>
          <w:rFonts w:cs="Arial"/>
          <w:b/>
          <w:sz w:val="22"/>
          <w:szCs w:val="22"/>
        </w:rPr>
        <w:t>hodnot</w:t>
      </w:r>
      <w:r w:rsidR="00642421">
        <w:rPr>
          <w:rFonts w:cs="Arial"/>
          <w:b/>
          <w:sz w:val="22"/>
          <w:szCs w:val="22"/>
        </w:rPr>
        <w:t xml:space="preserve">). </w:t>
      </w:r>
      <w:r w:rsidR="000F11CC">
        <w:rPr>
          <w:rFonts w:cs="Arial"/>
          <w:b/>
          <w:sz w:val="22"/>
          <w:szCs w:val="22"/>
        </w:rPr>
        <w:t xml:space="preserve">NKÚ zjistil, že </w:t>
      </w:r>
      <w:r w:rsidRPr="00D60224">
        <w:rPr>
          <w:rFonts w:cs="Arial"/>
          <w:b/>
          <w:sz w:val="22"/>
          <w:szCs w:val="22"/>
        </w:rPr>
        <w:t xml:space="preserve">nebyly nastaveny funkční kontrolní mechanismy (algoritmy), které by upozornily </w:t>
      </w:r>
      <w:r w:rsidR="000F11CC">
        <w:rPr>
          <w:rFonts w:cs="Arial"/>
          <w:b/>
          <w:sz w:val="22"/>
          <w:szCs w:val="22"/>
        </w:rPr>
        <w:t xml:space="preserve">uživatele </w:t>
      </w:r>
      <w:r w:rsidRPr="00D60224">
        <w:rPr>
          <w:rFonts w:cs="Arial"/>
          <w:b/>
          <w:sz w:val="22"/>
          <w:szCs w:val="22"/>
        </w:rPr>
        <w:t>na výrazné odchylky od logicky očekávaného rozpětí hodnot</w:t>
      </w:r>
      <w:r w:rsidR="000F11CC">
        <w:rPr>
          <w:rFonts w:cs="Arial"/>
          <w:b/>
          <w:sz w:val="22"/>
          <w:szCs w:val="22"/>
        </w:rPr>
        <w:t>.</w:t>
      </w:r>
      <w:r w:rsidRPr="00D60224">
        <w:rPr>
          <w:rFonts w:cs="Arial"/>
          <w:b/>
          <w:sz w:val="22"/>
          <w:szCs w:val="22"/>
        </w:rPr>
        <w:t xml:space="preserve"> </w:t>
      </w:r>
    </w:p>
    <w:p w:rsidR="001066B6" w:rsidRDefault="001066B6" w:rsidP="006A6E87">
      <w:pPr>
        <w:pStyle w:val="Textkomente"/>
        <w:spacing w:after="0"/>
        <w:rPr>
          <w:rFonts w:cs="Arial"/>
          <w:sz w:val="22"/>
          <w:szCs w:val="22"/>
        </w:rPr>
      </w:pPr>
    </w:p>
    <w:p w:rsidR="00264C38" w:rsidRDefault="00830DAC" w:rsidP="006A6E87">
      <w:pPr>
        <w:pStyle w:val="Textkomente"/>
        <w:spacing w:after="0"/>
        <w:rPr>
          <w:rFonts w:cs="Arial"/>
          <w:b/>
          <w:sz w:val="22"/>
          <w:szCs w:val="22"/>
        </w:rPr>
      </w:pPr>
      <w:r w:rsidRPr="00D60224">
        <w:rPr>
          <w:rFonts w:cs="Arial"/>
          <w:b/>
          <w:sz w:val="22"/>
          <w:szCs w:val="22"/>
        </w:rPr>
        <w:t>N</w:t>
      </w:r>
      <w:r w:rsidR="00264C38" w:rsidRPr="00D60224">
        <w:rPr>
          <w:rFonts w:cs="Arial"/>
          <w:b/>
          <w:sz w:val="22"/>
          <w:szCs w:val="22"/>
        </w:rPr>
        <w:t xml:space="preserve">a základě výše uvedených nedostatků </w:t>
      </w:r>
      <w:r w:rsidR="00411F22">
        <w:rPr>
          <w:rFonts w:cs="Arial"/>
          <w:b/>
          <w:sz w:val="22"/>
          <w:szCs w:val="22"/>
        </w:rPr>
        <w:t>upozorňuje</w:t>
      </w:r>
      <w:r w:rsidRPr="00D60224">
        <w:rPr>
          <w:rFonts w:cs="Arial"/>
          <w:b/>
          <w:sz w:val="22"/>
          <w:szCs w:val="22"/>
        </w:rPr>
        <w:t xml:space="preserve"> NKÚ </w:t>
      </w:r>
      <w:r w:rsidR="00411F22">
        <w:rPr>
          <w:rFonts w:cs="Arial"/>
          <w:b/>
          <w:sz w:val="22"/>
          <w:szCs w:val="22"/>
        </w:rPr>
        <w:t xml:space="preserve">na </w:t>
      </w:r>
      <w:r w:rsidRPr="00D60224">
        <w:rPr>
          <w:rFonts w:cs="Arial"/>
          <w:b/>
          <w:sz w:val="22"/>
          <w:szCs w:val="22"/>
        </w:rPr>
        <w:t xml:space="preserve">riziko </w:t>
      </w:r>
      <w:r w:rsidR="00642421" w:rsidRPr="00D60224">
        <w:rPr>
          <w:rFonts w:cs="Arial"/>
          <w:b/>
          <w:sz w:val="22"/>
          <w:szCs w:val="22"/>
        </w:rPr>
        <w:t xml:space="preserve">nesprávnosti či </w:t>
      </w:r>
      <w:r w:rsidRPr="00D60224">
        <w:rPr>
          <w:rFonts w:cs="Arial"/>
          <w:b/>
          <w:sz w:val="22"/>
          <w:szCs w:val="22"/>
        </w:rPr>
        <w:t xml:space="preserve">snížené věrohodnosti </w:t>
      </w:r>
      <w:r w:rsidR="00C223E4" w:rsidRPr="00D60224">
        <w:rPr>
          <w:rFonts w:cs="Arial"/>
          <w:b/>
          <w:sz w:val="22"/>
          <w:szCs w:val="22"/>
        </w:rPr>
        <w:t>informací uvedených ve</w:t>
      </w:r>
      <w:r w:rsidR="00264C38" w:rsidRPr="00D60224">
        <w:rPr>
          <w:rFonts w:cs="Arial"/>
          <w:b/>
          <w:sz w:val="22"/>
          <w:szCs w:val="22"/>
        </w:rPr>
        <w:t xml:space="preserve"> </w:t>
      </w:r>
      <w:r w:rsidR="00264C38" w:rsidRPr="00D60224">
        <w:rPr>
          <w:rFonts w:cs="Arial"/>
          <w:b/>
          <w:i/>
          <w:sz w:val="22"/>
          <w:szCs w:val="22"/>
        </w:rPr>
        <w:t>Zpráv</w:t>
      </w:r>
      <w:r w:rsidR="00C223E4" w:rsidRPr="00D60224">
        <w:rPr>
          <w:rFonts w:cs="Arial"/>
          <w:b/>
          <w:i/>
          <w:sz w:val="22"/>
          <w:szCs w:val="22"/>
        </w:rPr>
        <w:t>ě</w:t>
      </w:r>
      <w:r w:rsidR="00264C38" w:rsidRPr="00D60224">
        <w:rPr>
          <w:rFonts w:cs="Arial"/>
          <w:b/>
          <w:i/>
          <w:sz w:val="22"/>
          <w:szCs w:val="22"/>
        </w:rPr>
        <w:t xml:space="preserve"> o fungování elektronických tržišť veřejné správy</w:t>
      </w:r>
      <w:r w:rsidR="00264C38" w:rsidRPr="00D60224">
        <w:rPr>
          <w:rFonts w:cs="Arial"/>
          <w:b/>
          <w:sz w:val="22"/>
          <w:szCs w:val="22"/>
        </w:rPr>
        <w:t xml:space="preserve"> za příslušný kalendářní rok.</w:t>
      </w:r>
      <w:r w:rsidR="00264C38">
        <w:rPr>
          <w:rFonts w:cs="Arial"/>
          <w:sz w:val="22"/>
          <w:szCs w:val="22"/>
        </w:rPr>
        <w:t xml:space="preserve"> </w:t>
      </w:r>
      <w:r w:rsidR="00264C38" w:rsidRPr="00165079">
        <w:rPr>
          <w:rFonts w:cs="Arial"/>
          <w:b/>
          <w:sz w:val="22"/>
          <w:szCs w:val="22"/>
        </w:rPr>
        <w:t xml:space="preserve">Úroveň </w:t>
      </w:r>
      <w:r w:rsidR="00264C38" w:rsidRPr="008875A3">
        <w:rPr>
          <w:rFonts w:cs="Arial"/>
          <w:b/>
          <w:sz w:val="22"/>
          <w:szCs w:val="22"/>
        </w:rPr>
        <w:t>k</w:t>
      </w:r>
      <w:r w:rsidR="00264C38" w:rsidRPr="00165079">
        <w:rPr>
          <w:rFonts w:cs="Arial"/>
          <w:b/>
          <w:sz w:val="22"/>
          <w:szCs w:val="22"/>
        </w:rPr>
        <w:t>vality</w:t>
      </w:r>
      <w:r w:rsidR="00264C38" w:rsidRPr="00410607">
        <w:rPr>
          <w:rFonts w:cs="Arial"/>
          <w:b/>
          <w:sz w:val="22"/>
          <w:szCs w:val="22"/>
        </w:rPr>
        <w:t xml:space="preserve"> dat </w:t>
      </w:r>
      <w:r w:rsidR="00642421">
        <w:rPr>
          <w:rFonts w:cs="Arial"/>
          <w:b/>
          <w:sz w:val="22"/>
          <w:szCs w:val="22"/>
        </w:rPr>
        <w:t>mimo jiné</w:t>
      </w:r>
      <w:r w:rsidR="00264C38" w:rsidRPr="00410607">
        <w:rPr>
          <w:rFonts w:cs="Arial"/>
          <w:b/>
          <w:sz w:val="22"/>
          <w:szCs w:val="22"/>
        </w:rPr>
        <w:t xml:space="preserve"> komplikuj</w:t>
      </w:r>
      <w:r w:rsidR="00264C38">
        <w:rPr>
          <w:rFonts w:cs="Arial"/>
          <w:b/>
          <w:sz w:val="22"/>
          <w:szCs w:val="22"/>
        </w:rPr>
        <w:t>e</w:t>
      </w:r>
      <w:r w:rsidR="00264C38" w:rsidRPr="00410607">
        <w:rPr>
          <w:rFonts w:cs="Arial"/>
          <w:b/>
          <w:sz w:val="22"/>
          <w:szCs w:val="22"/>
        </w:rPr>
        <w:t xml:space="preserve"> možnost objektivně hodnotit úspory dosažené zadáváním veřejných zakázek přes </w:t>
      </w:r>
      <w:r w:rsidR="00191952">
        <w:rPr>
          <w:rFonts w:cs="Arial"/>
          <w:b/>
          <w:sz w:val="22"/>
          <w:szCs w:val="22"/>
        </w:rPr>
        <w:br/>
      </w:r>
      <w:r w:rsidR="00264C38" w:rsidRPr="00410607">
        <w:rPr>
          <w:rFonts w:cs="Arial"/>
          <w:b/>
          <w:sz w:val="22"/>
          <w:szCs w:val="22"/>
        </w:rPr>
        <w:t>e-tržiště.</w:t>
      </w:r>
    </w:p>
    <w:p w:rsidR="001066B6" w:rsidRPr="003A7F67" w:rsidRDefault="001066B6" w:rsidP="006A6E87">
      <w:pPr>
        <w:pStyle w:val="Textkomente"/>
        <w:spacing w:after="0"/>
        <w:rPr>
          <w:rFonts w:cs="Arial"/>
          <w:sz w:val="22"/>
          <w:szCs w:val="22"/>
        </w:rPr>
      </w:pPr>
    </w:p>
    <w:p w:rsidR="00410607" w:rsidRDefault="0008672C" w:rsidP="006A6E87">
      <w:pPr>
        <w:spacing w:after="0"/>
        <w:rPr>
          <w:rFonts w:cs="Arial"/>
          <w:b/>
          <w:szCs w:val="22"/>
        </w:rPr>
      </w:pPr>
      <w:r w:rsidRPr="00CE4BCF">
        <w:rPr>
          <w:rFonts w:cs="Arial"/>
          <w:b/>
          <w:szCs w:val="22"/>
        </w:rPr>
        <w:t>V</w:t>
      </w:r>
      <w:r w:rsidR="00410607" w:rsidRPr="00CE4BCF">
        <w:rPr>
          <w:rFonts w:cs="Arial"/>
          <w:b/>
          <w:szCs w:val="22"/>
        </w:rPr>
        <w:t xml:space="preserve">ýše uvedené zjištěné skutečnosti neměly vliv na </w:t>
      </w:r>
      <w:r w:rsidR="006D0D0E" w:rsidRPr="00CE4BCF">
        <w:rPr>
          <w:rFonts w:cs="Arial"/>
          <w:b/>
          <w:szCs w:val="22"/>
        </w:rPr>
        <w:t xml:space="preserve">provoz </w:t>
      </w:r>
      <w:r w:rsidR="00410607" w:rsidRPr="00CE4BCF">
        <w:rPr>
          <w:rFonts w:cs="Arial"/>
          <w:b/>
          <w:szCs w:val="22"/>
        </w:rPr>
        <w:t xml:space="preserve">e-tržišť, ale </w:t>
      </w:r>
      <w:r w:rsidR="00C223E4" w:rsidRPr="00CE4BCF">
        <w:rPr>
          <w:rFonts w:cs="Arial"/>
          <w:b/>
          <w:szCs w:val="22"/>
        </w:rPr>
        <w:t xml:space="preserve">mohou mít </w:t>
      </w:r>
      <w:r w:rsidR="00410607" w:rsidRPr="00CE4BCF">
        <w:rPr>
          <w:rFonts w:cs="Arial"/>
          <w:b/>
          <w:szCs w:val="22"/>
        </w:rPr>
        <w:t xml:space="preserve">vliv na transparentnost </w:t>
      </w:r>
      <w:r w:rsidR="00511CF7">
        <w:rPr>
          <w:rFonts w:cs="Arial"/>
          <w:b/>
          <w:szCs w:val="22"/>
        </w:rPr>
        <w:t>uveřejňov</w:t>
      </w:r>
      <w:r w:rsidR="002F4882">
        <w:rPr>
          <w:rFonts w:cs="Arial"/>
          <w:b/>
          <w:szCs w:val="22"/>
        </w:rPr>
        <w:t>aných</w:t>
      </w:r>
      <w:r w:rsidR="00410607" w:rsidRPr="00CE4BCF">
        <w:rPr>
          <w:rFonts w:cs="Arial"/>
          <w:b/>
          <w:szCs w:val="22"/>
        </w:rPr>
        <w:t xml:space="preserve"> informací o zadaných zakázkách.</w:t>
      </w:r>
      <w:r w:rsidR="00410607" w:rsidRPr="00CB115A">
        <w:rPr>
          <w:rFonts w:cs="Arial"/>
          <w:b/>
          <w:szCs w:val="22"/>
        </w:rPr>
        <w:t xml:space="preserve"> </w:t>
      </w:r>
    </w:p>
    <w:p w:rsidR="001066B6" w:rsidRDefault="001066B6" w:rsidP="006A6E87">
      <w:pPr>
        <w:spacing w:after="0"/>
        <w:rPr>
          <w:rFonts w:cs="Arial"/>
          <w:b/>
          <w:szCs w:val="22"/>
        </w:rPr>
      </w:pPr>
    </w:p>
    <w:p w:rsidR="00EB6920" w:rsidRDefault="00EB6920" w:rsidP="006A6E87">
      <w:pPr>
        <w:spacing w:after="0"/>
        <w:rPr>
          <w:rFonts w:cs="Arial"/>
          <w:b/>
          <w:szCs w:val="22"/>
        </w:rPr>
      </w:pPr>
    </w:p>
    <w:p w:rsidR="00EB6920" w:rsidRDefault="00EB6920" w:rsidP="006A6E87">
      <w:pPr>
        <w:spacing w:after="0"/>
        <w:rPr>
          <w:rFonts w:cs="Arial"/>
          <w:b/>
          <w:szCs w:val="22"/>
        </w:rPr>
      </w:pPr>
    </w:p>
    <w:p w:rsidR="00EB6920" w:rsidRDefault="00EB6920" w:rsidP="006A6E87">
      <w:pPr>
        <w:spacing w:after="0"/>
        <w:rPr>
          <w:rFonts w:cs="Arial"/>
          <w:b/>
          <w:szCs w:val="22"/>
        </w:rPr>
      </w:pPr>
    </w:p>
    <w:p w:rsidR="00EB6920" w:rsidRDefault="00EB6920" w:rsidP="006A6E87">
      <w:pPr>
        <w:spacing w:after="0"/>
        <w:rPr>
          <w:rFonts w:cs="Arial"/>
          <w:b/>
          <w:szCs w:val="22"/>
        </w:rPr>
      </w:pPr>
    </w:p>
    <w:p w:rsidR="00EB6920" w:rsidRPr="00CB115A" w:rsidRDefault="00EB6920" w:rsidP="006A6E87">
      <w:pPr>
        <w:spacing w:after="0"/>
        <w:rPr>
          <w:rFonts w:cs="Arial"/>
          <w:b/>
          <w:szCs w:val="22"/>
        </w:rPr>
      </w:pPr>
    </w:p>
    <w:p w:rsidR="00410607" w:rsidRPr="00410607" w:rsidRDefault="00814E60" w:rsidP="006A6E87">
      <w:pPr>
        <w:pStyle w:val="Nadpis2"/>
        <w:keepNext w:val="0"/>
        <w:keepLines w:val="0"/>
        <w:spacing w:before="0" w:after="120"/>
      </w:pPr>
      <w:r>
        <w:t xml:space="preserve">5.2 </w:t>
      </w:r>
      <w:r w:rsidR="0008672C">
        <w:t>Analýza uživatelů e-tržišť</w:t>
      </w:r>
    </w:p>
    <w:p w:rsidR="00452CB4" w:rsidRDefault="00770DDC" w:rsidP="006A6E87">
      <w:pPr>
        <w:spacing w:after="0"/>
        <w:rPr>
          <w:rFonts w:cs="Arial"/>
          <w:b/>
          <w:szCs w:val="22"/>
        </w:rPr>
      </w:pPr>
      <w:r w:rsidRPr="00B20201">
        <w:rPr>
          <w:rFonts w:cs="Arial"/>
          <w:b/>
          <w:szCs w:val="22"/>
        </w:rPr>
        <w:t>Na všech pěti e-tržištích bylo k 30.</w:t>
      </w:r>
      <w:r>
        <w:rPr>
          <w:rFonts w:cs="Arial"/>
          <w:b/>
          <w:szCs w:val="22"/>
        </w:rPr>
        <w:t> červnu </w:t>
      </w:r>
      <w:r w:rsidRPr="00B20201">
        <w:rPr>
          <w:rFonts w:cs="Arial"/>
          <w:b/>
          <w:szCs w:val="22"/>
        </w:rPr>
        <w:t>2013 zaregistrováno 570 zadavatelů</w:t>
      </w:r>
      <w:r w:rsidRPr="00B20201">
        <w:rPr>
          <w:rStyle w:val="Znakapoznpodarou"/>
          <w:b/>
          <w:szCs w:val="22"/>
        </w:rPr>
        <w:footnoteReference w:id="17"/>
      </w:r>
      <w:r w:rsidRPr="00B20201">
        <w:rPr>
          <w:rFonts w:cs="Arial"/>
          <w:b/>
          <w:szCs w:val="22"/>
        </w:rPr>
        <w:t xml:space="preserve"> a</w:t>
      </w:r>
      <w:r w:rsidR="00EB6920">
        <w:rPr>
          <w:rFonts w:cs="Arial"/>
          <w:b/>
          <w:szCs w:val="22"/>
        </w:rPr>
        <w:t> </w:t>
      </w:r>
      <w:r w:rsidRPr="00B20201">
        <w:rPr>
          <w:rFonts w:cs="Arial"/>
          <w:b/>
          <w:szCs w:val="22"/>
        </w:rPr>
        <w:t>10 197</w:t>
      </w:r>
      <w:r w:rsidR="00EB6920">
        <w:rPr>
          <w:rFonts w:cs="Arial"/>
          <w:b/>
          <w:szCs w:val="22"/>
        </w:rPr>
        <w:t> </w:t>
      </w:r>
      <w:r w:rsidRPr="00B20201">
        <w:rPr>
          <w:rFonts w:cs="Arial"/>
          <w:b/>
          <w:szCs w:val="22"/>
        </w:rPr>
        <w:t>dodavatelů</w:t>
      </w:r>
      <w:r w:rsidR="00D6571D">
        <w:rPr>
          <w:rFonts w:cs="Arial"/>
          <w:b/>
          <w:szCs w:val="22"/>
        </w:rPr>
        <w:t>.</w:t>
      </w:r>
      <w:r w:rsidR="00165079">
        <w:rPr>
          <w:rStyle w:val="Znakapoznpodarou"/>
          <w:b/>
          <w:szCs w:val="22"/>
        </w:rPr>
        <w:footnoteReference w:id="18"/>
      </w:r>
      <w:r w:rsidRPr="00B20201">
        <w:rPr>
          <w:rFonts w:cs="Arial"/>
          <w:b/>
          <w:szCs w:val="22"/>
        </w:rPr>
        <w:t xml:space="preserve"> </w:t>
      </w:r>
      <w:r w:rsidR="00452CB4" w:rsidRPr="00452CB4">
        <w:rPr>
          <w:rFonts w:cs="Arial"/>
          <w:szCs w:val="22"/>
        </w:rPr>
        <w:t xml:space="preserve">V České republice </w:t>
      </w:r>
      <w:r w:rsidR="002F1141">
        <w:rPr>
          <w:rFonts w:cs="Arial"/>
          <w:szCs w:val="22"/>
        </w:rPr>
        <w:t>bylo</w:t>
      </w:r>
      <w:r w:rsidR="00452CB4" w:rsidRPr="00452CB4">
        <w:rPr>
          <w:rFonts w:cs="Arial"/>
          <w:szCs w:val="22"/>
        </w:rPr>
        <w:t xml:space="preserve"> </w:t>
      </w:r>
      <w:r w:rsidR="002F1141">
        <w:rPr>
          <w:rFonts w:cs="Arial"/>
          <w:szCs w:val="22"/>
        </w:rPr>
        <w:t xml:space="preserve">k 31. </w:t>
      </w:r>
      <w:r w:rsidR="0072233D">
        <w:rPr>
          <w:rFonts w:cs="Arial"/>
          <w:szCs w:val="22"/>
        </w:rPr>
        <w:t>lednu</w:t>
      </w:r>
      <w:r w:rsidR="002F1141">
        <w:rPr>
          <w:rFonts w:cs="Arial"/>
          <w:szCs w:val="22"/>
        </w:rPr>
        <w:t xml:space="preserve"> 2013 </w:t>
      </w:r>
      <w:r w:rsidR="00452CB4" w:rsidRPr="00452CB4">
        <w:rPr>
          <w:rFonts w:cs="Arial"/>
          <w:szCs w:val="22"/>
        </w:rPr>
        <w:t>v </w:t>
      </w:r>
      <w:r w:rsidR="00411F22">
        <w:rPr>
          <w:rFonts w:cs="Arial"/>
          <w:szCs w:val="22"/>
        </w:rPr>
        <w:t>r</w:t>
      </w:r>
      <w:r w:rsidR="00452CB4" w:rsidRPr="00452CB4">
        <w:rPr>
          <w:rFonts w:cs="Arial"/>
          <w:szCs w:val="22"/>
        </w:rPr>
        <w:t xml:space="preserve">egistru ekonomických subjektů </w:t>
      </w:r>
      <w:r w:rsidR="00AB6B21">
        <w:rPr>
          <w:rFonts w:cs="Arial"/>
          <w:szCs w:val="22"/>
        </w:rPr>
        <w:t>(</w:t>
      </w:r>
      <w:r w:rsidR="00452CB4" w:rsidRPr="00452CB4">
        <w:rPr>
          <w:rFonts w:cs="Arial"/>
          <w:szCs w:val="22"/>
        </w:rPr>
        <w:t xml:space="preserve">po zohlednění právních forem </w:t>
      </w:r>
      <w:r w:rsidR="00702C05">
        <w:rPr>
          <w:rFonts w:cs="Arial"/>
          <w:szCs w:val="22"/>
        </w:rPr>
        <w:t xml:space="preserve">registrovaných na e-tržištích </w:t>
      </w:r>
      <w:r w:rsidR="00452CB4" w:rsidRPr="00452CB4">
        <w:rPr>
          <w:rFonts w:cs="Arial"/>
          <w:szCs w:val="22"/>
        </w:rPr>
        <w:t xml:space="preserve">a s vyloučením </w:t>
      </w:r>
      <w:r w:rsidR="006436AF">
        <w:rPr>
          <w:rFonts w:cs="Arial"/>
          <w:szCs w:val="22"/>
        </w:rPr>
        <w:t>o</w:t>
      </w:r>
      <w:r w:rsidR="00452CB4" w:rsidRPr="00452CB4">
        <w:rPr>
          <w:rFonts w:cs="Arial"/>
          <w:szCs w:val="22"/>
        </w:rPr>
        <w:t>rganizačních složek</w:t>
      </w:r>
      <w:r w:rsidR="002F4882">
        <w:rPr>
          <w:rFonts w:cs="Arial"/>
          <w:szCs w:val="22"/>
        </w:rPr>
        <w:t xml:space="preserve"> státu</w:t>
      </w:r>
      <w:r w:rsidR="00AB6B21">
        <w:rPr>
          <w:rFonts w:cs="Arial"/>
          <w:szCs w:val="22"/>
        </w:rPr>
        <w:t>)</w:t>
      </w:r>
      <w:r w:rsidR="00452CB4" w:rsidRPr="00452CB4">
        <w:rPr>
          <w:rFonts w:cs="Arial"/>
          <w:szCs w:val="22"/>
        </w:rPr>
        <w:t xml:space="preserve"> evidováno celkem 2 587 966 </w:t>
      </w:r>
      <w:r w:rsidR="00702C05">
        <w:rPr>
          <w:rFonts w:cs="Arial"/>
          <w:szCs w:val="22"/>
        </w:rPr>
        <w:t xml:space="preserve">aktivních </w:t>
      </w:r>
      <w:r w:rsidR="00452CB4" w:rsidRPr="00452CB4">
        <w:rPr>
          <w:rFonts w:cs="Arial"/>
          <w:szCs w:val="22"/>
        </w:rPr>
        <w:t xml:space="preserve">ekonomických subjektů. </w:t>
      </w:r>
      <w:r w:rsidR="00895327" w:rsidRPr="00B20201">
        <w:rPr>
          <w:rFonts w:cs="Arial"/>
          <w:b/>
          <w:szCs w:val="22"/>
        </w:rPr>
        <w:t>Z </w:t>
      </w:r>
      <w:r w:rsidR="00895327">
        <w:rPr>
          <w:rFonts w:cs="Arial"/>
          <w:b/>
          <w:szCs w:val="22"/>
        </w:rPr>
        <w:t>uvedených informací</w:t>
      </w:r>
      <w:r w:rsidR="00895327" w:rsidRPr="00B20201">
        <w:rPr>
          <w:rFonts w:cs="Arial"/>
          <w:b/>
          <w:szCs w:val="22"/>
        </w:rPr>
        <w:t xml:space="preserve"> vyplývá, že k 30. </w:t>
      </w:r>
      <w:r w:rsidR="00895327">
        <w:rPr>
          <w:rFonts w:cs="Arial"/>
          <w:b/>
          <w:szCs w:val="22"/>
        </w:rPr>
        <w:t>červnu</w:t>
      </w:r>
      <w:r w:rsidR="00895327" w:rsidRPr="00B20201">
        <w:rPr>
          <w:rFonts w:cs="Arial"/>
          <w:b/>
          <w:szCs w:val="22"/>
        </w:rPr>
        <w:t xml:space="preserve"> 2013 bylo na e-tržištích registrováno jen 0,39 % subjektů</w:t>
      </w:r>
      <w:r w:rsidR="00895327">
        <w:rPr>
          <w:rFonts w:cs="Arial"/>
          <w:b/>
          <w:szCs w:val="22"/>
        </w:rPr>
        <w:t xml:space="preserve"> </w:t>
      </w:r>
      <w:r w:rsidR="00411F22">
        <w:rPr>
          <w:rFonts w:cs="Arial"/>
          <w:b/>
          <w:szCs w:val="22"/>
        </w:rPr>
        <w:t>zapsaných</w:t>
      </w:r>
      <w:r w:rsidR="00895327">
        <w:rPr>
          <w:rFonts w:cs="Arial"/>
          <w:b/>
          <w:szCs w:val="22"/>
        </w:rPr>
        <w:t xml:space="preserve"> v </w:t>
      </w:r>
      <w:r w:rsidR="00411F22">
        <w:rPr>
          <w:rFonts w:cs="Arial"/>
          <w:b/>
          <w:szCs w:val="22"/>
        </w:rPr>
        <w:t>r</w:t>
      </w:r>
      <w:r w:rsidR="00895327">
        <w:rPr>
          <w:rFonts w:cs="Arial"/>
          <w:b/>
          <w:szCs w:val="22"/>
        </w:rPr>
        <w:t>egistru ekonomických subjektů</w:t>
      </w:r>
      <w:r w:rsidR="00CD0FA7">
        <w:rPr>
          <w:rFonts w:cs="Arial"/>
          <w:b/>
          <w:szCs w:val="22"/>
        </w:rPr>
        <w:t>.</w:t>
      </w:r>
      <w:r w:rsidR="00895327" w:rsidRPr="00B20201">
        <w:rPr>
          <w:rFonts w:cs="Arial"/>
          <w:b/>
          <w:szCs w:val="22"/>
        </w:rPr>
        <w:t xml:space="preserve"> </w:t>
      </w:r>
      <w:r w:rsidR="002F1141">
        <w:rPr>
          <w:rFonts w:cs="Arial"/>
          <w:szCs w:val="22"/>
        </w:rPr>
        <w:t>Ačkoliv e-tržiště nejsou vhodná pro všechny</w:t>
      </w:r>
      <w:r>
        <w:rPr>
          <w:rFonts w:cs="Arial"/>
          <w:szCs w:val="22"/>
        </w:rPr>
        <w:t xml:space="preserve"> komodity</w:t>
      </w:r>
      <w:r w:rsidR="00411F22">
        <w:rPr>
          <w:rFonts w:cs="Arial"/>
          <w:szCs w:val="22"/>
        </w:rPr>
        <w:t>,</w:t>
      </w:r>
      <w:r w:rsidR="002F1141">
        <w:rPr>
          <w:rFonts w:cs="Arial"/>
          <w:szCs w:val="22"/>
        </w:rPr>
        <w:t xml:space="preserve"> a tedy </w:t>
      </w:r>
      <w:r w:rsidR="00411F22">
        <w:rPr>
          <w:rFonts w:cs="Arial"/>
          <w:szCs w:val="22"/>
        </w:rPr>
        <w:t>an</w:t>
      </w:r>
      <w:r w:rsidR="002F1141">
        <w:rPr>
          <w:rFonts w:cs="Arial"/>
          <w:szCs w:val="22"/>
        </w:rPr>
        <w:t>i pro všechny dodavatele</w:t>
      </w:r>
      <w:r w:rsidR="002F1141" w:rsidRPr="003356CA">
        <w:rPr>
          <w:rFonts w:cs="Arial"/>
          <w:szCs w:val="22"/>
        </w:rPr>
        <w:t xml:space="preserve">, je třeba vzít </w:t>
      </w:r>
      <w:r w:rsidR="002C671F">
        <w:rPr>
          <w:rFonts w:cs="Arial"/>
          <w:szCs w:val="22"/>
        </w:rPr>
        <w:t>v </w:t>
      </w:r>
      <w:r w:rsidR="002F1141" w:rsidRPr="003356CA">
        <w:rPr>
          <w:rFonts w:cs="Arial"/>
          <w:szCs w:val="22"/>
        </w:rPr>
        <w:t xml:space="preserve">potaz, že většina dodavatelů </w:t>
      </w:r>
      <w:r w:rsidR="008A3189">
        <w:rPr>
          <w:rFonts w:cs="Arial"/>
          <w:szCs w:val="22"/>
        </w:rPr>
        <w:t>vyvíjí</w:t>
      </w:r>
      <w:r w:rsidR="002F1141" w:rsidRPr="003356CA">
        <w:rPr>
          <w:rFonts w:cs="Arial"/>
          <w:szCs w:val="22"/>
        </w:rPr>
        <w:t xml:space="preserve"> více ekonomických činností než jen jednu hlavní.</w:t>
      </w:r>
      <w:r w:rsidR="002F1141" w:rsidRPr="006A6E87">
        <w:rPr>
          <w:rFonts w:cs="Arial"/>
          <w:szCs w:val="22"/>
        </w:rPr>
        <w:t xml:space="preserve"> </w:t>
      </w:r>
    </w:p>
    <w:p w:rsidR="001066B6" w:rsidRDefault="001066B6" w:rsidP="006A6E87">
      <w:pPr>
        <w:spacing w:after="0"/>
        <w:rPr>
          <w:rFonts w:cs="Arial"/>
          <w:szCs w:val="22"/>
        </w:rPr>
      </w:pPr>
    </w:p>
    <w:p w:rsidR="00895327" w:rsidRDefault="009B2F5D" w:rsidP="006A6E87">
      <w:pPr>
        <w:spacing w:after="0"/>
        <w:rPr>
          <w:rFonts w:cs="Arial"/>
          <w:szCs w:val="22"/>
        </w:rPr>
      </w:pPr>
      <w:r w:rsidRPr="009B2F5D">
        <w:rPr>
          <w:rFonts w:cs="Arial"/>
          <w:szCs w:val="22"/>
        </w:rPr>
        <w:t>NKÚ provedl dotazníkové šetření</w:t>
      </w:r>
      <w:r w:rsidR="00AB6B21">
        <w:rPr>
          <w:rStyle w:val="Znakapoznpodarou"/>
          <w:szCs w:val="22"/>
        </w:rPr>
        <w:footnoteReference w:id="19"/>
      </w:r>
      <w:r w:rsidRPr="009B2F5D">
        <w:rPr>
          <w:rFonts w:cs="Arial"/>
          <w:szCs w:val="22"/>
        </w:rPr>
        <w:t xml:space="preserve"> u registrovaných dodavatelů </w:t>
      </w:r>
      <w:r w:rsidR="008A3189">
        <w:rPr>
          <w:rFonts w:cs="Arial"/>
          <w:szCs w:val="22"/>
        </w:rPr>
        <w:t>uvedených v</w:t>
      </w:r>
      <w:r w:rsidR="002C671F">
        <w:rPr>
          <w:rFonts w:cs="Arial"/>
          <w:szCs w:val="22"/>
        </w:rPr>
        <w:t> </w:t>
      </w:r>
      <w:proofErr w:type="spellStart"/>
      <w:r w:rsidRPr="00D60224">
        <w:rPr>
          <w:rFonts w:cs="Arial"/>
          <w:i/>
          <w:szCs w:val="22"/>
        </w:rPr>
        <w:t>datasetu</w:t>
      </w:r>
      <w:proofErr w:type="spellEnd"/>
      <w:r w:rsidRPr="00D60224">
        <w:rPr>
          <w:rFonts w:cs="Arial"/>
          <w:i/>
          <w:szCs w:val="22"/>
        </w:rPr>
        <w:t xml:space="preserve"> </w:t>
      </w:r>
      <w:r w:rsidR="00470B13" w:rsidRPr="00D60224">
        <w:rPr>
          <w:rFonts w:cs="Arial"/>
          <w:i/>
          <w:szCs w:val="22"/>
        </w:rPr>
        <w:t>uživatelů</w:t>
      </w:r>
      <w:r w:rsidR="00470B13" w:rsidRPr="006A6E87">
        <w:rPr>
          <w:rFonts w:cs="Arial"/>
          <w:i/>
          <w:szCs w:val="22"/>
        </w:rPr>
        <w:t xml:space="preserve"> e-tržišť</w:t>
      </w:r>
      <w:r w:rsidR="008A3189">
        <w:rPr>
          <w:rFonts w:cs="Arial"/>
          <w:szCs w:val="22"/>
        </w:rPr>
        <w:t>, který předložilo</w:t>
      </w:r>
      <w:r w:rsidR="00C657D5">
        <w:rPr>
          <w:rFonts w:cs="Arial"/>
          <w:szCs w:val="22"/>
        </w:rPr>
        <w:t xml:space="preserve"> MMR</w:t>
      </w:r>
      <w:r w:rsidR="00AB6B21">
        <w:rPr>
          <w:rFonts w:cs="Arial"/>
          <w:szCs w:val="22"/>
        </w:rPr>
        <w:t xml:space="preserve">. </w:t>
      </w:r>
      <w:r w:rsidR="00D97CFA">
        <w:rPr>
          <w:rFonts w:cs="Arial"/>
          <w:szCs w:val="22"/>
        </w:rPr>
        <w:t xml:space="preserve">Dotazník </w:t>
      </w:r>
      <w:r w:rsidR="00D97CFA" w:rsidRPr="00C351EA">
        <w:rPr>
          <w:rFonts w:cs="Arial"/>
          <w:szCs w:val="22"/>
        </w:rPr>
        <w:t>byl doručen</w:t>
      </w:r>
      <w:r w:rsidR="00AB6B21" w:rsidRPr="00C351EA">
        <w:rPr>
          <w:rFonts w:cs="Arial"/>
          <w:szCs w:val="22"/>
        </w:rPr>
        <w:t xml:space="preserve"> </w:t>
      </w:r>
      <w:r w:rsidR="00470B13" w:rsidRPr="00C351EA">
        <w:rPr>
          <w:rFonts w:cs="Arial"/>
          <w:szCs w:val="22"/>
        </w:rPr>
        <w:t>1 948</w:t>
      </w:r>
      <w:r w:rsidR="00AB6B21" w:rsidRPr="00C351EA">
        <w:rPr>
          <w:rFonts w:cs="Arial"/>
          <w:szCs w:val="22"/>
        </w:rPr>
        <w:t xml:space="preserve"> </w:t>
      </w:r>
      <w:r w:rsidR="003E1267" w:rsidRPr="00C351EA">
        <w:rPr>
          <w:rFonts w:cs="Arial"/>
          <w:szCs w:val="22"/>
        </w:rPr>
        <w:t xml:space="preserve">vybraným </w:t>
      </w:r>
      <w:r w:rsidR="00AB6B21" w:rsidRPr="00C351EA">
        <w:rPr>
          <w:rFonts w:cs="Arial"/>
          <w:szCs w:val="22"/>
        </w:rPr>
        <w:t>dodavatelů</w:t>
      </w:r>
      <w:r w:rsidR="00D97CFA" w:rsidRPr="00C351EA">
        <w:rPr>
          <w:rFonts w:cs="Arial"/>
          <w:szCs w:val="22"/>
        </w:rPr>
        <w:t>m</w:t>
      </w:r>
      <w:r w:rsidRPr="00C351EA">
        <w:rPr>
          <w:rFonts w:cs="Arial"/>
          <w:szCs w:val="22"/>
        </w:rPr>
        <w:t xml:space="preserve">. </w:t>
      </w:r>
      <w:r w:rsidR="00D537D4" w:rsidRPr="00C351EA">
        <w:rPr>
          <w:rFonts w:cs="Arial"/>
          <w:szCs w:val="22"/>
        </w:rPr>
        <w:t xml:space="preserve">Návratnost byla ve výši 30,2 %, tj. 588 vyplněných dotazníků. Kompletní výsledky </w:t>
      </w:r>
      <w:r w:rsidR="002F1141" w:rsidRPr="00C351EA">
        <w:rPr>
          <w:rFonts w:cs="Arial"/>
          <w:szCs w:val="22"/>
        </w:rPr>
        <w:t xml:space="preserve">šetření a další podrobnosti k jeho průběhu </w:t>
      </w:r>
      <w:r w:rsidR="00D537D4" w:rsidRPr="00C351EA">
        <w:rPr>
          <w:rFonts w:cs="Arial"/>
          <w:szCs w:val="22"/>
        </w:rPr>
        <w:t xml:space="preserve">jsou uvedeny </w:t>
      </w:r>
      <w:r w:rsidR="002C671F">
        <w:rPr>
          <w:rFonts w:cs="Arial"/>
          <w:szCs w:val="22"/>
        </w:rPr>
        <w:t>v </w:t>
      </w:r>
      <w:r w:rsidR="008A3189">
        <w:rPr>
          <w:rFonts w:cs="Arial"/>
          <w:szCs w:val="22"/>
        </w:rPr>
        <w:t>p</w:t>
      </w:r>
      <w:r w:rsidR="00E9754F" w:rsidRPr="00C351EA">
        <w:rPr>
          <w:rFonts w:cs="Arial"/>
          <w:szCs w:val="22"/>
        </w:rPr>
        <w:t>říloze č. 3</w:t>
      </w:r>
      <w:r w:rsidR="00D537D4" w:rsidRPr="00C351EA">
        <w:rPr>
          <w:rFonts w:cs="Arial"/>
          <w:szCs w:val="22"/>
        </w:rPr>
        <w:t xml:space="preserve">. </w:t>
      </w:r>
      <w:r w:rsidR="00895327">
        <w:rPr>
          <w:rFonts w:cs="Arial"/>
          <w:szCs w:val="22"/>
        </w:rPr>
        <w:t>P</w:t>
      </w:r>
      <w:r w:rsidR="00895327" w:rsidRPr="002A0EEE">
        <w:rPr>
          <w:rFonts w:cs="Arial"/>
          <w:szCs w:val="22"/>
        </w:rPr>
        <w:t>řínosy a nedostatky využívání e-tržišť</w:t>
      </w:r>
      <w:r w:rsidR="00895327">
        <w:rPr>
          <w:rFonts w:cs="Arial"/>
          <w:szCs w:val="22"/>
        </w:rPr>
        <w:t xml:space="preserve"> ověřoval </w:t>
      </w:r>
      <w:r w:rsidR="008A3189">
        <w:rPr>
          <w:rFonts w:cs="Arial"/>
          <w:szCs w:val="22"/>
        </w:rPr>
        <w:t xml:space="preserve">NKÚ </w:t>
      </w:r>
      <w:r w:rsidR="00895327">
        <w:rPr>
          <w:rFonts w:cs="Arial"/>
          <w:szCs w:val="22"/>
        </w:rPr>
        <w:t xml:space="preserve">rovněž </w:t>
      </w:r>
      <w:r w:rsidR="002C671F">
        <w:rPr>
          <w:rFonts w:cs="Arial"/>
          <w:szCs w:val="22"/>
        </w:rPr>
        <w:t>z </w:t>
      </w:r>
      <w:r w:rsidR="008A658F" w:rsidRPr="00C351EA">
        <w:rPr>
          <w:rFonts w:cs="Arial"/>
          <w:szCs w:val="22"/>
        </w:rPr>
        <w:t>předložených informací</w:t>
      </w:r>
      <w:r w:rsidR="008A658F">
        <w:rPr>
          <w:rFonts w:cs="Arial"/>
          <w:szCs w:val="22"/>
        </w:rPr>
        <w:t xml:space="preserve"> od </w:t>
      </w:r>
      <w:r w:rsidR="002F1141" w:rsidRPr="002A0EEE">
        <w:rPr>
          <w:rFonts w:cs="Arial"/>
          <w:szCs w:val="22"/>
        </w:rPr>
        <w:t xml:space="preserve">organizačních útvarů </w:t>
      </w:r>
      <w:r w:rsidR="008A658F">
        <w:rPr>
          <w:rFonts w:cs="Arial"/>
          <w:szCs w:val="22"/>
        </w:rPr>
        <w:t>kontrolovaných osob</w:t>
      </w:r>
      <w:r w:rsidR="003E1267">
        <w:rPr>
          <w:rFonts w:cs="Arial"/>
          <w:szCs w:val="22"/>
        </w:rPr>
        <w:t xml:space="preserve"> (zadavatelů)</w:t>
      </w:r>
      <w:r w:rsidR="00895327">
        <w:rPr>
          <w:rFonts w:cs="Arial"/>
          <w:szCs w:val="22"/>
        </w:rPr>
        <w:t>.</w:t>
      </w:r>
      <w:r w:rsidR="00895327" w:rsidRPr="002A0EEE" w:rsidDel="00895327">
        <w:rPr>
          <w:rFonts w:cs="Arial"/>
          <w:szCs w:val="22"/>
        </w:rPr>
        <w:t xml:space="preserve"> </w:t>
      </w:r>
    </w:p>
    <w:p w:rsidR="001066B6" w:rsidRDefault="001066B6" w:rsidP="006A6E87">
      <w:pPr>
        <w:spacing w:after="0"/>
        <w:rPr>
          <w:rFonts w:cs="Arial"/>
          <w:szCs w:val="22"/>
        </w:rPr>
      </w:pPr>
    </w:p>
    <w:p w:rsidR="008A658F" w:rsidRDefault="002F1141" w:rsidP="006A6E87">
      <w:pPr>
        <w:spacing w:after="0"/>
        <w:rPr>
          <w:rFonts w:cs="Arial"/>
          <w:szCs w:val="22"/>
        </w:rPr>
      </w:pPr>
      <w:r w:rsidRPr="002A0EEE">
        <w:rPr>
          <w:rFonts w:cs="Arial"/>
          <w:szCs w:val="22"/>
        </w:rPr>
        <w:t>Přínosy pro zadavatele jsou spatřovány především ve zvýšení transparent</w:t>
      </w:r>
      <w:r>
        <w:rPr>
          <w:rFonts w:cs="Arial"/>
          <w:szCs w:val="22"/>
        </w:rPr>
        <w:t>nosti procesu a</w:t>
      </w:r>
      <w:r w:rsidR="00D6571D">
        <w:rPr>
          <w:rFonts w:cs="Arial"/>
          <w:szCs w:val="22"/>
        </w:rPr>
        <w:t> </w:t>
      </w:r>
      <w:r w:rsidR="008A3189">
        <w:rPr>
          <w:rFonts w:cs="Arial"/>
          <w:szCs w:val="22"/>
        </w:rPr>
        <w:t xml:space="preserve">zlepšení </w:t>
      </w:r>
      <w:r w:rsidRPr="002A0EEE">
        <w:rPr>
          <w:rFonts w:cs="Arial"/>
          <w:szCs w:val="22"/>
        </w:rPr>
        <w:t>komunika</w:t>
      </w:r>
      <w:r>
        <w:rPr>
          <w:rFonts w:cs="Arial"/>
          <w:szCs w:val="22"/>
        </w:rPr>
        <w:t>ce v průběhu zadávacího řízení</w:t>
      </w:r>
      <w:r w:rsidRPr="002A0EEE">
        <w:rPr>
          <w:rFonts w:cs="Arial"/>
          <w:szCs w:val="22"/>
        </w:rPr>
        <w:t>. Jako hlavní nedostatky dodavatel</w:t>
      </w:r>
      <w:r>
        <w:rPr>
          <w:rFonts w:cs="Arial"/>
          <w:szCs w:val="22"/>
        </w:rPr>
        <w:t>é</w:t>
      </w:r>
      <w:r w:rsidRPr="002A0EEE">
        <w:rPr>
          <w:rFonts w:cs="Arial"/>
          <w:szCs w:val="22"/>
        </w:rPr>
        <w:t xml:space="preserve"> i</w:t>
      </w:r>
      <w:r w:rsidR="008A3189">
        <w:rPr>
          <w:rFonts w:cs="Arial"/>
          <w:szCs w:val="22"/>
        </w:rPr>
        <w:t> </w:t>
      </w:r>
      <w:r w:rsidRPr="002A0EEE">
        <w:rPr>
          <w:rFonts w:cs="Arial"/>
          <w:szCs w:val="22"/>
        </w:rPr>
        <w:t>zadavatel</w:t>
      </w:r>
      <w:r>
        <w:rPr>
          <w:rFonts w:cs="Arial"/>
          <w:szCs w:val="22"/>
        </w:rPr>
        <w:t>é</w:t>
      </w:r>
      <w:r w:rsidRPr="002A0EEE">
        <w:rPr>
          <w:rFonts w:cs="Arial"/>
          <w:szCs w:val="22"/>
        </w:rPr>
        <w:t xml:space="preserve"> uv</w:t>
      </w:r>
      <w:r>
        <w:rPr>
          <w:rFonts w:cs="Arial"/>
          <w:szCs w:val="22"/>
        </w:rPr>
        <w:t>e</w:t>
      </w:r>
      <w:r w:rsidRPr="002A0EEE">
        <w:rPr>
          <w:rFonts w:cs="Arial"/>
          <w:szCs w:val="22"/>
        </w:rPr>
        <w:t>d</w:t>
      </w:r>
      <w:r w:rsidR="00FE6469">
        <w:rPr>
          <w:rFonts w:cs="Arial"/>
          <w:szCs w:val="22"/>
        </w:rPr>
        <w:t>li</w:t>
      </w:r>
      <w:r w:rsidRPr="002A0EEE">
        <w:rPr>
          <w:rFonts w:cs="Arial"/>
          <w:szCs w:val="22"/>
        </w:rPr>
        <w:t xml:space="preserve"> zvýšen</w:t>
      </w:r>
      <w:r>
        <w:rPr>
          <w:rFonts w:cs="Arial"/>
          <w:szCs w:val="22"/>
        </w:rPr>
        <w:t>í</w:t>
      </w:r>
      <w:r w:rsidRPr="002A0EEE">
        <w:rPr>
          <w:rFonts w:cs="Arial"/>
          <w:szCs w:val="22"/>
        </w:rPr>
        <w:t xml:space="preserve"> časov</w:t>
      </w:r>
      <w:r>
        <w:rPr>
          <w:rFonts w:cs="Arial"/>
          <w:szCs w:val="22"/>
        </w:rPr>
        <w:t>é</w:t>
      </w:r>
      <w:r w:rsidRPr="002A0EEE">
        <w:rPr>
          <w:rFonts w:cs="Arial"/>
          <w:szCs w:val="22"/>
        </w:rPr>
        <w:t xml:space="preserve"> náročnost</w:t>
      </w:r>
      <w:r>
        <w:rPr>
          <w:rFonts w:cs="Arial"/>
          <w:szCs w:val="22"/>
        </w:rPr>
        <w:t>i</w:t>
      </w:r>
      <w:r w:rsidRPr="002A0EEE">
        <w:rPr>
          <w:rFonts w:cs="Arial"/>
          <w:szCs w:val="22"/>
        </w:rPr>
        <w:t xml:space="preserve"> zadávání VZ prostřednictvím e-tržiště, složité a</w:t>
      </w:r>
      <w:r w:rsidR="008A3189">
        <w:rPr>
          <w:rFonts w:cs="Arial"/>
          <w:szCs w:val="22"/>
        </w:rPr>
        <w:t> </w:t>
      </w:r>
      <w:r w:rsidRPr="002A0EEE">
        <w:rPr>
          <w:rFonts w:cs="Arial"/>
          <w:szCs w:val="22"/>
        </w:rPr>
        <w:t>zdlouhavé vyhledávání VZ a informací, nepřehlednost či mal</w:t>
      </w:r>
      <w:r>
        <w:rPr>
          <w:rFonts w:cs="Arial"/>
          <w:szCs w:val="22"/>
        </w:rPr>
        <w:t>ou</w:t>
      </w:r>
      <w:r w:rsidRPr="002A0EEE">
        <w:rPr>
          <w:rFonts w:cs="Arial"/>
          <w:szCs w:val="22"/>
        </w:rPr>
        <w:t xml:space="preserve"> uživatelsk</w:t>
      </w:r>
      <w:r>
        <w:rPr>
          <w:rFonts w:cs="Arial"/>
          <w:szCs w:val="22"/>
        </w:rPr>
        <w:t>ou</w:t>
      </w:r>
      <w:r w:rsidRPr="002A0EEE">
        <w:rPr>
          <w:rFonts w:cs="Arial"/>
          <w:szCs w:val="22"/>
        </w:rPr>
        <w:t xml:space="preserve"> přívětivost </w:t>
      </w:r>
      <w:r w:rsidR="008A3189">
        <w:rPr>
          <w:rFonts w:cs="Arial"/>
          <w:szCs w:val="22"/>
        </w:rPr>
        <w:br/>
      </w:r>
      <w:r w:rsidRPr="002A0EEE">
        <w:rPr>
          <w:rFonts w:cs="Arial"/>
          <w:szCs w:val="22"/>
        </w:rPr>
        <w:t>e-tržiš</w:t>
      </w:r>
      <w:r>
        <w:rPr>
          <w:rFonts w:cs="Arial"/>
          <w:szCs w:val="22"/>
        </w:rPr>
        <w:t>ť</w:t>
      </w:r>
      <w:r w:rsidRPr="002A0EEE">
        <w:rPr>
          <w:rFonts w:cs="Arial"/>
          <w:szCs w:val="22"/>
        </w:rPr>
        <w:t xml:space="preserve">. Dodavatelé shledali jako nedostatek také nemožnost registrovat se na všech e-tržištích najednou. </w:t>
      </w:r>
      <w:r w:rsidR="00F427B7" w:rsidRPr="00B114E0">
        <w:rPr>
          <w:rFonts w:cs="Arial"/>
          <w:szCs w:val="22"/>
        </w:rPr>
        <w:t xml:space="preserve">Dodavatel, pokud nevyužívá </w:t>
      </w:r>
      <w:r w:rsidR="00F427B7">
        <w:rPr>
          <w:rFonts w:cs="Arial"/>
          <w:szCs w:val="22"/>
        </w:rPr>
        <w:t xml:space="preserve">placených </w:t>
      </w:r>
      <w:r w:rsidR="00F427B7" w:rsidRPr="00B114E0">
        <w:rPr>
          <w:rFonts w:cs="Arial"/>
          <w:szCs w:val="22"/>
        </w:rPr>
        <w:t xml:space="preserve">informačních služeb daného e-tržiště nebo </w:t>
      </w:r>
      <w:r w:rsidR="00F427B7">
        <w:rPr>
          <w:rFonts w:cs="Arial"/>
          <w:szCs w:val="22"/>
        </w:rPr>
        <w:t>je</w:t>
      </w:r>
      <w:r w:rsidR="00F427B7" w:rsidRPr="00B114E0">
        <w:rPr>
          <w:rFonts w:cs="Arial"/>
          <w:szCs w:val="22"/>
        </w:rPr>
        <w:t xml:space="preserve"> příslušné e-tržiště nenabízí, musí zjišťovat informace o oznámených veřejných zakázkách na každém e-tržišti zvlášť </w:t>
      </w:r>
      <w:r w:rsidR="006C6594">
        <w:rPr>
          <w:rFonts w:cs="Arial"/>
          <w:szCs w:val="22"/>
        </w:rPr>
        <w:t>nebo si je musí</w:t>
      </w:r>
      <w:r w:rsidR="00F427B7" w:rsidRPr="00B114E0">
        <w:rPr>
          <w:rFonts w:cs="Arial"/>
          <w:szCs w:val="22"/>
        </w:rPr>
        <w:t xml:space="preserve"> vyhled</w:t>
      </w:r>
      <w:r w:rsidR="006C6594">
        <w:rPr>
          <w:rFonts w:cs="Arial"/>
          <w:szCs w:val="22"/>
        </w:rPr>
        <w:t>ávat</w:t>
      </w:r>
      <w:r w:rsidR="00F427B7" w:rsidRPr="00B114E0">
        <w:rPr>
          <w:rFonts w:cs="Arial"/>
          <w:szCs w:val="22"/>
        </w:rPr>
        <w:t xml:space="preserve"> </w:t>
      </w:r>
      <w:r w:rsidR="002C671F">
        <w:rPr>
          <w:rFonts w:cs="Arial"/>
          <w:szCs w:val="22"/>
        </w:rPr>
        <w:t>v </w:t>
      </w:r>
      <w:r w:rsidR="00F427B7" w:rsidRPr="006A6E87">
        <w:rPr>
          <w:rFonts w:cs="Arial"/>
          <w:i/>
          <w:szCs w:val="22"/>
        </w:rPr>
        <w:t xml:space="preserve">Informačním systému </w:t>
      </w:r>
      <w:r w:rsidR="006A6E87">
        <w:rPr>
          <w:rFonts w:cs="Arial"/>
          <w:i/>
          <w:szCs w:val="22"/>
        </w:rPr>
        <w:t xml:space="preserve">o </w:t>
      </w:r>
      <w:r w:rsidR="00F427B7" w:rsidRPr="006A6E87">
        <w:rPr>
          <w:rFonts w:cs="Arial"/>
          <w:i/>
          <w:szCs w:val="22"/>
        </w:rPr>
        <w:t>veřejných zakázk</w:t>
      </w:r>
      <w:r w:rsidR="006A6E87">
        <w:rPr>
          <w:rFonts w:cs="Arial"/>
          <w:i/>
          <w:szCs w:val="22"/>
        </w:rPr>
        <w:t>ách</w:t>
      </w:r>
      <w:r w:rsidR="00CD0FA7">
        <w:rPr>
          <w:rFonts w:cs="Arial"/>
          <w:szCs w:val="22"/>
        </w:rPr>
        <w:t>.</w:t>
      </w:r>
      <w:r w:rsidR="00F427B7">
        <w:rPr>
          <w:rFonts w:cs="Arial"/>
          <w:szCs w:val="22"/>
        </w:rPr>
        <w:t xml:space="preserve"> </w:t>
      </w:r>
      <w:r w:rsidR="00C12A89">
        <w:rPr>
          <w:rFonts w:cs="Arial"/>
          <w:szCs w:val="22"/>
        </w:rPr>
        <w:t>Existuje také možnost</w:t>
      </w:r>
      <w:r w:rsidR="00F427B7">
        <w:rPr>
          <w:rFonts w:cs="Arial"/>
          <w:szCs w:val="22"/>
        </w:rPr>
        <w:t xml:space="preserve"> </w:t>
      </w:r>
      <w:r w:rsidR="00F427B7" w:rsidRPr="00B114E0">
        <w:rPr>
          <w:rFonts w:cs="Arial"/>
          <w:szCs w:val="22"/>
        </w:rPr>
        <w:t>využít komerčních služeb jiných poskytovatelů, kteří provád</w:t>
      </w:r>
      <w:r w:rsidR="006C6594">
        <w:rPr>
          <w:rFonts w:cs="Arial"/>
          <w:szCs w:val="22"/>
        </w:rPr>
        <w:t>ěj</w:t>
      </w:r>
      <w:r w:rsidR="00F427B7" w:rsidRPr="00B114E0">
        <w:rPr>
          <w:rFonts w:cs="Arial"/>
          <w:szCs w:val="22"/>
        </w:rPr>
        <w:t>í sběr dat o</w:t>
      </w:r>
      <w:r w:rsidR="00EB6920">
        <w:rPr>
          <w:rFonts w:cs="Arial"/>
          <w:szCs w:val="22"/>
        </w:rPr>
        <w:t> </w:t>
      </w:r>
      <w:r w:rsidR="00F427B7" w:rsidRPr="00B114E0">
        <w:rPr>
          <w:rFonts w:cs="Arial"/>
          <w:szCs w:val="22"/>
        </w:rPr>
        <w:t xml:space="preserve">veřejných zakázkách také </w:t>
      </w:r>
      <w:r w:rsidR="002C671F">
        <w:rPr>
          <w:rFonts w:cs="Arial"/>
          <w:szCs w:val="22"/>
        </w:rPr>
        <w:t>z </w:t>
      </w:r>
      <w:r w:rsidR="00F427B7" w:rsidRPr="00B114E0">
        <w:rPr>
          <w:rFonts w:cs="Arial"/>
          <w:szCs w:val="22"/>
        </w:rPr>
        <w:t>e-tržišť, jejichž správcem je MMR.</w:t>
      </w:r>
      <w:r w:rsidR="00F427B7">
        <w:rPr>
          <w:rFonts w:cs="Arial"/>
          <w:szCs w:val="22"/>
        </w:rPr>
        <w:t xml:space="preserve"> </w:t>
      </w:r>
      <w:r w:rsidRPr="002A0EEE">
        <w:rPr>
          <w:rFonts w:cs="Arial"/>
          <w:szCs w:val="22"/>
        </w:rPr>
        <w:t xml:space="preserve">Z dotazníkového šetření </w:t>
      </w:r>
      <w:r>
        <w:rPr>
          <w:rFonts w:cs="Arial"/>
          <w:szCs w:val="22"/>
        </w:rPr>
        <w:t>dále</w:t>
      </w:r>
      <w:r w:rsidRPr="002A0EEE">
        <w:rPr>
          <w:rFonts w:cs="Arial"/>
          <w:szCs w:val="22"/>
        </w:rPr>
        <w:t xml:space="preserve"> vyplynul</w:t>
      </w:r>
      <w:r>
        <w:rPr>
          <w:rFonts w:cs="Arial"/>
          <w:szCs w:val="22"/>
        </w:rPr>
        <w:t>o</w:t>
      </w:r>
      <w:r w:rsidRPr="002A0EEE">
        <w:rPr>
          <w:rFonts w:cs="Arial"/>
          <w:szCs w:val="22"/>
        </w:rPr>
        <w:t xml:space="preserve">, že aktuální systém e-tržišť neposkytuje </w:t>
      </w:r>
      <w:r w:rsidR="006C6594">
        <w:rPr>
          <w:rFonts w:cs="Arial"/>
          <w:szCs w:val="22"/>
        </w:rPr>
        <w:t xml:space="preserve">dodavatelům </w:t>
      </w:r>
      <w:r w:rsidRPr="002A0EEE">
        <w:rPr>
          <w:rFonts w:cs="Arial"/>
          <w:szCs w:val="22"/>
        </w:rPr>
        <w:t>dostatečn</w:t>
      </w:r>
      <w:r w:rsidR="006C6594">
        <w:rPr>
          <w:rFonts w:cs="Arial"/>
          <w:szCs w:val="22"/>
        </w:rPr>
        <w:t>é množství</w:t>
      </w:r>
      <w:r w:rsidRPr="002A0EEE">
        <w:rPr>
          <w:rFonts w:cs="Arial"/>
          <w:szCs w:val="22"/>
        </w:rPr>
        <w:t xml:space="preserve"> inform</w:t>
      </w:r>
      <w:r w:rsidR="006C6594">
        <w:rPr>
          <w:rFonts w:cs="Arial"/>
          <w:szCs w:val="22"/>
        </w:rPr>
        <w:t>ací</w:t>
      </w:r>
      <w:r w:rsidR="008D0F8F">
        <w:rPr>
          <w:rFonts w:cs="Arial"/>
          <w:szCs w:val="22"/>
        </w:rPr>
        <w:t xml:space="preserve"> a</w:t>
      </w:r>
      <w:r w:rsidR="00EB6920">
        <w:rPr>
          <w:rFonts w:cs="Arial"/>
          <w:szCs w:val="22"/>
        </w:rPr>
        <w:t> </w:t>
      </w:r>
      <w:r w:rsidR="008D0F8F">
        <w:rPr>
          <w:rFonts w:cs="Arial"/>
          <w:szCs w:val="22"/>
        </w:rPr>
        <w:t xml:space="preserve">že aditivní </w:t>
      </w:r>
      <w:r w:rsidR="005611D3">
        <w:rPr>
          <w:rFonts w:cs="Arial"/>
          <w:szCs w:val="22"/>
        </w:rPr>
        <w:t>služby</w:t>
      </w:r>
      <w:r w:rsidR="00350848">
        <w:rPr>
          <w:rStyle w:val="Znakapoznpodarou"/>
          <w:szCs w:val="22"/>
        </w:rPr>
        <w:footnoteReference w:id="20"/>
      </w:r>
      <w:r w:rsidR="005611D3">
        <w:rPr>
          <w:rFonts w:cs="Arial"/>
          <w:szCs w:val="22"/>
        </w:rPr>
        <w:t xml:space="preserve"> </w:t>
      </w:r>
      <w:r w:rsidR="008D0F8F">
        <w:rPr>
          <w:rFonts w:cs="Arial"/>
          <w:szCs w:val="22"/>
        </w:rPr>
        <w:t xml:space="preserve">využilo jen </w:t>
      </w:r>
      <w:r w:rsidR="00006FB2">
        <w:rPr>
          <w:rFonts w:cs="Arial"/>
          <w:szCs w:val="22"/>
        </w:rPr>
        <w:t xml:space="preserve">asi </w:t>
      </w:r>
      <w:r w:rsidR="008D0F8F">
        <w:rPr>
          <w:rFonts w:cs="Arial"/>
          <w:szCs w:val="22"/>
        </w:rPr>
        <w:t>9 % dodavatelů</w:t>
      </w:r>
      <w:r>
        <w:rPr>
          <w:rFonts w:cs="Arial"/>
          <w:szCs w:val="22"/>
        </w:rPr>
        <w:t>.</w:t>
      </w:r>
      <w:r w:rsidR="008A658F">
        <w:rPr>
          <w:rFonts w:cs="Arial"/>
          <w:szCs w:val="22"/>
        </w:rPr>
        <w:t xml:space="preserve"> </w:t>
      </w:r>
    </w:p>
    <w:p w:rsidR="001066B6" w:rsidRDefault="001066B6" w:rsidP="006A6E87">
      <w:pPr>
        <w:spacing w:after="0"/>
        <w:rPr>
          <w:rFonts w:cs="Arial"/>
          <w:szCs w:val="22"/>
        </w:rPr>
      </w:pPr>
    </w:p>
    <w:p w:rsidR="008A658F" w:rsidRDefault="008A658F" w:rsidP="006A6E87">
      <w:pPr>
        <w:spacing w:after="0"/>
        <w:rPr>
          <w:rFonts w:cs="Arial"/>
          <w:szCs w:val="22"/>
        </w:rPr>
      </w:pPr>
      <w:r w:rsidRPr="008A658F">
        <w:rPr>
          <w:rFonts w:cs="Arial"/>
          <w:szCs w:val="22"/>
        </w:rPr>
        <w:t>Skutečnost, že 41 % dodavatelů se zaregistrovalo na základě tzv. předregistrace zadavatelem, potvrzuje správnost zařazení této funkce do systému e-tržišť. Důvodem, proč se dodavatelé neregistrovali na všech e-tržištích, byla preference obchodování jen na e-tržišti doporučené</w:t>
      </w:r>
      <w:r w:rsidR="00A11304">
        <w:rPr>
          <w:rFonts w:cs="Arial"/>
          <w:szCs w:val="22"/>
        </w:rPr>
        <w:t>m</w:t>
      </w:r>
      <w:r w:rsidRPr="008A658F">
        <w:rPr>
          <w:rFonts w:cs="Arial"/>
          <w:szCs w:val="22"/>
        </w:rPr>
        <w:t xml:space="preserve"> zadavatelem.</w:t>
      </w:r>
      <w:r w:rsidR="000355C0" w:rsidRPr="000355C0">
        <w:rPr>
          <w:rFonts w:cs="Arial"/>
          <w:szCs w:val="22"/>
        </w:rPr>
        <w:t xml:space="preserve"> </w:t>
      </w:r>
      <w:r w:rsidR="000355C0" w:rsidRPr="00292C28">
        <w:rPr>
          <w:rFonts w:cs="Arial"/>
          <w:szCs w:val="22"/>
        </w:rPr>
        <w:t xml:space="preserve">Většina registrovaných dodavatelů </w:t>
      </w:r>
      <w:r w:rsidR="006C6594" w:rsidRPr="00292C28">
        <w:rPr>
          <w:rFonts w:cs="Arial"/>
          <w:szCs w:val="22"/>
        </w:rPr>
        <w:t xml:space="preserve">(98,7 %) </w:t>
      </w:r>
      <w:r w:rsidR="000355C0" w:rsidRPr="00292C28">
        <w:rPr>
          <w:rFonts w:cs="Arial"/>
          <w:szCs w:val="22"/>
        </w:rPr>
        <w:t>nebyla ve sledovaném období registrov</w:t>
      </w:r>
      <w:r w:rsidR="006C6594">
        <w:rPr>
          <w:rFonts w:cs="Arial"/>
          <w:szCs w:val="22"/>
        </w:rPr>
        <w:t>ána</w:t>
      </w:r>
      <w:r w:rsidR="000355C0" w:rsidRPr="00292C28">
        <w:rPr>
          <w:rFonts w:cs="Arial"/>
          <w:szCs w:val="22"/>
        </w:rPr>
        <w:t xml:space="preserve"> </w:t>
      </w:r>
      <w:r w:rsidR="006C6594">
        <w:rPr>
          <w:rFonts w:cs="Arial"/>
          <w:szCs w:val="22"/>
        </w:rPr>
        <w:t>u</w:t>
      </w:r>
      <w:r w:rsidR="000355C0" w:rsidRPr="00292C28">
        <w:rPr>
          <w:rFonts w:cs="Arial"/>
          <w:szCs w:val="22"/>
        </w:rPr>
        <w:t xml:space="preserve"> všech pěti e-tržiš</w:t>
      </w:r>
      <w:r w:rsidR="006C6594">
        <w:rPr>
          <w:rFonts w:cs="Arial"/>
          <w:szCs w:val="22"/>
        </w:rPr>
        <w:t>ť</w:t>
      </w:r>
      <w:r w:rsidR="000355C0">
        <w:rPr>
          <w:rFonts w:cs="Arial"/>
          <w:szCs w:val="22"/>
        </w:rPr>
        <w:t>.</w:t>
      </w:r>
      <w:r w:rsidR="000355C0" w:rsidRPr="006A6E87">
        <w:rPr>
          <w:rFonts w:cs="Arial"/>
          <w:szCs w:val="22"/>
        </w:rPr>
        <w:t xml:space="preserve"> </w:t>
      </w:r>
      <w:r w:rsidR="000355C0" w:rsidRPr="008D6AB7">
        <w:rPr>
          <w:rFonts w:cs="Arial"/>
          <w:szCs w:val="22"/>
        </w:rPr>
        <w:t>E-tržiště</w:t>
      </w:r>
      <w:r w:rsidR="006C6594">
        <w:rPr>
          <w:rFonts w:cs="Arial"/>
          <w:szCs w:val="22"/>
        </w:rPr>
        <w:t>m</w:t>
      </w:r>
      <w:r w:rsidR="000355C0" w:rsidRPr="008D6AB7">
        <w:rPr>
          <w:rFonts w:cs="Arial"/>
          <w:szCs w:val="22"/>
        </w:rPr>
        <w:t xml:space="preserve"> s nejvě</w:t>
      </w:r>
      <w:r w:rsidR="00D6571D">
        <w:rPr>
          <w:rFonts w:cs="Arial"/>
          <w:szCs w:val="22"/>
        </w:rPr>
        <w:t>tším počtem dodavatelů (84 %) a </w:t>
      </w:r>
      <w:r w:rsidR="000355C0" w:rsidRPr="008D6AB7">
        <w:rPr>
          <w:rFonts w:cs="Arial"/>
          <w:szCs w:val="22"/>
        </w:rPr>
        <w:t xml:space="preserve">zadavatelů (79 %) </w:t>
      </w:r>
      <w:r w:rsidR="000355C0">
        <w:rPr>
          <w:rFonts w:cs="Arial"/>
          <w:szCs w:val="22"/>
        </w:rPr>
        <w:t>byl</w:t>
      </w:r>
      <w:r w:rsidR="000355C0" w:rsidRPr="008D6AB7">
        <w:rPr>
          <w:rFonts w:cs="Arial"/>
          <w:szCs w:val="22"/>
        </w:rPr>
        <w:t xml:space="preserve"> TENDERMARKET.</w:t>
      </w:r>
    </w:p>
    <w:p w:rsidR="001066B6" w:rsidRPr="008A658F" w:rsidRDefault="001066B6" w:rsidP="00CB0B4E">
      <w:pPr>
        <w:spacing w:after="0"/>
        <w:rPr>
          <w:rFonts w:cs="Arial"/>
          <w:szCs w:val="22"/>
        </w:rPr>
      </w:pPr>
    </w:p>
    <w:p w:rsidR="00466E68" w:rsidRDefault="00466E68" w:rsidP="00CB0B4E">
      <w:pPr>
        <w:spacing w:after="0"/>
        <w:rPr>
          <w:rFonts w:cs="Arial"/>
          <w:b/>
          <w:szCs w:val="22"/>
        </w:rPr>
      </w:pPr>
      <w:r w:rsidRPr="008875A3">
        <w:rPr>
          <w:rFonts w:cs="Arial"/>
          <w:b/>
          <w:szCs w:val="22"/>
        </w:rPr>
        <w:t xml:space="preserve">NKÚ </w:t>
      </w:r>
      <w:r w:rsidR="00895327" w:rsidRPr="008875A3">
        <w:rPr>
          <w:rFonts w:cs="Arial"/>
          <w:b/>
          <w:szCs w:val="22"/>
        </w:rPr>
        <w:t xml:space="preserve">prostřednictvím analýzy </w:t>
      </w:r>
      <w:r w:rsidR="00895327" w:rsidRPr="00CB0B4E">
        <w:rPr>
          <w:rFonts w:cs="Arial"/>
          <w:b/>
          <w:szCs w:val="22"/>
        </w:rPr>
        <w:t xml:space="preserve">datasetu </w:t>
      </w:r>
      <w:r w:rsidR="007E7767" w:rsidRPr="00CB0B4E">
        <w:rPr>
          <w:rFonts w:cs="Arial"/>
          <w:b/>
          <w:szCs w:val="22"/>
        </w:rPr>
        <w:t>uživatelů</w:t>
      </w:r>
      <w:r w:rsidR="007E7767" w:rsidRPr="008875A3">
        <w:rPr>
          <w:rFonts w:cs="Arial"/>
          <w:b/>
          <w:szCs w:val="22"/>
        </w:rPr>
        <w:t xml:space="preserve"> </w:t>
      </w:r>
      <w:r w:rsidRPr="008875A3">
        <w:rPr>
          <w:rFonts w:cs="Arial"/>
          <w:b/>
          <w:szCs w:val="22"/>
        </w:rPr>
        <w:t xml:space="preserve">zjistil duplicity </w:t>
      </w:r>
      <w:r w:rsidR="002C671F">
        <w:rPr>
          <w:rFonts w:cs="Arial"/>
          <w:b/>
          <w:szCs w:val="22"/>
        </w:rPr>
        <w:t>v </w:t>
      </w:r>
      <w:r w:rsidRPr="008875A3">
        <w:rPr>
          <w:rFonts w:cs="Arial"/>
          <w:b/>
          <w:szCs w:val="22"/>
        </w:rPr>
        <w:t>registraci uživatelů</w:t>
      </w:r>
      <w:r w:rsidR="00D6571D">
        <w:rPr>
          <w:rFonts w:cs="Arial"/>
          <w:b/>
          <w:szCs w:val="22"/>
        </w:rPr>
        <w:t xml:space="preserve"> a </w:t>
      </w:r>
      <w:r w:rsidRPr="008875A3">
        <w:rPr>
          <w:rFonts w:cs="Arial"/>
          <w:b/>
          <w:szCs w:val="22"/>
        </w:rPr>
        <w:t xml:space="preserve">tento stav vyhodnotil </w:t>
      </w:r>
      <w:r w:rsidR="00CD0FA7">
        <w:rPr>
          <w:rFonts w:cs="Arial"/>
          <w:b/>
          <w:szCs w:val="22"/>
        </w:rPr>
        <w:t xml:space="preserve">jako rozpor </w:t>
      </w:r>
      <w:r w:rsidR="002C671F">
        <w:rPr>
          <w:rFonts w:cs="Arial"/>
          <w:b/>
          <w:szCs w:val="22"/>
        </w:rPr>
        <w:t>s </w:t>
      </w:r>
      <w:r w:rsidRPr="008875A3">
        <w:rPr>
          <w:rFonts w:cs="Arial"/>
          <w:b/>
          <w:szCs w:val="22"/>
        </w:rPr>
        <w:t>provozním řádem</w:t>
      </w:r>
      <w:r w:rsidR="00A11304">
        <w:rPr>
          <w:rStyle w:val="Znakapoznpodarou"/>
          <w:b/>
          <w:szCs w:val="22"/>
        </w:rPr>
        <w:footnoteReference w:id="21"/>
      </w:r>
      <w:r w:rsidRPr="008875A3">
        <w:rPr>
          <w:rFonts w:cs="Arial"/>
          <w:b/>
          <w:szCs w:val="22"/>
        </w:rPr>
        <w:t xml:space="preserve">. MMR na základě upozornění </w:t>
      </w:r>
      <w:r w:rsidRPr="008875A3">
        <w:rPr>
          <w:rFonts w:cs="Arial"/>
          <w:b/>
          <w:szCs w:val="22"/>
        </w:rPr>
        <w:lastRenderedPageBreak/>
        <w:t xml:space="preserve">NKÚ </w:t>
      </w:r>
      <w:r w:rsidR="00CD0FA7" w:rsidRPr="00727293">
        <w:rPr>
          <w:rFonts w:cs="Arial"/>
          <w:b/>
          <w:szCs w:val="22"/>
        </w:rPr>
        <w:t xml:space="preserve">řešilo </w:t>
      </w:r>
      <w:r w:rsidR="00CD0FA7">
        <w:rPr>
          <w:rFonts w:cs="Arial"/>
          <w:b/>
          <w:szCs w:val="22"/>
        </w:rPr>
        <w:t>tuto</w:t>
      </w:r>
      <w:r w:rsidR="00D6571D">
        <w:rPr>
          <w:rFonts w:cs="Arial"/>
          <w:b/>
          <w:szCs w:val="22"/>
        </w:rPr>
        <w:t xml:space="preserve"> </w:t>
      </w:r>
      <w:r w:rsidR="00CD0FA7">
        <w:rPr>
          <w:rFonts w:cs="Arial"/>
          <w:b/>
          <w:szCs w:val="22"/>
        </w:rPr>
        <w:t>problematiku</w:t>
      </w:r>
      <w:r w:rsidR="00D6571D">
        <w:rPr>
          <w:rFonts w:cs="Arial"/>
          <w:b/>
          <w:szCs w:val="22"/>
        </w:rPr>
        <w:t xml:space="preserve"> </w:t>
      </w:r>
      <w:r w:rsidR="00CD0FA7" w:rsidRPr="00727293">
        <w:rPr>
          <w:rFonts w:cs="Arial"/>
          <w:b/>
          <w:szCs w:val="22"/>
        </w:rPr>
        <w:t>již v průběhu kontroly</w:t>
      </w:r>
      <w:r w:rsidR="00D6571D">
        <w:rPr>
          <w:rFonts w:cs="Arial"/>
          <w:b/>
          <w:szCs w:val="22"/>
        </w:rPr>
        <w:t xml:space="preserve"> </w:t>
      </w:r>
      <w:r w:rsidRPr="008875A3">
        <w:rPr>
          <w:rFonts w:cs="Arial"/>
          <w:b/>
          <w:szCs w:val="22"/>
        </w:rPr>
        <w:t>ve spolupráci</w:t>
      </w:r>
      <w:r w:rsidR="00D6571D">
        <w:rPr>
          <w:rFonts w:cs="Arial"/>
          <w:b/>
          <w:szCs w:val="22"/>
        </w:rPr>
        <w:t xml:space="preserve"> </w:t>
      </w:r>
      <w:r w:rsidR="002C671F">
        <w:rPr>
          <w:rFonts w:cs="Arial"/>
          <w:b/>
          <w:szCs w:val="22"/>
        </w:rPr>
        <w:t>s </w:t>
      </w:r>
      <w:r w:rsidRPr="008875A3">
        <w:rPr>
          <w:rFonts w:cs="Arial"/>
          <w:b/>
          <w:szCs w:val="22"/>
        </w:rPr>
        <w:t xml:space="preserve">provozovateli e-tržišť </w:t>
      </w:r>
      <w:r w:rsidR="002C671F">
        <w:rPr>
          <w:rFonts w:cs="Arial"/>
          <w:b/>
          <w:szCs w:val="22"/>
        </w:rPr>
        <w:t>s </w:t>
      </w:r>
      <w:r w:rsidRPr="008875A3">
        <w:rPr>
          <w:rFonts w:cs="Arial"/>
          <w:b/>
          <w:szCs w:val="22"/>
        </w:rPr>
        <w:t xml:space="preserve">cílem zajistit soulad </w:t>
      </w:r>
      <w:r w:rsidR="002C671F">
        <w:rPr>
          <w:rFonts w:cs="Arial"/>
          <w:b/>
          <w:szCs w:val="22"/>
        </w:rPr>
        <w:t>s </w:t>
      </w:r>
      <w:r w:rsidRPr="008875A3">
        <w:rPr>
          <w:rFonts w:cs="Arial"/>
          <w:b/>
          <w:szCs w:val="22"/>
        </w:rPr>
        <w:t>provozním řádem e-tržišť</w:t>
      </w:r>
      <w:r w:rsidR="000355C0">
        <w:rPr>
          <w:rFonts w:cs="Arial"/>
          <w:b/>
          <w:szCs w:val="22"/>
        </w:rPr>
        <w:t>.</w:t>
      </w:r>
    </w:p>
    <w:p w:rsidR="001066B6" w:rsidRPr="008875A3" w:rsidRDefault="001066B6" w:rsidP="00CB0B4E">
      <w:pPr>
        <w:spacing w:after="0"/>
        <w:rPr>
          <w:rFonts w:cs="Arial"/>
          <w:b/>
          <w:szCs w:val="22"/>
        </w:rPr>
      </w:pPr>
    </w:p>
    <w:p w:rsidR="006D43AC" w:rsidRPr="00443EDF" w:rsidRDefault="00814E60" w:rsidP="00510767">
      <w:pPr>
        <w:pStyle w:val="Nadpis1"/>
        <w:keepNext w:val="0"/>
        <w:keepLines w:val="0"/>
        <w:widowControl w:val="0"/>
        <w:spacing w:before="0" w:after="0"/>
      </w:pPr>
      <w:r>
        <w:t xml:space="preserve">6. </w:t>
      </w:r>
      <w:r w:rsidR="006D43AC" w:rsidRPr="00443EDF">
        <w:t>Cíle</w:t>
      </w:r>
      <w:r w:rsidR="006D43AC">
        <w:t xml:space="preserve"> modulu e-tržišť a monitorovací indikátor projektu NIPEZ</w:t>
      </w:r>
      <w:r w:rsidR="006D43AC" w:rsidRPr="00443EDF">
        <w:t xml:space="preserve"> </w:t>
      </w:r>
    </w:p>
    <w:p w:rsidR="006D43AC" w:rsidRPr="00A9164B" w:rsidRDefault="006D43AC" w:rsidP="00510767">
      <w:pPr>
        <w:pStyle w:val="Odstavecseseznamem"/>
        <w:spacing w:after="0"/>
        <w:ind w:left="0"/>
        <w:rPr>
          <w:rFonts w:cs="Arial"/>
          <w:vanish/>
          <w:szCs w:val="22"/>
        </w:rPr>
      </w:pPr>
    </w:p>
    <w:p w:rsidR="006D43AC" w:rsidRDefault="00814E60" w:rsidP="00510767">
      <w:pPr>
        <w:pStyle w:val="Nadpis2"/>
        <w:spacing w:before="0" w:after="120"/>
      </w:pPr>
      <w:r>
        <w:t xml:space="preserve">6.1 </w:t>
      </w:r>
      <w:r w:rsidR="006D43AC" w:rsidRPr="00443EDF">
        <w:t>Nastavení</w:t>
      </w:r>
      <w:r w:rsidR="006D43AC">
        <w:t xml:space="preserve"> cílů, jejich plnění a vyhodnocení</w:t>
      </w:r>
    </w:p>
    <w:p w:rsidR="002F4882" w:rsidRPr="002E60E7" w:rsidRDefault="006D43AC" w:rsidP="00510767">
      <w:pPr>
        <w:spacing w:after="0"/>
        <w:rPr>
          <w:szCs w:val="22"/>
        </w:rPr>
      </w:pPr>
      <w:r w:rsidRPr="00FA3985">
        <w:rPr>
          <w:rFonts w:cs="Arial"/>
          <w:szCs w:val="22"/>
        </w:rPr>
        <w:t xml:space="preserve">Cíle </w:t>
      </w:r>
      <w:r>
        <w:rPr>
          <w:rFonts w:cs="Arial"/>
          <w:szCs w:val="22"/>
        </w:rPr>
        <w:t xml:space="preserve">modulu </w:t>
      </w:r>
      <w:r w:rsidRPr="00FA3985">
        <w:rPr>
          <w:rFonts w:cs="Arial"/>
          <w:szCs w:val="22"/>
        </w:rPr>
        <w:t xml:space="preserve">e-tržišť nastavilo MMR téměř shodně </w:t>
      </w:r>
      <w:r w:rsidRPr="00362970">
        <w:rPr>
          <w:rFonts w:cs="Arial"/>
          <w:szCs w:val="22"/>
        </w:rPr>
        <w:t xml:space="preserve">s cíli projektu NIPEZ. Hlavním cílem </w:t>
      </w:r>
      <w:r w:rsidR="00B24FE1">
        <w:rPr>
          <w:rFonts w:cs="Arial"/>
          <w:szCs w:val="22"/>
        </w:rPr>
        <w:t xml:space="preserve">tohoto </w:t>
      </w:r>
      <w:r>
        <w:rPr>
          <w:rFonts w:cs="Arial"/>
          <w:szCs w:val="22"/>
        </w:rPr>
        <w:t xml:space="preserve">modulu </w:t>
      </w:r>
      <w:r w:rsidR="0052001D">
        <w:rPr>
          <w:rFonts w:cs="Arial"/>
          <w:szCs w:val="22"/>
        </w:rPr>
        <w:t xml:space="preserve">bylo </w:t>
      </w:r>
      <w:r w:rsidRPr="00362970">
        <w:rPr>
          <w:rFonts w:cs="Arial"/>
          <w:szCs w:val="22"/>
        </w:rPr>
        <w:t xml:space="preserve">dosažení finančních úspor elektronizací zadávání </w:t>
      </w:r>
      <w:r w:rsidR="00264C38">
        <w:rPr>
          <w:rFonts w:cs="Arial"/>
          <w:szCs w:val="22"/>
        </w:rPr>
        <w:t>VZ</w:t>
      </w:r>
      <w:r w:rsidRPr="00362970">
        <w:rPr>
          <w:rFonts w:cs="Arial"/>
          <w:szCs w:val="22"/>
        </w:rPr>
        <w:t xml:space="preserve"> </w:t>
      </w:r>
      <w:r w:rsidR="002C671F">
        <w:rPr>
          <w:rFonts w:cs="Arial"/>
          <w:szCs w:val="22"/>
        </w:rPr>
        <w:t>v </w:t>
      </w:r>
      <w:r w:rsidRPr="00362970">
        <w:rPr>
          <w:rFonts w:cs="Arial"/>
          <w:szCs w:val="22"/>
        </w:rPr>
        <w:t>České republice zavedením e-tržišť</w:t>
      </w:r>
      <w:r w:rsidR="005F0B51">
        <w:rPr>
          <w:rFonts w:cs="Arial"/>
          <w:szCs w:val="22"/>
        </w:rPr>
        <w:t xml:space="preserve">. </w:t>
      </w:r>
      <w:r w:rsidR="006C6594">
        <w:rPr>
          <w:rFonts w:cs="Arial"/>
          <w:szCs w:val="22"/>
        </w:rPr>
        <w:t>Výsledkem mělo být</w:t>
      </w:r>
      <w:r w:rsidRPr="00362970">
        <w:rPr>
          <w:rFonts w:cs="Arial"/>
          <w:szCs w:val="22"/>
        </w:rPr>
        <w:t xml:space="preserve"> snížení cen nakupovaných komodit a snížení t</w:t>
      </w:r>
      <w:r w:rsidR="00E72F2D">
        <w:rPr>
          <w:rFonts w:cs="Arial"/>
          <w:szCs w:val="22"/>
        </w:rPr>
        <w:t>ransakčních nákladů spojených s </w:t>
      </w:r>
      <w:r w:rsidRPr="00362970">
        <w:rPr>
          <w:rFonts w:cs="Arial"/>
          <w:szCs w:val="22"/>
        </w:rPr>
        <w:t>procesy zadávání VZ na straně zadavatelů</w:t>
      </w:r>
      <w:r w:rsidRPr="00E23771">
        <w:rPr>
          <w:rFonts w:cs="Arial"/>
          <w:szCs w:val="22"/>
        </w:rPr>
        <w:t xml:space="preserve"> i dodavatelů</w:t>
      </w:r>
      <w:r w:rsidR="00165079">
        <w:rPr>
          <w:rFonts w:cs="Arial"/>
          <w:szCs w:val="22"/>
        </w:rPr>
        <w:t>.</w:t>
      </w:r>
      <w:r w:rsidR="002F4882">
        <w:rPr>
          <w:szCs w:val="22"/>
        </w:rPr>
        <w:t xml:space="preserve"> </w:t>
      </w:r>
      <w:r w:rsidR="002F4882">
        <w:t>Snížením cen nakupovaných komodit by mělo být dosaženo roční úspory 1,2</w:t>
      </w:r>
      <w:r w:rsidR="009E517A">
        <w:t> </w:t>
      </w:r>
      <w:r w:rsidR="002F4882">
        <w:t>mld.</w:t>
      </w:r>
      <w:r w:rsidR="009E517A">
        <w:t> </w:t>
      </w:r>
      <w:r w:rsidR="002F4882">
        <w:t>Kč za Etapu 1 a 2,1</w:t>
      </w:r>
      <w:r w:rsidR="009E517A">
        <w:t> </w:t>
      </w:r>
      <w:r w:rsidR="002F4882">
        <w:t>mld.</w:t>
      </w:r>
      <w:r w:rsidR="009E517A">
        <w:t> </w:t>
      </w:r>
      <w:r w:rsidR="002F4882">
        <w:t>Kč za Etapu 2, snížení</w:t>
      </w:r>
      <w:r w:rsidR="00A11304">
        <w:t>m</w:t>
      </w:r>
      <w:r w:rsidR="002F4882">
        <w:t xml:space="preserve"> transakčních nákladů pak 178</w:t>
      </w:r>
      <w:r w:rsidR="009E517A">
        <w:t> </w:t>
      </w:r>
      <w:r w:rsidR="002F4882">
        <w:t>mil.</w:t>
      </w:r>
      <w:r w:rsidR="009E517A">
        <w:t> </w:t>
      </w:r>
      <w:r w:rsidR="002F4882">
        <w:t>Kč za Etapu 1 a 335</w:t>
      </w:r>
      <w:r w:rsidR="009E517A">
        <w:t> </w:t>
      </w:r>
      <w:r w:rsidR="002F4882">
        <w:t>mil.</w:t>
      </w:r>
      <w:r w:rsidR="009E517A">
        <w:t> </w:t>
      </w:r>
      <w:r w:rsidR="002F4882">
        <w:t>Kč za</w:t>
      </w:r>
      <w:r w:rsidR="009E517A">
        <w:t xml:space="preserve"> </w:t>
      </w:r>
      <w:r w:rsidR="002F4882">
        <w:t>Etapu</w:t>
      </w:r>
      <w:r w:rsidR="00A11304">
        <w:t> </w:t>
      </w:r>
      <w:r w:rsidR="002F4882">
        <w:t>2</w:t>
      </w:r>
      <w:r w:rsidR="00BC4089">
        <w:t>.</w:t>
      </w:r>
      <w:r w:rsidR="002F4882">
        <w:rPr>
          <w:rStyle w:val="Znakapoznpodarou"/>
          <w:szCs w:val="22"/>
        </w:rPr>
        <w:footnoteReference w:id="22"/>
      </w:r>
    </w:p>
    <w:p w:rsidR="001066B6" w:rsidRDefault="001066B6" w:rsidP="00510767">
      <w:pPr>
        <w:spacing w:after="0"/>
        <w:rPr>
          <w:rFonts w:cs="Arial"/>
          <w:szCs w:val="22"/>
        </w:rPr>
      </w:pPr>
    </w:p>
    <w:p w:rsidR="006D43AC" w:rsidRDefault="006D43AC" w:rsidP="00510767">
      <w:pPr>
        <w:spacing w:after="0"/>
        <w:rPr>
          <w:rFonts w:cs="Arial"/>
          <w:szCs w:val="22"/>
        </w:rPr>
      </w:pPr>
      <w:r w:rsidRPr="00995A94">
        <w:rPr>
          <w:rFonts w:cs="Arial"/>
          <w:szCs w:val="22"/>
        </w:rPr>
        <w:t xml:space="preserve">V souvislosti se zavedením e-tržišť nastavilo </w:t>
      </w:r>
      <w:r w:rsidR="00FE6CAB" w:rsidRPr="00995A94">
        <w:rPr>
          <w:rFonts w:cs="Arial"/>
          <w:szCs w:val="22"/>
        </w:rPr>
        <w:t xml:space="preserve">MMR </w:t>
      </w:r>
      <w:r w:rsidRPr="00995A94">
        <w:rPr>
          <w:rFonts w:cs="Arial"/>
          <w:szCs w:val="22"/>
        </w:rPr>
        <w:t>taktéž</w:t>
      </w:r>
      <w:r>
        <w:rPr>
          <w:rFonts w:cs="Arial"/>
          <w:szCs w:val="22"/>
        </w:rPr>
        <w:t xml:space="preserve"> dílčí cíle projektu. </w:t>
      </w:r>
      <w:r w:rsidR="00B24FE1">
        <w:rPr>
          <w:rFonts w:cs="Arial"/>
          <w:szCs w:val="22"/>
        </w:rPr>
        <w:t>Jednalo se zejména o podporu transparentnosti zadávání VZ, zvýšení konkurenčního prostředí mezi</w:t>
      </w:r>
      <w:r w:rsidR="00E72F2D">
        <w:rPr>
          <w:rFonts w:cs="Arial"/>
          <w:szCs w:val="22"/>
        </w:rPr>
        <w:t xml:space="preserve"> dodavateli či o </w:t>
      </w:r>
      <w:r w:rsidR="00B24FE1">
        <w:rPr>
          <w:rFonts w:cs="Arial"/>
          <w:szCs w:val="22"/>
        </w:rPr>
        <w:t>zavedení ucelenější evidence VZ za účelem analytických a statistických hodnocení.</w:t>
      </w:r>
      <w:r w:rsidRPr="00E23771">
        <w:rPr>
          <w:rFonts w:cs="Arial"/>
          <w:szCs w:val="22"/>
        </w:rPr>
        <w:t xml:space="preserve"> </w:t>
      </w:r>
    </w:p>
    <w:p w:rsidR="001066B6" w:rsidRPr="00FF1D6B" w:rsidRDefault="001066B6" w:rsidP="00510767">
      <w:pPr>
        <w:spacing w:after="0"/>
        <w:rPr>
          <w:rFonts w:cs="Arial"/>
          <w:szCs w:val="22"/>
        </w:rPr>
      </w:pPr>
    </w:p>
    <w:p w:rsidR="00751CC4" w:rsidRDefault="006D43AC" w:rsidP="00510767">
      <w:pPr>
        <w:spacing w:after="0"/>
        <w:rPr>
          <w:rFonts w:cs="Arial"/>
          <w:szCs w:val="22"/>
        </w:rPr>
      </w:pPr>
      <w:r w:rsidRPr="00C85308">
        <w:rPr>
          <w:rFonts w:cs="Arial"/>
          <w:b/>
          <w:szCs w:val="22"/>
        </w:rPr>
        <w:t xml:space="preserve">V prvním roce </w:t>
      </w:r>
      <w:r w:rsidR="006D0D0E">
        <w:rPr>
          <w:rFonts w:cs="Arial"/>
          <w:b/>
          <w:szCs w:val="22"/>
        </w:rPr>
        <w:t>provozu</w:t>
      </w:r>
      <w:r w:rsidR="006D0D0E" w:rsidRPr="00C85308">
        <w:rPr>
          <w:rFonts w:cs="Arial"/>
          <w:b/>
          <w:szCs w:val="22"/>
        </w:rPr>
        <w:t xml:space="preserve"> </w:t>
      </w:r>
      <w:r w:rsidRPr="00C85308">
        <w:rPr>
          <w:rFonts w:cs="Arial"/>
          <w:b/>
          <w:szCs w:val="22"/>
        </w:rPr>
        <w:t xml:space="preserve">e-tržišť neprovádělo </w:t>
      </w:r>
      <w:r w:rsidR="00FE6CAB" w:rsidRPr="00C85308">
        <w:rPr>
          <w:rFonts w:cs="Arial"/>
          <w:b/>
          <w:szCs w:val="22"/>
        </w:rPr>
        <w:t xml:space="preserve">MMR </w:t>
      </w:r>
      <w:r w:rsidRPr="00C85308">
        <w:rPr>
          <w:rFonts w:cs="Arial"/>
          <w:b/>
          <w:szCs w:val="22"/>
        </w:rPr>
        <w:t xml:space="preserve">měření a hodnocení hlavního </w:t>
      </w:r>
      <w:r w:rsidR="00FE6CAB">
        <w:rPr>
          <w:rFonts w:cs="Arial"/>
          <w:b/>
          <w:szCs w:val="22"/>
        </w:rPr>
        <w:t xml:space="preserve">cíle </w:t>
      </w:r>
      <w:r w:rsidR="00006FB2">
        <w:rPr>
          <w:rFonts w:cs="Arial"/>
          <w:b/>
          <w:szCs w:val="22"/>
        </w:rPr>
        <w:t>ani</w:t>
      </w:r>
      <w:r w:rsidR="00006FB2" w:rsidRPr="00C85308">
        <w:rPr>
          <w:rFonts w:cs="Arial"/>
          <w:b/>
          <w:szCs w:val="22"/>
        </w:rPr>
        <w:t xml:space="preserve"> </w:t>
      </w:r>
      <w:r w:rsidRPr="00C85308">
        <w:rPr>
          <w:rFonts w:cs="Arial"/>
          <w:b/>
          <w:szCs w:val="22"/>
        </w:rPr>
        <w:t>dílčích cílů</w:t>
      </w:r>
      <w:r w:rsidR="0052001D">
        <w:rPr>
          <w:rFonts w:cs="Arial"/>
          <w:b/>
          <w:szCs w:val="22"/>
        </w:rPr>
        <w:t xml:space="preserve">. MMR svůj postup odůvodnilo tím, že </w:t>
      </w:r>
      <w:r w:rsidRPr="00C85308">
        <w:rPr>
          <w:rFonts w:cs="Arial"/>
          <w:b/>
          <w:szCs w:val="22"/>
        </w:rPr>
        <w:t xml:space="preserve">projekt </w:t>
      </w:r>
      <w:r w:rsidR="0052001D">
        <w:rPr>
          <w:rFonts w:cs="Arial"/>
          <w:b/>
          <w:szCs w:val="22"/>
        </w:rPr>
        <w:t xml:space="preserve">není </w:t>
      </w:r>
      <w:r w:rsidRPr="00C85308">
        <w:rPr>
          <w:rFonts w:cs="Arial"/>
          <w:b/>
          <w:szCs w:val="22"/>
        </w:rPr>
        <w:t xml:space="preserve">v současné chvíli ukončen a jeho hodnocení by nepřineslo validní </w:t>
      </w:r>
      <w:r w:rsidRPr="00751CC4">
        <w:rPr>
          <w:rFonts w:cs="Arial"/>
          <w:b/>
          <w:szCs w:val="22"/>
        </w:rPr>
        <w:t xml:space="preserve">výsledky. </w:t>
      </w:r>
      <w:r w:rsidR="00824EF4" w:rsidRPr="008875A3">
        <w:rPr>
          <w:b/>
        </w:rPr>
        <w:t xml:space="preserve">NKÚ zjistil, že </w:t>
      </w:r>
      <w:r w:rsidR="002C671F">
        <w:rPr>
          <w:rFonts w:cs="Arial"/>
          <w:b/>
          <w:szCs w:val="22"/>
        </w:rPr>
        <w:t>k </w:t>
      </w:r>
      <w:r w:rsidRPr="008875A3">
        <w:rPr>
          <w:rFonts w:cs="Arial"/>
          <w:b/>
          <w:szCs w:val="22"/>
        </w:rPr>
        <w:t>vyžadování součinnosti ostatních ÚOSS pro účely hodnocení hlavního cíle nemá MMR dostatečné pravomoci.</w:t>
      </w:r>
      <w:r>
        <w:rPr>
          <w:rFonts w:cs="Arial"/>
          <w:szCs w:val="22"/>
        </w:rPr>
        <w:t xml:space="preserve"> </w:t>
      </w:r>
    </w:p>
    <w:p w:rsidR="001066B6" w:rsidRDefault="001066B6" w:rsidP="00510767">
      <w:pPr>
        <w:spacing w:after="0"/>
        <w:rPr>
          <w:rFonts w:cs="Arial"/>
          <w:szCs w:val="22"/>
        </w:rPr>
      </w:pPr>
    </w:p>
    <w:p w:rsidR="006D43AC" w:rsidRDefault="001650E1" w:rsidP="00510767">
      <w:pPr>
        <w:spacing w:after="0"/>
        <w:rPr>
          <w:rFonts w:cs="Arial"/>
          <w:b/>
          <w:szCs w:val="22"/>
        </w:rPr>
      </w:pPr>
      <w:r>
        <w:rPr>
          <w:rFonts w:cs="Arial"/>
          <w:szCs w:val="22"/>
        </w:rPr>
        <w:t xml:space="preserve">Dle </w:t>
      </w:r>
      <w:r w:rsidR="0097566F">
        <w:rPr>
          <w:rFonts w:cs="Arial"/>
          <w:szCs w:val="22"/>
        </w:rPr>
        <w:t>UV</w:t>
      </w:r>
      <w:r w:rsidR="006D43AC">
        <w:rPr>
          <w:rFonts w:cs="Arial"/>
          <w:szCs w:val="22"/>
        </w:rPr>
        <w:t xml:space="preserve"> </w:t>
      </w:r>
      <w:r w:rsidR="00FE6CAB">
        <w:rPr>
          <w:rFonts w:cs="Arial"/>
          <w:szCs w:val="22"/>
        </w:rPr>
        <w:t xml:space="preserve">ze dne 10. 5. 2010 </w:t>
      </w:r>
      <w:r w:rsidR="00264CAF">
        <w:rPr>
          <w:rFonts w:cs="Arial"/>
          <w:szCs w:val="22"/>
        </w:rPr>
        <w:t xml:space="preserve">č. 343 </w:t>
      </w:r>
      <w:r w:rsidR="006D43AC">
        <w:rPr>
          <w:rFonts w:cs="Arial"/>
          <w:szCs w:val="22"/>
        </w:rPr>
        <w:t xml:space="preserve">má MMR každoročně </w:t>
      </w:r>
      <w:r w:rsidR="00FE6CAB">
        <w:rPr>
          <w:rFonts w:cs="Arial"/>
          <w:szCs w:val="22"/>
        </w:rPr>
        <w:t>vy</w:t>
      </w:r>
      <w:r w:rsidR="006D43AC">
        <w:rPr>
          <w:rFonts w:cs="Arial"/>
          <w:szCs w:val="22"/>
        </w:rPr>
        <w:t xml:space="preserve">pracovat zprávu o fungování e-tržišť. </w:t>
      </w:r>
      <w:r>
        <w:rPr>
          <w:rFonts w:cs="Arial"/>
          <w:szCs w:val="22"/>
        </w:rPr>
        <w:t xml:space="preserve">První zprávu MMR vydalo za rok 2012. Hodnotilo v ní prvních šest měsíců </w:t>
      </w:r>
      <w:r w:rsidR="006D0D0E">
        <w:rPr>
          <w:rFonts w:cs="Arial"/>
          <w:szCs w:val="22"/>
        </w:rPr>
        <w:t xml:space="preserve">provozu </w:t>
      </w:r>
      <w:r>
        <w:rPr>
          <w:rFonts w:cs="Arial"/>
          <w:szCs w:val="22"/>
        </w:rPr>
        <w:t>e-tržišť a</w:t>
      </w:r>
      <w:r w:rsidR="00FE6CAB">
        <w:rPr>
          <w:rFonts w:cs="Arial"/>
          <w:szCs w:val="22"/>
        </w:rPr>
        <w:t> </w:t>
      </w:r>
      <w:r>
        <w:rPr>
          <w:rFonts w:cs="Arial"/>
          <w:szCs w:val="22"/>
        </w:rPr>
        <w:t>uvádělo v ní zejména statistické údaje bez průběžné</w:t>
      </w:r>
      <w:r w:rsidR="00FE6CAB">
        <w:rPr>
          <w:rFonts w:cs="Arial"/>
          <w:szCs w:val="22"/>
        </w:rPr>
        <w:t>ho</w:t>
      </w:r>
      <w:r w:rsidR="006D43AC">
        <w:rPr>
          <w:rFonts w:cs="Arial"/>
          <w:szCs w:val="22"/>
        </w:rPr>
        <w:t xml:space="preserve"> hodnocení </w:t>
      </w:r>
      <w:r w:rsidR="00FE6CAB">
        <w:rPr>
          <w:rFonts w:cs="Arial"/>
          <w:szCs w:val="22"/>
        </w:rPr>
        <w:t xml:space="preserve">plnění </w:t>
      </w:r>
      <w:r w:rsidR="006D43AC">
        <w:rPr>
          <w:rFonts w:cs="Arial"/>
          <w:szCs w:val="22"/>
        </w:rPr>
        <w:t>cílů.</w:t>
      </w:r>
      <w:r w:rsidR="006D43AC">
        <w:rPr>
          <w:rFonts w:ascii="Times New Roman" w:eastAsiaTheme="minorHAnsi" w:hAnsi="Times New Roman"/>
          <w:sz w:val="24"/>
          <w:lang w:eastAsia="cs-CZ"/>
        </w:rPr>
        <w:t xml:space="preserve"> </w:t>
      </w:r>
      <w:r w:rsidR="00824EF4">
        <w:rPr>
          <w:rFonts w:cs="Arial"/>
          <w:b/>
          <w:szCs w:val="22"/>
        </w:rPr>
        <w:t xml:space="preserve">Pro vyhodnocení cílů </w:t>
      </w:r>
      <w:r w:rsidR="00824EF4" w:rsidRPr="00C85308">
        <w:rPr>
          <w:rFonts w:cs="Arial"/>
          <w:b/>
          <w:szCs w:val="22"/>
        </w:rPr>
        <w:t>po ukončen</w:t>
      </w:r>
      <w:r w:rsidR="007F5F7B">
        <w:rPr>
          <w:rFonts w:cs="Arial"/>
          <w:b/>
          <w:szCs w:val="22"/>
        </w:rPr>
        <w:t xml:space="preserve">í projektu NIPEZ nemá </w:t>
      </w:r>
      <w:r w:rsidR="00B1600D">
        <w:rPr>
          <w:rFonts w:cs="Arial"/>
          <w:b/>
          <w:szCs w:val="22"/>
        </w:rPr>
        <w:t xml:space="preserve">MMR </w:t>
      </w:r>
      <w:r w:rsidR="007F5F7B">
        <w:rPr>
          <w:rFonts w:cs="Arial"/>
          <w:b/>
          <w:szCs w:val="22"/>
        </w:rPr>
        <w:t>nastaven</w:t>
      </w:r>
      <w:r w:rsidR="00824EF4" w:rsidRPr="00C85308">
        <w:rPr>
          <w:rFonts w:cs="Arial"/>
          <w:b/>
          <w:szCs w:val="22"/>
        </w:rPr>
        <w:t xml:space="preserve"> </w:t>
      </w:r>
      <w:r w:rsidR="007F5F7B">
        <w:rPr>
          <w:rFonts w:cs="Arial"/>
          <w:b/>
          <w:szCs w:val="22"/>
        </w:rPr>
        <w:t>postup získávání relevantních dat</w:t>
      </w:r>
      <w:r w:rsidR="007F5F7B" w:rsidRPr="00C85308">
        <w:rPr>
          <w:rFonts w:cs="Arial"/>
          <w:b/>
          <w:szCs w:val="22"/>
        </w:rPr>
        <w:t xml:space="preserve"> </w:t>
      </w:r>
      <w:r w:rsidR="00BC4089">
        <w:rPr>
          <w:rFonts w:cs="Arial"/>
          <w:b/>
          <w:szCs w:val="22"/>
        </w:rPr>
        <w:t>a</w:t>
      </w:r>
      <w:r w:rsidR="00FE6CAB">
        <w:rPr>
          <w:rFonts w:cs="Arial"/>
          <w:b/>
          <w:szCs w:val="22"/>
        </w:rPr>
        <w:t xml:space="preserve">ni </w:t>
      </w:r>
      <w:r w:rsidR="00824EF4" w:rsidRPr="00C85308">
        <w:rPr>
          <w:rFonts w:cs="Arial"/>
          <w:b/>
          <w:szCs w:val="22"/>
        </w:rPr>
        <w:t>metodiku</w:t>
      </w:r>
      <w:r w:rsidR="00824EF4">
        <w:rPr>
          <w:rFonts w:cs="Arial"/>
          <w:b/>
          <w:szCs w:val="22"/>
        </w:rPr>
        <w:t xml:space="preserve"> hodnocení</w:t>
      </w:r>
      <w:r w:rsidR="00DF678D">
        <w:rPr>
          <w:rFonts w:cs="Arial"/>
          <w:b/>
          <w:szCs w:val="22"/>
        </w:rPr>
        <w:t>.</w:t>
      </w:r>
    </w:p>
    <w:p w:rsidR="001066B6" w:rsidRDefault="001066B6" w:rsidP="00510767">
      <w:pPr>
        <w:spacing w:after="0"/>
        <w:rPr>
          <w:rFonts w:ascii="Times New Roman" w:eastAsiaTheme="minorHAnsi" w:hAnsi="Times New Roman"/>
          <w:sz w:val="24"/>
          <w:lang w:eastAsia="cs-CZ"/>
        </w:rPr>
      </w:pPr>
    </w:p>
    <w:p w:rsidR="001650E1" w:rsidRDefault="001650E1" w:rsidP="00510767">
      <w:pPr>
        <w:spacing w:after="0"/>
        <w:rPr>
          <w:rFonts w:cs="Arial"/>
          <w:szCs w:val="22"/>
        </w:rPr>
      </w:pPr>
      <w:r>
        <w:rPr>
          <w:rFonts w:cs="Arial"/>
          <w:szCs w:val="22"/>
        </w:rPr>
        <w:t xml:space="preserve">Studie proveditelnosti </w:t>
      </w:r>
      <w:r w:rsidR="00FE6CAB">
        <w:rPr>
          <w:rFonts w:cs="Arial"/>
          <w:szCs w:val="22"/>
        </w:rPr>
        <w:t xml:space="preserve">projektu </w:t>
      </w:r>
      <w:r>
        <w:rPr>
          <w:rFonts w:cs="Arial"/>
          <w:szCs w:val="22"/>
        </w:rPr>
        <w:t xml:space="preserve">NIPEZ </w:t>
      </w:r>
      <w:r w:rsidR="00FE6CAB" w:rsidRPr="001650E1">
        <w:rPr>
          <w:rFonts w:cs="Arial"/>
          <w:szCs w:val="22"/>
        </w:rPr>
        <w:t>odhad</w:t>
      </w:r>
      <w:r w:rsidR="00FE6CAB">
        <w:rPr>
          <w:rFonts w:cs="Arial"/>
          <w:szCs w:val="22"/>
        </w:rPr>
        <w:t xml:space="preserve">ovala </w:t>
      </w:r>
      <w:r>
        <w:rPr>
          <w:rFonts w:cs="Arial"/>
          <w:szCs w:val="22"/>
        </w:rPr>
        <w:t>ú</w:t>
      </w:r>
      <w:r w:rsidRPr="001650E1">
        <w:rPr>
          <w:rFonts w:cs="Arial"/>
          <w:szCs w:val="22"/>
        </w:rPr>
        <w:t>spor</w:t>
      </w:r>
      <w:r>
        <w:rPr>
          <w:rFonts w:cs="Arial"/>
          <w:szCs w:val="22"/>
        </w:rPr>
        <w:t>u</w:t>
      </w:r>
      <w:r w:rsidRPr="001650E1">
        <w:rPr>
          <w:rFonts w:cs="Arial"/>
          <w:szCs w:val="22"/>
        </w:rPr>
        <w:t xml:space="preserve"> transakčních nákladů </w:t>
      </w:r>
      <w:r w:rsidR="002C671F">
        <w:rPr>
          <w:rFonts w:cs="Arial"/>
          <w:szCs w:val="22"/>
        </w:rPr>
        <w:t>v </w:t>
      </w:r>
      <w:r w:rsidRPr="001650E1">
        <w:rPr>
          <w:rFonts w:cs="Arial"/>
          <w:szCs w:val="22"/>
        </w:rPr>
        <w:t>rozsahu 2</w:t>
      </w:r>
      <w:r w:rsidR="00FE6CAB">
        <w:rPr>
          <w:rFonts w:cs="Arial"/>
          <w:szCs w:val="22"/>
        </w:rPr>
        <w:t> </w:t>
      </w:r>
      <w:r w:rsidRPr="001650E1">
        <w:rPr>
          <w:rFonts w:cs="Arial"/>
          <w:szCs w:val="22"/>
        </w:rPr>
        <w:t>% finančního objemu podlimitních veřejných zakázek a 1</w:t>
      </w:r>
      <w:r w:rsidR="00FE6CAB">
        <w:rPr>
          <w:rFonts w:cs="Arial"/>
          <w:szCs w:val="22"/>
        </w:rPr>
        <w:t> </w:t>
      </w:r>
      <w:r w:rsidRPr="001650E1">
        <w:rPr>
          <w:rFonts w:cs="Arial"/>
          <w:szCs w:val="22"/>
        </w:rPr>
        <w:t xml:space="preserve">% finančního objemu </w:t>
      </w:r>
      <w:r w:rsidR="00264C38">
        <w:rPr>
          <w:rFonts w:cs="Arial"/>
          <w:szCs w:val="22"/>
        </w:rPr>
        <w:t xml:space="preserve">u </w:t>
      </w:r>
      <w:r w:rsidRPr="001650E1">
        <w:rPr>
          <w:rFonts w:cs="Arial"/>
          <w:szCs w:val="22"/>
        </w:rPr>
        <w:t>VZMR.</w:t>
      </w:r>
      <w:r>
        <w:rPr>
          <w:rFonts w:cs="Arial"/>
          <w:szCs w:val="22"/>
        </w:rPr>
        <w:t xml:space="preserve"> MMR v průběhu kontroly vyčíslení těchto úspor nepředložilo</w:t>
      </w:r>
      <w:r w:rsidR="00751CC4">
        <w:rPr>
          <w:rFonts w:cs="Arial"/>
          <w:szCs w:val="22"/>
        </w:rPr>
        <w:t>.</w:t>
      </w:r>
      <w:r w:rsidR="00A4593E">
        <w:rPr>
          <w:rFonts w:cs="Arial"/>
          <w:szCs w:val="22"/>
        </w:rPr>
        <w:t xml:space="preserve"> </w:t>
      </w:r>
      <w:r w:rsidR="00751CC4">
        <w:rPr>
          <w:rFonts w:cs="Arial"/>
          <w:szCs w:val="22"/>
        </w:rPr>
        <w:t>D</w:t>
      </w:r>
      <w:r w:rsidR="00A4593E">
        <w:rPr>
          <w:rFonts w:cs="Arial"/>
          <w:szCs w:val="22"/>
        </w:rPr>
        <w:t>ůvodem byl</w:t>
      </w:r>
      <w:r>
        <w:rPr>
          <w:rFonts w:cs="Arial"/>
          <w:szCs w:val="22"/>
        </w:rPr>
        <w:t xml:space="preserve"> nedostatek údajů od zadavatelů. </w:t>
      </w:r>
      <w:r w:rsidR="00B715D3">
        <w:rPr>
          <w:rFonts w:cs="Arial"/>
          <w:szCs w:val="22"/>
        </w:rPr>
        <w:t>Na základě dotazů NKÚ všechny k</w:t>
      </w:r>
      <w:r w:rsidR="00824EF4">
        <w:rPr>
          <w:rFonts w:cs="Arial"/>
          <w:szCs w:val="22"/>
        </w:rPr>
        <w:t xml:space="preserve">ontrolované osoby uvedly, </w:t>
      </w:r>
      <w:r w:rsidR="00824EF4" w:rsidRPr="001650E1">
        <w:rPr>
          <w:rFonts w:cs="Arial"/>
          <w:szCs w:val="22"/>
        </w:rPr>
        <w:t xml:space="preserve">že nákupem přes </w:t>
      </w:r>
      <w:r w:rsidR="00A22114">
        <w:rPr>
          <w:rFonts w:cs="Arial"/>
          <w:szCs w:val="22"/>
        </w:rPr>
        <w:br/>
      </w:r>
      <w:r w:rsidR="00824EF4" w:rsidRPr="001650E1">
        <w:rPr>
          <w:rFonts w:cs="Arial"/>
          <w:szCs w:val="22"/>
        </w:rPr>
        <w:t>e-tržiště neuspořil</w:t>
      </w:r>
      <w:r w:rsidR="006436AF">
        <w:rPr>
          <w:rFonts w:cs="Arial"/>
          <w:szCs w:val="22"/>
        </w:rPr>
        <w:t>y</w:t>
      </w:r>
      <w:r w:rsidR="00824EF4" w:rsidRPr="001650E1">
        <w:rPr>
          <w:rFonts w:cs="Arial"/>
          <w:szCs w:val="22"/>
        </w:rPr>
        <w:t xml:space="preserve"> personální </w:t>
      </w:r>
      <w:r w:rsidR="00FE6CAB">
        <w:rPr>
          <w:rFonts w:cs="Arial"/>
          <w:szCs w:val="22"/>
        </w:rPr>
        <w:t>ani</w:t>
      </w:r>
      <w:r w:rsidR="00824EF4" w:rsidRPr="001650E1">
        <w:rPr>
          <w:rFonts w:cs="Arial"/>
          <w:szCs w:val="22"/>
        </w:rPr>
        <w:t xml:space="preserve"> materiální výdaje</w:t>
      </w:r>
      <w:r w:rsidR="00165079">
        <w:rPr>
          <w:rFonts w:cs="Arial"/>
          <w:szCs w:val="22"/>
        </w:rPr>
        <w:t>.</w:t>
      </w:r>
      <w:r w:rsidR="00824EF4" w:rsidRPr="001650E1">
        <w:rPr>
          <w:rFonts w:cs="Arial"/>
          <w:szCs w:val="22"/>
        </w:rPr>
        <w:t xml:space="preserve"> </w:t>
      </w:r>
      <w:r w:rsidR="00165079">
        <w:rPr>
          <w:rFonts w:cs="Arial"/>
          <w:szCs w:val="22"/>
        </w:rPr>
        <w:t>V</w:t>
      </w:r>
      <w:r w:rsidR="00383F2A" w:rsidRPr="001650E1">
        <w:rPr>
          <w:rFonts w:cs="Arial"/>
          <w:szCs w:val="22"/>
        </w:rPr>
        <w:t>ýrazných úspor snížením transakčních nákladů</w:t>
      </w:r>
      <w:r w:rsidRPr="001650E1">
        <w:rPr>
          <w:rFonts w:cs="Arial"/>
          <w:szCs w:val="22"/>
        </w:rPr>
        <w:t xml:space="preserve"> </w:t>
      </w:r>
      <w:r w:rsidR="00B715D3">
        <w:rPr>
          <w:rFonts w:cs="Arial"/>
          <w:szCs w:val="22"/>
        </w:rPr>
        <w:t xml:space="preserve">tak </w:t>
      </w:r>
      <w:r w:rsidR="00824EF4" w:rsidRPr="001650E1">
        <w:rPr>
          <w:rFonts w:cs="Arial"/>
          <w:szCs w:val="22"/>
        </w:rPr>
        <w:t xml:space="preserve">dosaženo </w:t>
      </w:r>
      <w:r w:rsidRPr="001650E1">
        <w:rPr>
          <w:rFonts w:cs="Arial"/>
          <w:szCs w:val="22"/>
        </w:rPr>
        <w:t>nebylo</w:t>
      </w:r>
      <w:r w:rsidR="00824EF4">
        <w:rPr>
          <w:rFonts w:cs="Arial"/>
          <w:szCs w:val="22"/>
        </w:rPr>
        <w:t>.</w:t>
      </w:r>
      <w:r w:rsidRPr="001650E1">
        <w:rPr>
          <w:rFonts w:cs="Arial"/>
          <w:szCs w:val="22"/>
        </w:rPr>
        <w:t xml:space="preserve"> </w:t>
      </w:r>
    </w:p>
    <w:p w:rsidR="001066B6" w:rsidRPr="001650E1" w:rsidRDefault="001066B6" w:rsidP="00510767">
      <w:pPr>
        <w:spacing w:after="0"/>
        <w:rPr>
          <w:rFonts w:cs="Arial"/>
          <w:szCs w:val="22"/>
        </w:rPr>
      </w:pPr>
    </w:p>
    <w:p w:rsidR="006D43AC" w:rsidRDefault="002C671F" w:rsidP="00510767">
      <w:pPr>
        <w:spacing w:after="0"/>
        <w:rPr>
          <w:rFonts w:cs="Arial"/>
          <w:szCs w:val="22"/>
        </w:rPr>
      </w:pPr>
      <w:r>
        <w:rPr>
          <w:rFonts w:cs="Arial"/>
          <w:szCs w:val="22"/>
        </w:rPr>
        <w:t>Z </w:t>
      </w:r>
      <w:r w:rsidR="006D43AC">
        <w:rPr>
          <w:rFonts w:cs="Arial"/>
          <w:szCs w:val="22"/>
        </w:rPr>
        <w:t xml:space="preserve">datasetu </w:t>
      </w:r>
      <w:r w:rsidR="007E7767">
        <w:rPr>
          <w:rFonts w:cs="Arial"/>
          <w:szCs w:val="22"/>
        </w:rPr>
        <w:t xml:space="preserve">VZ </w:t>
      </w:r>
      <w:r w:rsidR="006D43AC">
        <w:rPr>
          <w:rFonts w:cs="Arial"/>
          <w:szCs w:val="22"/>
        </w:rPr>
        <w:t>vyplynulo, že povinnými zadavateli bylo zadáno 31 076 VZ. Tato data byla očištěna</w:t>
      </w:r>
      <w:r w:rsidR="006D43AC" w:rsidRPr="00B64284">
        <w:rPr>
          <w:rStyle w:val="Znakapoznpodarou"/>
          <w:rFonts w:cs="Arial"/>
          <w:szCs w:val="22"/>
        </w:rPr>
        <w:footnoteReference w:id="23"/>
      </w:r>
      <w:r w:rsidR="006D43AC">
        <w:rPr>
          <w:rFonts w:cs="Arial"/>
          <w:szCs w:val="22"/>
        </w:rPr>
        <w:t xml:space="preserve"> </w:t>
      </w:r>
      <w:r w:rsidR="00B715D3">
        <w:rPr>
          <w:rFonts w:cs="Arial"/>
          <w:szCs w:val="22"/>
        </w:rPr>
        <w:t xml:space="preserve">na </w:t>
      </w:r>
      <w:r w:rsidR="006D43AC">
        <w:rPr>
          <w:rFonts w:cs="Arial"/>
          <w:szCs w:val="22"/>
        </w:rPr>
        <w:t xml:space="preserve">27 800 zakázek, </w:t>
      </w:r>
      <w:r w:rsidR="00B715D3">
        <w:rPr>
          <w:rFonts w:cs="Arial"/>
          <w:szCs w:val="22"/>
        </w:rPr>
        <w:t xml:space="preserve">jejichž </w:t>
      </w:r>
      <w:r w:rsidR="006D43AC">
        <w:rPr>
          <w:rFonts w:cs="Arial"/>
          <w:szCs w:val="22"/>
        </w:rPr>
        <w:t xml:space="preserve">celková předpokládaná </w:t>
      </w:r>
      <w:r w:rsidR="00E72F2D">
        <w:rPr>
          <w:rFonts w:cs="Arial"/>
          <w:szCs w:val="22"/>
        </w:rPr>
        <w:t>hodnota činila 2 307 </w:t>
      </w:r>
      <w:r w:rsidR="006D43AC" w:rsidRPr="002425DD">
        <w:rPr>
          <w:rFonts w:cs="Arial"/>
          <w:szCs w:val="22"/>
        </w:rPr>
        <w:t xml:space="preserve">409 104 Kč bez DPH a celková smluvní cena 1 968 650 314 Kč bez DPH. </w:t>
      </w:r>
      <w:r w:rsidR="00832CC5">
        <w:rPr>
          <w:rFonts w:cs="Arial"/>
          <w:szCs w:val="22"/>
        </w:rPr>
        <w:t xml:space="preserve">Z poskytnutých údajů </w:t>
      </w:r>
      <w:r w:rsidR="006D43AC" w:rsidRPr="002425DD">
        <w:rPr>
          <w:rFonts w:cs="Arial"/>
          <w:szCs w:val="22"/>
        </w:rPr>
        <w:t xml:space="preserve">NKÚ </w:t>
      </w:r>
      <w:r w:rsidR="00832CC5">
        <w:rPr>
          <w:rFonts w:cs="Arial"/>
          <w:szCs w:val="22"/>
        </w:rPr>
        <w:t xml:space="preserve">zjistil </w:t>
      </w:r>
      <w:r w:rsidR="006D43AC" w:rsidRPr="002425DD">
        <w:rPr>
          <w:rFonts w:cs="Arial"/>
          <w:szCs w:val="22"/>
        </w:rPr>
        <w:t>následující skutečnosti</w:t>
      </w:r>
      <w:r w:rsidR="006D43AC">
        <w:rPr>
          <w:rFonts w:cs="Arial"/>
          <w:szCs w:val="22"/>
        </w:rPr>
        <w:t xml:space="preserve">, které vypovídají o dosažení </w:t>
      </w:r>
      <w:r w:rsidR="00E024F1">
        <w:rPr>
          <w:rFonts w:cs="Arial"/>
          <w:szCs w:val="22"/>
        </w:rPr>
        <w:t xml:space="preserve">nižších cen vůči předpokládaným </w:t>
      </w:r>
      <w:r w:rsidR="00E301AA">
        <w:rPr>
          <w:rFonts w:cs="Arial"/>
          <w:szCs w:val="22"/>
        </w:rPr>
        <w:t>hodnotám</w:t>
      </w:r>
      <w:r w:rsidR="00DE2BD9">
        <w:rPr>
          <w:rFonts w:cs="Arial"/>
          <w:szCs w:val="22"/>
        </w:rPr>
        <w:t xml:space="preserve">, přičemž tento rozdíl lze za určitých podmínek </w:t>
      </w:r>
      <w:r w:rsidR="00FE6CAB">
        <w:rPr>
          <w:rFonts w:cs="Arial"/>
          <w:szCs w:val="22"/>
        </w:rPr>
        <w:t xml:space="preserve">označit </w:t>
      </w:r>
      <w:r w:rsidR="00DE2BD9">
        <w:rPr>
          <w:rFonts w:cs="Arial"/>
          <w:szCs w:val="22"/>
        </w:rPr>
        <w:t>jako „úsporu“</w:t>
      </w:r>
      <w:r w:rsidR="006D43AC" w:rsidRPr="002425DD">
        <w:rPr>
          <w:rFonts w:cs="Arial"/>
          <w:szCs w:val="22"/>
        </w:rPr>
        <w:t>:</w:t>
      </w:r>
    </w:p>
    <w:p w:rsidR="006D43AC" w:rsidRDefault="006D43AC" w:rsidP="00DF12B2">
      <w:pPr>
        <w:pStyle w:val="Odstavecseseznamem"/>
        <w:numPr>
          <w:ilvl w:val="0"/>
          <w:numId w:val="5"/>
        </w:numPr>
        <w:rPr>
          <w:rFonts w:cs="Arial"/>
          <w:szCs w:val="22"/>
        </w:rPr>
      </w:pPr>
      <w:r>
        <w:rPr>
          <w:rFonts w:cs="Arial"/>
          <w:szCs w:val="22"/>
        </w:rPr>
        <w:t>U</w:t>
      </w:r>
      <w:r w:rsidRPr="003E7411">
        <w:rPr>
          <w:rFonts w:cs="Arial"/>
          <w:szCs w:val="22"/>
        </w:rPr>
        <w:t xml:space="preserve"> 25,9 % zakázek se </w:t>
      </w:r>
      <w:r w:rsidR="00E301AA">
        <w:rPr>
          <w:rFonts w:cs="Arial"/>
          <w:szCs w:val="22"/>
        </w:rPr>
        <w:t xml:space="preserve">jejich </w:t>
      </w:r>
      <w:r w:rsidRPr="003E7411">
        <w:rPr>
          <w:rFonts w:cs="Arial"/>
          <w:szCs w:val="22"/>
        </w:rPr>
        <w:t>předpokládaná hodnota shodo</w:t>
      </w:r>
      <w:r w:rsidR="00E72F2D">
        <w:rPr>
          <w:rFonts w:cs="Arial"/>
          <w:szCs w:val="22"/>
        </w:rPr>
        <w:t xml:space="preserve">vala </w:t>
      </w:r>
      <w:r w:rsidR="002C671F">
        <w:rPr>
          <w:rFonts w:cs="Arial"/>
          <w:szCs w:val="22"/>
        </w:rPr>
        <w:t>s </w:t>
      </w:r>
      <w:r w:rsidR="00E72F2D">
        <w:rPr>
          <w:rFonts w:cs="Arial"/>
          <w:szCs w:val="22"/>
        </w:rPr>
        <w:t>celkovou smluvní cenou</w:t>
      </w:r>
      <w:r w:rsidR="00751CC4">
        <w:rPr>
          <w:rFonts w:cs="Arial"/>
          <w:szCs w:val="22"/>
        </w:rPr>
        <w:t xml:space="preserve">. To znamená, že zde </w:t>
      </w:r>
      <w:r w:rsidRPr="003E7411">
        <w:rPr>
          <w:rFonts w:cs="Arial"/>
          <w:szCs w:val="22"/>
        </w:rPr>
        <w:t>nebylo</w:t>
      </w:r>
      <w:r w:rsidR="00751CC4">
        <w:rPr>
          <w:rFonts w:cs="Arial"/>
          <w:szCs w:val="22"/>
        </w:rPr>
        <w:t xml:space="preserve"> </w:t>
      </w:r>
      <w:r w:rsidRPr="003E7411">
        <w:rPr>
          <w:rFonts w:cs="Arial"/>
          <w:szCs w:val="22"/>
        </w:rPr>
        <w:t>dosaženo žád</w:t>
      </w:r>
      <w:r>
        <w:rPr>
          <w:rFonts w:cs="Arial"/>
          <w:szCs w:val="22"/>
        </w:rPr>
        <w:t xml:space="preserve">né </w:t>
      </w:r>
      <w:r w:rsidR="00C854B0">
        <w:rPr>
          <w:rFonts w:cs="Arial"/>
          <w:szCs w:val="22"/>
        </w:rPr>
        <w:t>„</w:t>
      </w:r>
      <w:r>
        <w:rPr>
          <w:rFonts w:cs="Arial"/>
          <w:szCs w:val="22"/>
        </w:rPr>
        <w:t>úspory</w:t>
      </w:r>
      <w:r w:rsidR="00167937">
        <w:rPr>
          <w:rFonts w:cs="Arial"/>
          <w:szCs w:val="22"/>
        </w:rPr>
        <w:t>“</w:t>
      </w:r>
      <w:r>
        <w:rPr>
          <w:rFonts w:cs="Arial"/>
          <w:szCs w:val="22"/>
        </w:rPr>
        <w:t>.</w:t>
      </w:r>
    </w:p>
    <w:p w:rsidR="006D43AC" w:rsidRPr="003E7411" w:rsidRDefault="006D43AC" w:rsidP="00DF12B2">
      <w:pPr>
        <w:pStyle w:val="Odstavecseseznamem"/>
        <w:numPr>
          <w:ilvl w:val="0"/>
          <w:numId w:val="5"/>
        </w:numPr>
        <w:rPr>
          <w:rFonts w:cs="Arial"/>
          <w:szCs w:val="22"/>
        </w:rPr>
      </w:pPr>
      <w:r w:rsidRPr="003E7411">
        <w:rPr>
          <w:rFonts w:cs="Arial"/>
          <w:szCs w:val="22"/>
        </w:rPr>
        <w:lastRenderedPageBreak/>
        <w:t>Průměr</w:t>
      </w:r>
      <w:r>
        <w:rPr>
          <w:rFonts w:cs="Arial"/>
          <w:szCs w:val="22"/>
        </w:rPr>
        <w:t xml:space="preserve">né procento </w:t>
      </w:r>
      <w:r w:rsidR="00D56F38">
        <w:rPr>
          <w:rFonts w:cs="Arial"/>
          <w:szCs w:val="22"/>
        </w:rPr>
        <w:t xml:space="preserve">celkové </w:t>
      </w:r>
      <w:r w:rsidR="00167937">
        <w:rPr>
          <w:rFonts w:cs="Arial"/>
          <w:szCs w:val="22"/>
        </w:rPr>
        <w:t>„</w:t>
      </w:r>
      <w:r>
        <w:rPr>
          <w:rFonts w:cs="Arial"/>
          <w:szCs w:val="22"/>
        </w:rPr>
        <w:t>úspory</w:t>
      </w:r>
      <w:r w:rsidR="00167937">
        <w:rPr>
          <w:rFonts w:cs="Arial"/>
          <w:szCs w:val="22"/>
        </w:rPr>
        <w:t>“</w:t>
      </w:r>
      <w:r>
        <w:rPr>
          <w:rFonts w:cs="Arial"/>
          <w:szCs w:val="22"/>
        </w:rPr>
        <w:t xml:space="preserve"> </w:t>
      </w:r>
      <w:r w:rsidR="007D378C">
        <w:rPr>
          <w:rFonts w:cs="Arial"/>
          <w:szCs w:val="22"/>
        </w:rPr>
        <w:t xml:space="preserve">na jednu VZ </w:t>
      </w:r>
      <w:r w:rsidR="00D56F38">
        <w:rPr>
          <w:rFonts w:cs="Arial"/>
          <w:szCs w:val="22"/>
        </w:rPr>
        <w:t>dosažené prostřednictví</w:t>
      </w:r>
      <w:r w:rsidR="00FE6CAB">
        <w:rPr>
          <w:rFonts w:cs="Arial"/>
          <w:szCs w:val="22"/>
        </w:rPr>
        <w:t>m</w:t>
      </w:r>
      <w:r w:rsidR="00D56F38">
        <w:rPr>
          <w:rFonts w:cs="Arial"/>
          <w:szCs w:val="22"/>
        </w:rPr>
        <w:t xml:space="preserve"> e-tržišť </w:t>
      </w:r>
      <w:r w:rsidR="00FE6CAB">
        <w:rPr>
          <w:rFonts w:cs="Arial"/>
          <w:szCs w:val="22"/>
        </w:rPr>
        <w:t>vyčíslil</w:t>
      </w:r>
      <w:r w:rsidR="00FE6CAB" w:rsidRPr="003E7411">
        <w:rPr>
          <w:rFonts w:cs="Arial"/>
          <w:szCs w:val="22"/>
        </w:rPr>
        <w:t xml:space="preserve"> </w:t>
      </w:r>
      <w:r>
        <w:rPr>
          <w:rFonts w:cs="Arial"/>
          <w:szCs w:val="22"/>
        </w:rPr>
        <w:t xml:space="preserve">NKÚ </w:t>
      </w:r>
      <w:r w:rsidRPr="003E7411">
        <w:rPr>
          <w:rFonts w:cs="Arial"/>
          <w:szCs w:val="22"/>
        </w:rPr>
        <w:t>hodnot</w:t>
      </w:r>
      <w:r w:rsidR="00D504E9">
        <w:rPr>
          <w:rFonts w:cs="Arial"/>
          <w:szCs w:val="22"/>
        </w:rPr>
        <w:t>o</w:t>
      </w:r>
      <w:r w:rsidRPr="003E7411">
        <w:rPr>
          <w:rFonts w:cs="Arial"/>
          <w:szCs w:val="22"/>
        </w:rPr>
        <w:t>u 12,55 %</w:t>
      </w:r>
      <w:r w:rsidR="007D378C">
        <w:rPr>
          <w:rFonts w:cs="Arial"/>
          <w:szCs w:val="22"/>
        </w:rPr>
        <w:t xml:space="preserve"> a</w:t>
      </w:r>
      <w:r w:rsidRPr="003E7411">
        <w:rPr>
          <w:rFonts w:cs="Arial"/>
          <w:szCs w:val="22"/>
        </w:rPr>
        <w:t xml:space="preserve"> medián </w:t>
      </w:r>
      <w:r w:rsidR="005C2DFE">
        <w:rPr>
          <w:rFonts w:cs="Arial"/>
          <w:szCs w:val="22"/>
        </w:rPr>
        <w:t xml:space="preserve">této </w:t>
      </w:r>
      <w:r w:rsidR="00006FB2">
        <w:rPr>
          <w:rFonts w:cs="Arial"/>
          <w:szCs w:val="22"/>
        </w:rPr>
        <w:t>procentní</w:t>
      </w:r>
      <w:r w:rsidR="00006FB2" w:rsidRPr="003E7411">
        <w:rPr>
          <w:rFonts w:cs="Arial"/>
          <w:szCs w:val="22"/>
        </w:rPr>
        <w:t xml:space="preserve"> </w:t>
      </w:r>
      <w:r w:rsidR="00ED7932">
        <w:rPr>
          <w:rFonts w:cs="Arial"/>
          <w:szCs w:val="22"/>
        </w:rPr>
        <w:t>„</w:t>
      </w:r>
      <w:r w:rsidRPr="003E7411">
        <w:rPr>
          <w:rFonts w:cs="Arial"/>
          <w:szCs w:val="22"/>
        </w:rPr>
        <w:t>úspory</w:t>
      </w:r>
      <w:r w:rsidR="00ED7932">
        <w:rPr>
          <w:rFonts w:cs="Arial"/>
          <w:szCs w:val="22"/>
        </w:rPr>
        <w:t>“</w:t>
      </w:r>
      <w:r w:rsidRPr="003E7411">
        <w:rPr>
          <w:rFonts w:cs="Arial"/>
          <w:szCs w:val="22"/>
        </w:rPr>
        <w:t xml:space="preserve"> činil 4,6 %.</w:t>
      </w:r>
    </w:p>
    <w:p w:rsidR="006D43AC" w:rsidRDefault="006D43AC" w:rsidP="00DF12B2">
      <w:pPr>
        <w:pStyle w:val="Odstavecseseznamem"/>
        <w:numPr>
          <w:ilvl w:val="0"/>
          <w:numId w:val="5"/>
        </w:numPr>
        <w:rPr>
          <w:rFonts w:cs="Arial"/>
          <w:szCs w:val="22"/>
        </w:rPr>
      </w:pPr>
      <w:r>
        <w:rPr>
          <w:rFonts w:cs="Arial"/>
          <w:szCs w:val="22"/>
        </w:rPr>
        <w:t>Prostřednictvím e-tržiš</w:t>
      </w:r>
      <w:r w:rsidR="00D504E9">
        <w:rPr>
          <w:rFonts w:cs="Arial"/>
          <w:szCs w:val="22"/>
        </w:rPr>
        <w:t>ť</w:t>
      </w:r>
      <w:r>
        <w:rPr>
          <w:rFonts w:cs="Arial"/>
          <w:szCs w:val="22"/>
        </w:rPr>
        <w:t xml:space="preserve"> </w:t>
      </w:r>
      <w:r w:rsidR="00C854B0">
        <w:rPr>
          <w:rFonts w:cs="Arial"/>
          <w:szCs w:val="22"/>
        </w:rPr>
        <w:t>„</w:t>
      </w:r>
      <w:r>
        <w:rPr>
          <w:rFonts w:cs="Arial"/>
          <w:szCs w:val="22"/>
        </w:rPr>
        <w:t>uspořili</w:t>
      </w:r>
      <w:r w:rsidR="00C854B0">
        <w:rPr>
          <w:rFonts w:cs="Arial"/>
          <w:szCs w:val="22"/>
        </w:rPr>
        <w:t>“</w:t>
      </w:r>
      <w:r>
        <w:rPr>
          <w:rFonts w:cs="Arial"/>
          <w:szCs w:val="22"/>
        </w:rPr>
        <w:t xml:space="preserve"> zadavatelé oproti předpokládané </w:t>
      </w:r>
      <w:r w:rsidR="007B4E69">
        <w:rPr>
          <w:rFonts w:cs="Arial"/>
          <w:szCs w:val="22"/>
        </w:rPr>
        <w:t xml:space="preserve">hodnotě </w:t>
      </w:r>
      <w:r>
        <w:rPr>
          <w:rFonts w:cs="Arial"/>
          <w:szCs w:val="22"/>
        </w:rPr>
        <w:t>338</w:t>
      </w:r>
      <w:r w:rsidR="005E248C">
        <w:rPr>
          <w:rFonts w:cs="Arial"/>
          <w:szCs w:val="22"/>
        </w:rPr>
        <w:t> </w:t>
      </w:r>
      <w:r>
        <w:rPr>
          <w:rFonts w:cs="Arial"/>
          <w:szCs w:val="22"/>
        </w:rPr>
        <w:t>758</w:t>
      </w:r>
      <w:r w:rsidR="005E248C">
        <w:rPr>
          <w:rFonts w:cs="Arial"/>
          <w:szCs w:val="22"/>
        </w:rPr>
        <w:t> </w:t>
      </w:r>
      <w:r>
        <w:rPr>
          <w:rFonts w:cs="Arial"/>
          <w:szCs w:val="22"/>
        </w:rPr>
        <w:t>79</w:t>
      </w:r>
      <w:r w:rsidR="00CD361D">
        <w:rPr>
          <w:rFonts w:cs="Arial"/>
          <w:szCs w:val="22"/>
        </w:rPr>
        <w:t>0</w:t>
      </w:r>
      <w:r w:rsidR="005E248C">
        <w:rPr>
          <w:rFonts w:cs="Arial"/>
          <w:szCs w:val="22"/>
        </w:rPr>
        <w:t> </w:t>
      </w:r>
      <w:r>
        <w:rPr>
          <w:rFonts w:cs="Arial"/>
          <w:szCs w:val="22"/>
        </w:rPr>
        <w:t>Kč bez DPH. Pro objektivnost je nutné odeč</w:t>
      </w:r>
      <w:r w:rsidR="002E4630">
        <w:rPr>
          <w:rFonts w:cs="Arial"/>
          <w:szCs w:val="22"/>
        </w:rPr>
        <w:t>íst</w:t>
      </w:r>
      <w:r>
        <w:rPr>
          <w:rFonts w:cs="Arial"/>
          <w:szCs w:val="22"/>
        </w:rPr>
        <w:t xml:space="preserve"> </w:t>
      </w:r>
      <w:r w:rsidR="00D504E9">
        <w:rPr>
          <w:rFonts w:cs="Arial"/>
          <w:szCs w:val="22"/>
        </w:rPr>
        <w:t xml:space="preserve">částku 18 677 496 Kč bez DPH, která představuje </w:t>
      </w:r>
      <w:r>
        <w:rPr>
          <w:rFonts w:cs="Arial"/>
          <w:szCs w:val="22"/>
        </w:rPr>
        <w:t>výdaj</w:t>
      </w:r>
      <w:r w:rsidR="002E4630">
        <w:rPr>
          <w:rFonts w:cs="Arial"/>
          <w:szCs w:val="22"/>
        </w:rPr>
        <w:t>e</w:t>
      </w:r>
      <w:r>
        <w:rPr>
          <w:rFonts w:cs="Arial"/>
          <w:szCs w:val="22"/>
        </w:rPr>
        <w:t xml:space="preserve"> MMR za zadané zakázky</w:t>
      </w:r>
      <w:r w:rsidR="00D504E9">
        <w:rPr>
          <w:rFonts w:cs="Arial"/>
          <w:szCs w:val="22"/>
        </w:rPr>
        <w:t>.</w:t>
      </w:r>
      <w:r>
        <w:rPr>
          <w:rFonts w:cs="Arial"/>
          <w:szCs w:val="22"/>
        </w:rPr>
        <w:t xml:space="preserve"> Výše </w:t>
      </w:r>
      <w:r w:rsidR="00DE2BD9">
        <w:rPr>
          <w:rFonts w:cs="Arial"/>
          <w:szCs w:val="22"/>
        </w:rPr>
        <w:t>„</w:t>
      </w:r>
      <w:r>
        <w:rPr>
          <w:rFonts w:cs="Arial"/>
          <w:szCs w:val="22"/>
        </w:rPr>
        <w:t>úspory</w:t>
      </w:r>
      <w:r w:rsidR="00DE2BD9">
        <w:rPr>
          <w:rFonts w:cs="Arial"/>
          <w:szCs w:val="22"/>
        </w:rPr>
        <w:t>“</w:t>
      </w:r>
      <w:r>
        <w:rPr>
          <w:rFonts w:cs="Arial"/>
          <w:szCs w:val="22"/>
        </w:rPr>
        <w:t xml:space="preserve"> dosažené prostřednictvím e-tržišť </w:t>
      </w:r>
      <w:r w:rsidR="002C671F">
        <w:rPr>
          <w:rFonts w:cs="Arial"/>
          <w:szCs w:val="22"/>
        </w:rPr>
        <w:t>v </w:t>
      </w:r>
      <w:r>
        <w:rPr>
          <w:rFonts w:cs="Arial"/>
          <w:szCs w:val="22"/>
        </w:rPr>
        <w:t>podobě snížení nákupních cen pře</w:t>
      </w:r>
      <w:r w:rsidR="00D504E9">
        <w:rPr>
          <w:rFonts w:cs="Arial"/>
          <w:szCs w:val="22"/>
        </w:rPr>
        <w:t>d</w:t>
      </w:r>
      <w:r>
        <w:rPr>
          <w:rFonts w:cs="Arial"/>
          <w:szCs w:val="22"/>
        </w:rPr>
        <w:t>stavuje částku 320</w:t>
      </w:r>
      <w:r w:rsidR="00191952">
        <w:rPr>
          <w:rFonts w:cs="Arial"/>
          <w:szCs w:val="22"/>
        </w:rPr>
        <w:t> </w:t>
      </w:r>
      <w:r>
        <w:rPr>
          <w:rFonts w:cs="Arial"/>
          <w:szCs w:val="22"/>
        </w:rPr>
        <w:t>081</w:t>
      </w:r>
      <w:r w:rsidR="00191952">
        <w:rPr>
          <w:rFonts w:cs="Arial"/>
          <w:szCs w:val="22"/>
        </w:rPr>
        <w:t> </w:t>
      </w:r>
      <w:r>
        <w:rPr>
          <w:rFonts w:cs="Arial"/>
          <w:szCs w:val="22"/>
        </w:rPr>
        <w:t>29</w:t>
      </w:r>
      <w:r w:rsidR="00CD361D">
        <w:rPr>
          <w:rFonts w:cs="Arial"/>
          <w:szCs w:val="22"/>
        </w:rPr>
        <w:t>4</w:t>
      </w:r>
      <w:r w:rsidR="00191952">
        <w:rPr>
          <w:rFonts w:cs="Arial"/>
          <w:szCs w:val="22"/>
        </w:rPr>
        <w:t> </w:t>
      </w:r>
      <w:r>
        <w:rPr>
          <w:rFonts w:cs="Arial"/>
          <w:szCs w:val="22"/>
        </w:rPr>
        <w:t>Kč bez DPH.</w:t>
      </w:r>
    </w:p>
    <w:p w:rsidR="0011175D" w:rsidRDefault="006D43AC" w:rsidP="00CE4BCF">
      <w:pPr>
        <w:pStyle w:val="Odstavecseseznamem"/>
        <w:numPr>
          <w:ilvl w:val="0"/>
          <w:numId w:val="5"/>
        </w:numPr>
        <w:rPr>
          <w:rFonts w:cs="Arial"/>
          <w:szCs w:val="22"/>
        </w:rPr>
      </w:pPr>
      <w:r w:rsidRPr="00CD361D">
        <w:rPr>
          <w:rFonts w:cs="Arial"/>
          <w:szCs w:val="22"/>
        </w:rPr>
        <w:t xml:space="preserve">Z plánovaného cíle dosažení </w:t>
      </w:r>
      <w:r w:rsidR="000355C0">
        <w:rPr>
          <w:rFonts w:cs="Arial"/>
          <w:szCs w:val="22"/>
        </w:rPr>
        <w:t xml:space="preserve">roční </w:t>
      </w:r>
      <w:r w:rsidRPr="00CD361D">
        <w:rPr>
          <w:rFonts w:cs="Arial"/>
          <w:szCs w:val="22"/>
        </w:rPr>
        <w:t>úspor</w:t>
      </w:r>
      <w:r w:rsidR="000355C0">
        <w:rPr>
          <w:rFonts w:cs="Arial"/>
          <w:szCs w:val="22"/>
        </w:rPr>
        <w:t>y</w:t>
      </w:r>
      <w:r w:rsidRPr="00CD361D">
        <w:rPr>
          <w:rFonts w:cs="Arial"/>
          <w:szCs w:val="22"/>
        </w:rPr>
        <w:t xml:space="preserve"> </w:t>
      </w:r>
      <w:r w:rsidR="000355C0" w:rsidRPr="00435C42">
        <w:rPr>
          <w:rFonts w:cs="Arial"/>
          <w:szCs w:val="22"/>
        </w:rPr>
        <w:t>1,2</w:t>
      </w:r>
      <w:r w:rsidR="000355C0" w:rsidRPr="008C007D">
        <w:rPr>
          <w:rFonts w:cs="Arial"/>
          <w:szCs w:val="22"/>
        </w:rPr>
        <w:t xml:space="preserve"> mld</w:t>
      </w:r>
      <w:r w:rsidR="000355C0">
        <w:rPr>
          <w:rFonts w:cs="Arial"/>
          <w:szCs w:val="22"/>
        </w:rPr>
        <w:t xml:space="preserve">. Kč </w:t>
      </w:r>
      <w:r w:rsidRPr="00CD361D">
        <w:rPr>
          <w:rFonts w:cs="Arial"/>
          <w:szCs w:val="22"/>
        </w:rPr>
        <w:t xml:space="preserve">snížením cen nakupovaných komodit </w:t>
      </w:r>
      <w:r>
        <w:rPr>
          <w:rFonts w:cs="Arial"/>
          <w:szCs w:val="22"/>
        </w:rPr>
        <w:t xml:space="preserve">bylo v prvním roce používání e-tržišť dosaženo pouze 27 % </w:t>
      </w:r>
      <w:r w:rsidR="000355C0">
        <w:rPr>
          <w:rFonts w:cs="Arial"/>
          <w:szCs w:val="22"/>
        </w:rPr>
        <w:t xml:space="preserve">plánované </w:t>
      </w:r>
      <w:r>
        <w:rPr>
          <w:rFonts w:cs="Arial"/>
          <w:szCs w:val="22"/>
        </w:rPr>
        <w:t xml:space="preserve">hodnoty. Výsledný stav oproti předpokladu MMR mohl být ovlivněn </w:t>
      </w:r>
      <w:r w:rsidR="00902B37">
        <w:rPr>
          <w:rFonts w:cs="Arial"/>
          <w:szCs w:val="22"/>
        </w:rPr>
        <w:t>snížením limitu pro VZMR z</w:t>
      </w:r>
      <w:r w:rsidR="00BC4089">
        <w:rPr>
          <w:rFonts w:cs="Arial"/>
          <w:szCs w:val="22"/>
        </w:rPr>
        <w:t> 2 </w:t>
      </w:r>
      <w:r w:rsidRPr="00FC0EB6">
        <w:rPr>
          <w:rFonts w:cs="Arial"/>
          <w:szCs w:val="22"/>
        </w:rPr>
        <w:t>mil. Kč na 1 mil. Kč</w:t>
      </w:r>
      <w:r w:rsidR="007B4E69">
        <w:rPr>
          <w:rFonts w:cs="Arial"/>
          <w:szCs w:val="22"/>
        </w:rPr>
        <w:t xml:space="preserve"> od 1.</w:t>
      </w:r>
      <w:r w:rsidR="002C671F">
        <w:rPr>
          <w:rFonts w:cs="Arial"/>
          <w:szCs w:val="22"/>
        </w:rPr>
        <w:t> </w:t>
      </w:r>
      <w:r w:rsidR="007B4E69">
        <w:rPr>
          <w:rFonts w:cs="Arial"/>
          <w:szCs w:val="22"/>
        </w:rPr>
        <w:t>4.</w:t>
      </w:r>
      <w:r w:rsidR="002C671F">
        <w:rPr>
          <w:rFonts w:cs="Arial"/>
          <w:szCs w:val="22"/>
        </w:rPr>
        <w:t> </w:t>
      </w:r>
      <w:r w:rsidR="007B4E69">
        <w:rPr>
          <w:rFonts w:cs="Arial"/>
          <w:szCs w:val="22"/>
        </w:rPr>
        <w:t>2012.</w:t>
      </w:r>
    </w:p>
    <w:p w:rsidR="001B4875" w:rsidRDefault="00F53816" w:rsidP="00BD0DA7">
      <w:pPr>
        <w:pStyle w:val="Odstavecseseznamem"/>
        <w:numPr>
          <w:ilvl w:val="0"/>
          <w:numId w:val="5"/>
        </w:numPr>
        <w:rPr>
          <w:rFonts w:cs="Arial"/>
          <w:szCs w:val="22"/>
        </w:rPr>
      </w:pPr>
      <w:r>
        <w:rPr>
          <w:rFonts w:cs="Arial"/>
          <w:szCs w:val="22"/>
        </w:rPr>
        <w:t>N</w:t>
      </w:r>
      <w:r w:rsidR="001B4875" w:rsidRPr="00F53816">
        <w:rPr>
          <w:rFonts w:cs="Arial"/>
          <w:szCs w:val="22"/>
        </w:rPr>
        <w:t xml:space="preserve">ejvyšší </w:t>
      </w:r>
      <w:r w:rsidRPr="00F53816">
        <w:rPr>
          <w:rFonts w:cs="Arial"/>
          <w:szCs w:val="22"/>
        </w:rPr>
        <w:t xml:space="preserve">objem zakázek </w:t>
      </w:r>
      <w:r w:rsidR="00782218">
        <w:rPr>
          <w:rFonts w:cs="Arial"/>
          <w:szCs w:val="22"/>
        </w:rPr>
        <w:t>(1,145 mld. Kč bez DPH)</w:t>
      </w:r>
      <w:r w:rsidR="00782218" w:rsidRPr="00F53816">
        <w:rPr>
          <w:rFonts w:cs="Arial"/>
          <w:szCs w:val="22"/>
        </w:rPr>
        <w:t xml:space="preserve"> </w:t>
      </w:r>
      <w:r w:rsidRPr="00F53816">
        <w:rPr>
          <w:rFonts w:cs="Arial"/>
          <w:szCs w:val="22"/>
        </w:rPr>
        <w:t xml:space="preserve">byl uskutečněn na trhu dodávek, který tvořil </w:t>
      </w:r>
      <w:r w:rsidR="00B1600D">
        <w:rPr>
          <w:rFonts w:cs="Arial"/>
          <w:szCs w:val="22"/>
        </w:rPr>
        <w:t>58</w:t>
      </w:r>
      <w:r w:rsidRPr="00F53816">
        <w:rPr>
          <w:rFonts w:cs="Arial"/>
          <w:szCs w:val="22"/>
        </w:rPr>
        <w:t xml:space="preserve"> %</w:t>
      </w:r>
      <w:r w:rsidR="00AA6364">
        <w:rPr>
          <w:rFonts w:cs="Arial"/>
          <w:szCs w:val="22"/>
        </w:rPr>
        <w:t xml:space="preserve"> </w:t>
      </w:r>
      <w:r w:rsidR="00782218">
        <w:rPr>
          <w:rFonts w:cs="Arial"/>
          <w:szCs w:val="22"/>
        </w:rPr>
        <w:t>celkového objemu všech nákupů</w:t>
      </w:r>
      <w:r w:rsidRPr="00F53816">
        <w:rPr>
          <w:rFonts w:cs="Arial"/>
          <w:szCs w:val="22"/>
        </w:rPr>
        <w:t xml:space="preserve">. </w:t>
      </w:r>
      <w:r w:rsidR="00782218">
        <w:rPr>
          <w:rFonts w:cs="Arial"/>
          <w:szCs w:val="22"/>
        </w:rPr>
        <w:t xml:space="preserve">U dodávek byly </w:t>
      </w:r>
      <w:r w:rsidRPr="00F53816">
        <w:rPr>
          <w:rFonts w:cs="Arial"/>
          <w:szCs w:val="22"/>
        </w:rPr>
        <w:t xml:space="preserve">nejvyšší </w:t>
      </w:r>
      <w:r w:rsidR="006A6FE2">
        <w:rPr>
          <w:rFonts w:cs="Arial"/>
          <w:szCs w:val="22"/>
        </w:rPr>
        <w:t>„</w:t>
      </w:r>
      <w:r w:rsidRPr="00F53816">
        <w:rPr>
          <w:rFonts w:cs="Arial"/>
          <w:szCs w:val="22"/>
        </w:rPr>
        <w:t>úspory</w:t>
      </w:r>
      <w:r w:rsidR="006A6FE2">
        <w:rPr>
          <w:rFonts w:cs="Arial"/>
          <w:szCs w:val="22"/>
        </w:rPr>
        <w:t>“</w:t>
      </w:r>
      <w:r w:rsidRPr="00F53816">
        <w:rPr>
          <w:rFonts w:cs="Arial"/>
          <w:szCs w:val="22"/>
        </w:rPr>
        <w:t xml:space="preserve"> </w:t>
      </w:r>
      <w:r w:rsidRPr="00D1167A">
        <w:rPr>
          <w:rFonts w:cs="Arial"/>
          <w:szCs w:val="22"/>
        </w:rPr>
        <w:t>u VZMR zadan</w:t>
      </w:r>
      <w:r w:rsidR="00F86B35">
        <w:rPr>
          <w:rFonts w:cs="Arial"/>
          <w:szCs w:val="22"/>
        </w:rPr>
        <w:t>ých</w:t>
      </w:r>
      <w:r w:rsidRPr="00D1167A">
        <w:rPr>
          <w:rFonts w:cs="Arial"/>
          <w:szCs w:val="22"/>
        </w:rPr>
        <w:t xml:space="preserve"> otevřenou výzvou, a to 20 %. </w:t>
      </w:r>
      <w:r w:rsidRPr="0011175D">
        <w:rPr>
          <w:rFonts w:cs="Arial"/>
          <w:szCs w:val="22"/>
        </w:rPr>
        <w:t xml:space="preserve">Naopak nejnižší úspory byly u zakázek </w:t>
      </w:r>
      <w:r w:rsidR="00D504E9">
        <w:rPr>
          <w:rFonts w:cs="Arial"/>
          <w:szCs w:val="22"/>
        </w:rPr>
        <w:t>zadaných přímo</w:t>
      </w:r>
      <w:r w:rsidR="00E72F2D">
        <w:rPr>
          <w:rFonts w:cs="Arial"/>
          <w:szCs w:val="22"/>
        </w:rPr>
        <w:t>, a </w:t>
      </w:r>
      <w:r w:rsidRPr="00C223E4">
        <w:rPr>
          <w:rFonts w:cs="Arial"/>
          <w:szCs w:val="22"/>
        </w:rPr>
        <w:t>to 4 %.</w:t>
      </w:r>
      <w:r w:rsidR="005661F0">
        <w:rPr>
          <w:rFonts w:cs="Arial"/>
          <w:szCs w:val="22"/>
        </w:rPr>
        <w:t xml:space="preserve"> Trh služeb</w:t>
      </w:r>
      <w:r w:rsidR="00BD0DA7">
        <w:rPr>
          <w:rFonts w:cs="Arial"/>
          <w:szCs w:val="22"/>
        </w:rPr>
        <w:t xml:space="preserve"> v hodnotě 560 mil. Kč bez DPH</w:t>
      </w:r>
      <w:r w:rsidR="00AA6364">
        <w:rPr>
          <w:rFonts w:cs="Arial"/>
          <w:szCs w:val="22"/>
        </w:rPr>
        <w:t xml:space="preserve">, který tvořil </w:t>
      </w:r>
      <w:r w:rsidR="00B1600D">
        <w:rPr>
          <w:rFonts w:cs="Arial"/>
          <w:szCs w:val="22"/>
        </w:rPr>
        <w:t>29</w:t>
      </w:r>
      <w:r w:rsidR="00AA6364">
        <w:rPr>
          <w:rFonts w:cs="Arial"/>
          <w:szCs w:val="22"/>
        </w:rPr>
        <w:t xml:space="preserve"> % </w:t>
      </w:r>
      <w:r w:rsidR="00E963B0">
        <w:rPr>
          <w:rFonts w:cs="Arial"/>
          <w:szCs w:val="22"/>
        </w:rPr>
        <w:t>celkového objemu všech nákupů</w:t>
      </w:r>
      <w:r w:rsidR="0046056A">
        <w:rPr>
          <w:rFonts w:cs="Arial"/>
          <w:szCs w:val="22"/>
        </w:rPr>
        <w:t>,</w:t>
      </w:r>
      <w:r w:rsidR="00AA6364">
        <w:rPr>
          <w:rFonts w:cs="Arial"/>
          <w:szCs w:val="22"/>
        </w:rPr>
        <w:t xml:space="preserve"> a</w:t>
      </w:r>
      <w:r w:rsidR="002164FB">
        <w:rPr>
          <w:rFonts w:cs="Arial"/>
          <w:szCs w:val="22"/>
        </w:rPr>
        <w:t xml:space="preserve"> trh</w:t>
      </w:r>
      <w:r w:rsidR="00AA6364">
        <w:rPr>
          <w:rFonts w:cs="Arial"/>
          <w:szCs w:val="22"/>
        </w:rPr>
        <w:t xml:space="preserve"> stavebních prací </w:t>
      </w:r>
      <w:r w:rsidR="002C671F">
        <w:rPr>
          <w:rFonts w:cs="Arial"/>
          <w:szCs w:val="22"/>
        </w:rPr>
        <w:t>v </w:t>
      </w:r>
      <w:r w:rsidR="00AA6364">
        <w:rPr>
          <w:rFonts w:cs="Arial"/>
          <w:szCs w:val="22"/>
        </w:rPr>
        <w:t>hodnotě 263 mil. Kč bez DPH</w:t>
      </w:r>
      <w:r w:rsidR="00BD0DA7">
        <w:rPr>
          <w:rFonts w:cs="Arial"/>
          <w:szCs w:val="22"/>
        </w:rPr>
        <w:t xml:space="preserve"> (13 % všech nákupů)</w:t>
      </w:r>
      <w:r w:rsidR="00AA6364">
        <w:rPr>
          <w:rFonts w:cs="Arial"/>
          <w:szCs w:val="22"/>
        </w:rPr>
        <w:t xml:space="preserve"> </w:t>
      </w:r>
      <w:r w:rsidR="005661F0">
        <w:rPr>
          <w:rFonts w:cs="Arial"/>
          <w:szCs w:val="22"/>
        </w:rPr>
        <w:t>vykazoval</w:t>
      </w:r>
      <w:r w:rsidR="000355C0">
        <w:rPr>
          <w:rFonts w:cs="Arial"/>
          <w:szCs w:val="22"/>
        </w:rPr>
        <w:t>y</w:t>
      </w:r>
      <w:r w:rsidR="005661F0">
        <w:rPr>
          <w:rFonts w:cs="Arial"/>
          <w:szCs w:val="22"/>
        </w:rPr>
        <w:t xml:space="preserve"> </w:t>
      </w:r>
      <w:r w:rsidR="002164FB">
        <w:rPr>
          <w:rFonts w:cs="Arial"/>
          <w:szCs w:val="22"/>
        </w:rPr>
        <w:t xml:space="preserve">v uvedených druzích řízení </w:t>
      </w:r>
      <w:r w:rsidR="005661F0">
        <w:rPr>
          <w:rFonts w:cs="Arial"/>
          <w:szCs w:val="22"/>
        </w:rPr>
        <w:t xml:space="preserve">obdobnou výši procenta </w:t>
      </w:r>
      <w:r w:rsidR="00DE2BD9">
        <w:rPr>
          <w:rFonts w:cs="Arial"/>
          <w:szCs w:val="22"/>
        </w:rPr>
        <w:t>„</w:t>
      </w:r>
      <w:r w:rsidR="005661F0">
        <w:rPr>
          <w:rFonts w:cs="Arial"/>
          <w:szCs w:val="22"/>
        </w:rPr>
        <w:t>úspor</w:t>
      </w:r>
      <w:r w:rsidR="00DE2BD9">
        <w:rPr>
          <w:rFonts w:cs="Arial"/>
          <w:szCs w:val="22"/>
        </w:rPr>
        <w:t>“</w:t>
      </w:r>
      <w:r w:rsidR="005661F0">
        <w:rPr>
          <w:rFonts w:cs="Arial"/>
          <w:szCs w:val="22"/>
        </w:rPr>
        <w:t>.</w:t>
      </w:r>
    </w:p>
    <w:p w:rsidR="001066B6" w:rsidRDefault="001066B6" w:rsidP="00995000">
      <w:pPr>
        <w:spacing w:after="0"/>
        <w:rPr>
          <w:rFonts w:cs="Arial"/>
          <w:b/>
          <w:szCs w:val="22"/>
        </w:rPr>
      </w:pPr>
    </w:p>
    <w:p w:rsidR="00D73242" w:rsidRDefault="002164FB" w:rsidP="00995000">
      <w:pPr>
        <w:spacing w:after="0"/>
        <w:rPr>
          <w:b/>
        </w:rPr>
      </w:pPr>
      <w:r w:rsidRPr="008875A3">
        <w:rPr>
          <w:rFonts w:cs="Arial"/>
          <w:b/>
          <w:szCs w:val="22"/>
        </w:rPr>
        <w:t xml:space="preserve">Ke </w:t>
      </w:r>
      <w:r w:rsidR="005826D5" w:rsidRPr="008875A3">
        <w:rPr>
          <w:rFonts w:cs="Arial"/>
          <w:b/>
          <w:szCs w:val="22"/>
        </w:rPr>
        <w:t>kontrolované</w:t>
      </w:r>
      <w:r w:rsidRPr="008875A3">
        <w:rPr>
          <w:rFonts w:cs="Arial"/>
          <w:b/>
          <w:szCs w:val="22"/>
        </w:rPr>
        <w:t>mu</w:t>
      </w:r>
      <w:r w:rsidR="005826D5" w:rsidRPr="008875A3">
        <w:rPr>
          <w:rFonts w:cs="Arial"/>
          <w:b/>
          <w:szCs w:val="22"/>
        </w:rPr>
        <w:t xml:space="preserve"> vzorku zadaných zakázek</w:t>
      </w:r>
      <w:r w:rsidR="00CD361D" w:rsidRPr="008875A3">
        <w:rPr>
          <w:rStyle w:val="Znakapoznpodarou"/>
          <w:b/>
          <w:szCs w:val="22"/>
        </w:rPr>
        <w:footnoteReference w:id="24"/>
      </w:r>
      <w:r w:rsidR="005826D5" w:rsidRPr="008875A3">
        <w:rPr>
          <w:rFonts w:cs="Arial"/>
          <w:b/>
          <w:szCs w:val="22"/>
        </w:rPr>
        <w:t xml:space="preserve"> uvedlo kvalifikovaný odhad úspor</w:t>
      </w:r>
      <w:r w:rsidRPr="008875A3">
        <w:rPr>
          <w:rFonts w:cs="Arial"/>
          <w:b/>
          <w:szCs w:val="22"/>
        </w:rPr>
        <w:t xml:space="preserve"> z nákupních cen</w:t>
      </w:r>
      <w:r w:rsidR="005C2DFE">
        <w:rPr>
          <w:rFonts w:cs="Arial"/>
          <w:b/>
          <w:szCs w:val="22"/>
        </w:rPr>
        <w:t xml:space="preserve"> jen MMR</w:t>
      </w:r>
      <w:r w:rsidR="005826D5" w:rsidRPr="008875A3">
        <w:rPr>
          <w:rFonts w:cs="Arial"/>
          <w:b/>
          <w:szCs w:val="22"/>
        </w:rPr>
        <w:t xml:space="preserve">. </w:t>
      </w:r>
      <w:r w:rsidR="002C671F">
        <w:rPr>
          <w:b/>
        </w:rPr>
        <w:t>V </w:t>
      </w:r>
      <w:r w:rsidR="005826D5" w:rsidRPr="008875A3">
        <w:rPr>
          <w:b/>
        </w:rPr>
        <w:t>resortu MSp neb</w:t>
      </w:r>
      <w:r w:rsidR="00E72F2D" w:rsidRPr="008875A3">
        <w:rPr>
          <w:b/>
        </w:rPr>
        <w:t>yly úspory z nákupu sledovány a </w:t>
      </w:r>
      <w:r w:rsidR="007956DC" w:rsidRPr="008875A3">
        <w:rPr>
          <w:b/>
        </w:rPr>
        <w:t>vyhodnocovány</w:t>
      </w:r>
      <w:r w:rsidR="007A7DF9" w:rsidRPr="008875A3">
        <w:rPr>
          <w:b/>
        </w:rPr>
        <w:t>.</w:t>
      </w:r>
    </w:p>
    <w:p w:rsidR="001066B6" w:rsidRDefault="001066B6" w:rsidP="00995000">
      <w:pPr>
        <w:spacing w:after="0"/>
        <w:rPr>
          <w:rFonts w:cs="Arial"/>
          <w:szCs w:val="22"/>
        </w:rPr>
      </w:pPr>
    </w:p>
    <w:p w:rsidR="00410607" w:rsidRDefault="00BD0DA7" w:rsidP="00995000">
      <w:pPr>
        <w:spacing w:after="0"/>
        <w:rPr>
          <w:rFonts w:cs="Arial"/>
          <w:szCs w:val="22"/>
        </w:rPr>
      </w:pPr>
      <w:r>
        <w:rPr>
          <w:rFonts w:cs="Arial"/>
          <w:b/>
          <w:szCs w:val="22"/>
        </w:rPr>
        <w:t>V rámci hodnocení</w:t>
      </w:r>
      <w:r w:rsidR="00F247E0" w:rsidRPr="008875A3">
        <w:rPr>
          <w:rFonts w:cs="Arial"/>
          <w:b/>
          <w:szCs w:val="22"/>
        </w:rPr>
        <w:t xml:space="preserve"> přínosu </w:t>
      </w:r>
      <w:r w:rsidR="005117FB" w:rsidRPr="008875A3">
        <w:rPr>
          <w:rFonts w:cs="Arial"/>
          <w:b/>
          <w:szCs w:val="22"/>
        </w:rPr>
        <w:t xml:space="preserve">nových </w:t>
      </w:r>
      <w:r w:rsidR="00F247E0" w:rsidRPr="008875A3">
        <w:rPr>
          <w:rFonts w:cs="Arial"/>
          <w:b/>
          <w:szCs w:val="22"/>
        </w:rPr>
        <w:t xml:space="preserve">e-tržišť k transparentnosti se NKÚ neztotožnil s názorem MMR, že výchozí </w:t>
      </w:r>
      <w:r w:rsidR="009451FB" w:rsidRPr="008875A3">
        <w:rPr>
          <w:rFonts w:cs="Arial"/>
          <w:b/>
          <w:szCs w:val="22"/>
        </w:rPr>
        <w:t>stav</w:t>
      </w:r>
      <w:r w:rsidR="005117FB" w:rsidRPr="008875A3">
        <w:rPr>
          <w:rFonts w:cs="Arial"/>
          <w:b/>
          <w:szCs w:val="22"/>
        </w:rPr>
        <w:t xml:space="preserve"> i přes </w:t>
      </w:r>
      <w:r w:rsidR="00AA6364" w:rsidRPr="008875A3">
        <w:rPr>
          <w:rFonts w:cs="Arial"/>
          <w:b/>
          <w:szCs w:val="22"/>
        </w:rPr>
        <w:t>jin</w:t>
      </w:r>
      <w:r w:rsidR="005117FB" w:rsidRPr="008875A3">
        <w:rPr>
          <w:rFonts w:cs="Arial"/>
          <w:b/>
          <w:szCs w:val="22"/>
        </w:rPr>
        <w:t>é</w:t>
      </w:r>
      <w:r w:rsidR="00AA6364" w:rsidRPr="008875A3">
        <w:rPr>
          <w:rFonts w:cs="Arial"/>
          <w:b/>
          <w:szCs w:val="22"/>
        </w:rPr>
        <w:t xml:space="preserve"> technick</w:t>
      </w:r>
      <w:r w:rsidR="005117FB" w:rsidRPr="008875A3">
        <w:rPr>
          <w:rFonts w:cs="Arial"/>
          <w:b/>
          <w:szCs w:val="22"/>
        </w:rPr>
        <w:t>é</w:t>
      </w:r>
      <w:r w:rsidR="00AA6364" w:rsidRPr="008875A3">
        <w:rPr>
          <w:rFonts w:cs="Arial"/>
          <w:b/>
          <w:szCs w:val="22"/>
        </w:rPr>
        <w:t xml:space="preserve"> podmínk</w:t>
      </w:r>
      <w:r w:rsidR="005117FB" w:rsidRPr="008875A3">
        <w:rPr>
          <w:rFonts w:cs="Arial"/>
          <w:b/>
          <w:szCs w:val="22"/>
        </w:rPr>
        <w:t>y</w:t>
      </w:r>
      <w:r w:rsidR="000753DA" w:rsidRPr="008875A3">
        <w:rPr>
          <w:rFonts w:cs="Arial"/>
          <w:b/>
          <w:szCs w:val="22"/>
        </w:rPr>
        <w:t xml:space="preserve"> </w:t>
      </w:r>
      <w:r w:rsidR="005117FB" w:rsidRPr="008875A3">
        <w:rPr>
          <w:rFonts w:cs="Arial"/>
          <w:b/>
          <w:szCs w:val="22"/>
        </w:rPr>
        <w:t xml:space="preserve">původních ICT e-tržišť </w:t>
      </w:r>
      <w:r w:rsidR="00F247E0" w:rsidRPr="008875A3">
        <w:rPr>
          <w:rFonts w:cs="Arial"/>
          <w:b/>
          <w:szCs w:val="22"/>
        </w:rPr>
        <w:t>byl</w:t>
      </w:r>
      <w:r w:rsidR="009451FB" w:rsidRPr="008875A3">
        <w:rPr>
          <w:rFonts w:cs="Arial"/>
          <w:b/>
          <w:szCs w:val="22"/>
        </w:rPr>
        <w:t xml:space="preserve"> netransparentní, čili nulový</w:t>
      </w:r>
      <w:r w:rsidR="0053316B" w:rsidRPr="008875A3">
        <w:rPr>
          <w:rFonts w:cs="Arial"/>
          <w:b/>
          <w:szCs w:val="22"/>
        </w:rPr>
        <w:t>.</w:t>
      </w:r>
      <w:r w:rsidR="0053316B" w:rsidRPr="00FC0EB6">
        <w:rPr>
          <w:rFonts w:cs="Arial"/>
          <w:szCs w:val="22"/>
        </w:rPr>
        <w:t xml:space="preserve"> </w:t>
      </w:r>
      <w:r w:rsidR="00F247E0" w:rsidRPr="00FC0EB6">
        <w:rPr>
          <w:rFonts w:cs="Arial"/>
          <w:szCs w:val="22"/>
        </w:rPr>
        <w:t>V</w:t>
      </w:r>
      <w:r w:rsidR="009451FB" w:rsidRPr="00FC0EB6">
        <w:rPr>
          <w:rFonts w:cs="Arial"/>
          <w:szCs w:val="22"/>
        </w:rPr>
        <w:t> roce 2011 byl</w:t>
      </w:r>
      <w:r w:rsidR="0053316B" w:rsidRPr="00FC0EB6">
        <w:rPr>
          <w:rFonts w:cs="Arial"/>
          <w:szCs w:val="22"/>
        </w:rPr>
        <w:t xml:space="preserve">o realizováno </w:t>
      </w:r>
      <w:r w:rsidR="00B65C90" w:rsidRPr="00FC0EB6">
        <w:rPr>
          <w:rFonts w:cs="Arial"/>
          <w:szCs w:val="22"/>
        </w:rPr>
        <w:t xml:space="preserve">celkem </w:t>
      </w:r>
      <w:r w:rsidR="0053316B" w:rsidRPr="00FC0EB6">
        <w:rPr>
          <w:rFonts w:cs="Arial"/>
          <w:szCs w:val="22"/>
        </w:rPr>
        <w:t xml:space="preserve">40,5 tis. zakázek malého rozsahu </w:t>
      </w:r>
      <w:r w:rsidR="00E87945" w:rsidRPr="00FC0EB6">
        <w:rPr>
          <w:rFonts w:cs="Arial"/>
          <w:szCs w:val="22"/>
        </w:rPr>
        <w:t xml:space="preserve">přes </w:t>
      </w:r>
      <w:r w:rsidR="00444C57" w:rsidRPr="00FC0EB6">
        <w:rPr>
          <w:rFonts w:cs="Arial"/>
          <w:szCs w:val="22"/>
        </w:rPr>
        <w:t xml:space="preserve">ICT </w:t>
      </w:r>
      <w:r w:rsidR="00E87945" w:rsidRPr="00FC0EB6">
        <w:rPr>
          <w:rFonts w:cs="Arial"/>
          <w:szCs w:val="22"/>
        </w:rPr>
        <w:t xml:space="preserve">e-tržiště </w:t>
      </w:r>
      <w:r w:rsidR="009451FB" w:rsidRPr="00FC0EB6">
        <w:rPr>
          <w:rFonts w:cs="Arial"/>
          <w:szCs w:val="22"/>
        </w:rPr>
        <w:t xml:space="preserve">dle UV </w:t>
      </w:r>
      <w:r>
        <w:rPr>
          <w:rFonts w:cs="Arial"/>
          <w:szCs w:val="22"/>
        </w:rPr>
        <w:t xml:space="preserve">ze dne 26. 6. 2002 </w:t>
      </w:r>
      <w:r w:rsidR="009451FB" w:rsidRPr="00FC0EB6">
        <w:rPr>
          <w:rFonts w:cs="Arial"/>
          <w:szCs w:val="22"/>
        </w:rPr>
        <w:t>č. 683, e-tržiště SEPO</w:t>
      </w:r>
      <w:r w:rsidR="0053316B" w:rsidRPr="00FC0EB6">
        <w:rPr>
          <w:rFonts w:cs="Arial"/>
          <w:szCs w:val="22"/>
        </w:rPr>
        <w:t xml:space="preserve"> </w:t>
      </w:r>
      <w:r w:rsidR="00B65C90" w:rsidRPr="00FC0EB6">
        <w:rPr>
          <w:rFonts w:cs="Arial"/>
          <w:szCs w:val="22"/>
        </w:rPr>
        <w:t>používan</w:t>
      </w:r>
      <w:r w:rsidR="00B65C90">
        <w:rPr>
          <w:rFonts w:cs="Arial"/>
          <w:szCs w:val="22"/>
        </w:rPr>
        <w:t>é</w:t>
      </w:r>
      <w:r w:rsidR="00B65C90" w:rsidRPr="00FC0EB6">
        <w:rPr>
          <w:rFonts w:cs="Arial"/>
          <w:szCs w:val="22"/>
        </w:rPr>
        <w:t xml:space="preserve"> </w:t>
      </w:r>
      <w:r w:rsidR="0053316B" w:rsidRPr="00FC0EB6">
        <w:rPr>
          <w:rFonts w:cs="Arial"/>
          <w:szCs w:val="22"/>
        </w:rPr>
        <w:t>organizacemi resortu obrany a</w:t>
      </w:r>
      <w:r w:rsidR="009451FB" w:rsidRPr="00FC0EB6">
        <w:rPr>
          <w:rFonts w:cs="Arial"/>
          <w:szCs w:val="22"/>
        </w:rPr>
        <w:t xml:space="preserve"> e-tržiš</w:t>
      </w:r>
      <w:r w:rsidR="0053316B" w:rsidRPr="00FC0EB6">
        <w:rPr>
          <w:rFonts w:cs="Arial"/>
          <w:szCs w:val="22"/>
        </w:rPr>
        <w:t>tě</w:t>
      </w:r>
      <w:r w:rsidR="009451FB" w:rsidRPr="00FC0EB6">
        <w:rPr>
          <w:rFonts w:cs="Arial"/>
          <w:szCs w:val="22"/>
        </w:rPr>
        <w:t xml:space="preserve"> E-ZAK</w:t>
      </w:r>
      <w:r w:rsidR="0053316B" w:rsidRPr="00FC0EB6">
        <w:rPr>
          <w:rFonts w:cs="Arial"/>
          <w:szCs w:val="22"/>
        </w:rPr>
        <w:t xml:space="preserve"> </w:t>
      </w:r>
      <w:r w:rsidR="00B65C90" w:rsidRPr="00FC0EB6">
        <w:rPr>
          <w:rFonts w:cs="Arial"/>
          <w:szCs w:val="22"/>
        </w:rPr>
        <w:t>používan</w:t>
      </w:r>
      <w:r w:rsidR="00B65C90">
        <w:rPr>
          <w:rFonts w:cs="Arial"/>
          <w:szCs w:val="22"/>
        </w:rPr>
        <w:t>é</w:t>
      </w:r>
      <w:r w:rsidR="00B65C90" w:rsidRPr="00FC0EB6">
        <w:rPr>
          <w:rFonts w:cs="Arial"/>
          <w:szCs w:val="22"/>
        </w:rPr>
        <w:t xml:space="preserve"> </w:t>
      </w:r>
      <w:r w:rsidR="0053316B" w:rsidRPr="00FC0EB6">
        <w:rPr>
          <w:rFonts w:cs="Arial"/>
          <w:szCs w:val="22"/>
        </w:rPr>
        <w:t>MMR</w:t>
      </w:r>
      <w:r w:rsidR="009451FB" w:rsidRPr="00FC0EB6">
        <w:rPr>
          <w:rFonts w:cs="Arial"/>
          <w:szCs w:val="22"/>
        </w:rPr>
        <w:t xml:space="preserve">. </w:t>
      </w:r>
      <w:r w:rsidR="0053316B" w:rsidRPr="00FC0EB6">
        <w:rPr>
          <w:rFonts w:cs="Arial"/>
          <w:szCs w:val="22"/>
        </w:rPr>
        <w:t xml:space="preserve">Celková hodnota těchto zakázek byla </w:t>
      </w:r>
      <w:r w:rsidR="009451FB" w:rsidRPr="00FC0EB6">
        <w:rPr>
          <w:rFonts w:cs="Arial"/>
          <w:szCs w:val="22"/>
        </w:rPr>
        <w:t>min</w:t>
      </w:r>
      <w:r w:rsidR="005E248C">
        <w:rPr>
          <w:rFonts w:cs="Arial"/>
          <w:szCs w:val="22"/>
        </w:rPr>
        <w:t>imálně</w:t>
      </w:r>
      <w:r w:rsidR="009451FB" w:rsidRPr="00FC0EB6">
        <w:rPr>
          <w:rFonts w:cs="Arial"/>
          <w:szCs w:val="22"/>
        </w:rPr>
        <w:t xml:space="preserve"> 1,3</w:t>
      </w:r>
      <w:r w:rsidR="005E248C">
        <w:rPr>
          <w:rFonts w:cs="Arial"/>
          <w:szCs w:val="22"/>
        </w:rPr>
        <w:t> </w:t>
      </w:r>
      <w:r w:rsidR="009451FB" w:rsidRPr="00FC0EB6">
        <w:rPr>
          <w:rFonts w:cs="Arial"/>
          <w:szCs w:val="22"/>
        </w:rPr>
        <w:t>mld.</w:t>
      </w:r>
      <w:r w:rsidR="005E248C">
        <w:rPr>
          <w:rFonts w:cs="Arial"/>
          <w:szCs w:val="22"/>
        </w:rPr>
        <w:t> </w:t>
      </w:r>
      <w:r w:rsidR="00BC4089">
        <w:rPr>
          <w:rFonts w:cs="Arial"/>
          <w:szCs w:val="22"/>
        </w:rPr>
        <w:t>Kč.</w:t>
      </w:r>
      <w:r w:rsidR="009451FB" w:rsidRPr="00FC0EB6">
        <w:rPr>
          <w:rStyle w:val="Znakapoznpodarou"/>
          <w:szCs w:val="22"/>
        </w:rPr>
        <w:footnoteReference w:id="25"/>
      </w:r>
      <w:r w:rsidR="00F247E0" w:rsidRPr="00FC0EB6">
        <w:rPr>
          <w:rFonts w:cs="Arial"/>
          <w:szCs w:val="22"/>
        </w:rPr>
        <w:t xml:space="preserve"> </w:t>
      </w:r>
    </w:p>
    <w:p w:rsidR="001066B6" w:rsidRPr="00FC0EB6" w:rsidRDefault="001066B6" w:rsidP="00995000">
      <w:pPr>
        <w:spacing w:after="0"/>
        <w:rPr>
          <w:rFonts w:cs="Arial"/>
          <w:szCs w:val="22"/>
        </w:rPr>
      </w:pPr>
    </w:p>
    <w:p w:rsidR="00EB4E7E" w:rsidRPr="00FC0EB6" w:rsidRDefault="00814E60" w:rsidP="001668DA">
      <w:pPr>
        <w:pStyle w:val="Nadpis2"/>
        <w:keepNext w:val="0"/>
        <w:keepLines w:val="0"/>
        <w:spacing w:before="0" w:after="120"/>
      </w:pPr>
      <w:r>
        <w:t xml:space="preserve">6.2 </w:t>
      </w:r>
      <w:r w:rsidR="009D4836" w:rsidRPr="00FC0EB6">
        <w:t>Plnění povinností zadávání na e-tržištích kontrolovanými osobami</w:t>
      </w:r>
    </w:p>
    <w:p w:rsidR="009D4836" w:rsidRDefault="009D4836" w:rsidP="001668DA">
      <w:pPr>
        <w:spacing w:after="0"/>
      </w:pPr>
      <w:r w:rsidRPr="00FC0EB6">
        <w:t xml:space="preserve">Povinnost nákupu přes e-tržiště stanovilo MMR všem </w:t>
      </w:r>
      <w:r w:rsidR="004C2FB2">
        <w:t xml:space="preserve">svým </w:t>
      </w:r>
      <w:r w:rsidRPr="00FC0EB6">
        <w:t>útvarům a podřízeným organizacím vnitřním předpisem,</w:t>
      </w:r>
      <w:r>
        <w:t xml:space="preserve"> ve kterém byla stanovena povinnost zasílat jedenkrát za kalendářní rok informace o objemu nákupu komodit ze Seznamu</w:t>
      </w:r>
      <w:r w:rsidR="001C366C">
        <w:t xml:space="preserve"> komodit</w:t>
      </w:r>
      <w:r>
        <w:t>, a to jak přes e-tržiště, tak mimo</w:t>
      </w:r>
      <w:r w:rsidR="004C2FB2">
        <w:t xml:space="preserve"> něj</w:t>
      </w:r>
      <w:r>
        <w:t>. Za rok 2012 MMR nevyhodnotilo dodržení UV</w:t>
      </w:r>
      <w:r w:rsidR="00264C38">
        <w:t xml:space="preserve"> </w:t>
      </w:r>
      <w:r w:rsidR="004C2FB2">
        <w:rPr>
          <w:rFonts w:cs="Arial"/>
          <w:szCs w:val="22"/>
        </w:rPr>
        <w:t xml:space="preserve">ze dne 10. 5. 2010 </w:t>
      </w:r>
      <w:r w:rsidR="00264C38">
        <w:t>č. 343 v aktuálním znění</w:t>
      </w:r>
      <w:r w:rsidR="004C2FB2">
        <w:t>;</w:t>
      </w:r>
      <w:r>
        <w:t xml:space="preserve"> </w:t>
      </w:r>
      <w:r w:rsidR="004C2FB2">
        <w:t>navíc pro takové hodnocení ani</w:t>
      </w:r>
      <w:r>
        <w:t xml:space="preserve"> neobdrželo </w:t>
      </w:r>
      <w:r w:rsidR="00B65C90">
        <w:t xml:space="preserve">informace </w:t>
      </w:r>
      <w:r>
        <w:t xml:space="preserve">od všech </w:t>
      </w:r>
      <w:r w:rsidR="00E91AE6">
        <w:t>subjektů.</w:t>
      </w:r>
    </w:p>
    <w:p w:rsidR="001066B6" w:rsidRDefault="001066B6" w:rsidP="001668DA">
      <w:pPr>
        <w:spacing w:after="0"/>
      </w:pPr>
    </w:p>
    <w:p w:rsidR="009D4836" w:rsidRDefault="002E4630" w:rsidP="001668DA">
      <w:pPr>
        <w:spacing w:after="0"/>
        <w:rPr>
          <w:rFonts w:cs="Arial"/>
          <w:szCs w:val="22"/>
        </w:rPr>
      </w:pPr>
      <w:r>
        <w:rPr>
          <w:rFonts w:cs="Arial"/>
          <w:szCs w:val="22"/>
        </w:rPr>
        <w:t xml:space="preserve">MSp stanovilo povinnost nákupu </w:t>
      </w:r>
      <w:r w:rsidR="004C2FB2">
        <w:rPr>
          <w:rFonts w:cs="Arial"/>
          <w:szCs w:val="22"/>
        </w:rPr>
        <w:t xml:space="preserve">přes e-tržiště </w:t>
      </w:r>
      <w:r>
        <w:rPr>
          <w:rFonts w:cs="Arial"/>
          <w:szCs w:val="22"/>
        </w:rPr>
        <w:t>také vnitřním předpisem, a to ve výši 100</w:t>
      </w:r>
      <w:r w:rsidR="00140B1C">
        <w:rPr>
          <w:rFonts w:cs="Arial"/>
          <w:szCs w:val="22"/>
        </w:rPr>
        <w:t xml:space="preserve"> </w:t>
      </w:r>
      <w:r>
        <w:rPr>
          <w:rFonts w:cs="Arial"/>
          <w:szCs w:val="22"/>
        </w:rPr>
        <w:t xml:space="preserve">% nákupu povinných komodit i pro podřízené organizace. </w:t>
      </w:r>
      <w:r w:rsidR="00E91AE6">
        <w:rPr>
          <w:rFonts w:cs="Arial"/>
          <w:szCs w:val="22"/>
        </w:rPr>
        <w:t xml:space="preserve">Avšak mechanismus sběru dat pro vyhodnocení dodržování povinnosti nastaven nebyl. </w:t>
      </w:r>
    </w:p>
    <w:p w:rsidR="001066B6" w:rsidRDefault="001066B6" w:rsidP="001668DA">
      <w:pPr>
        <w:spacing w:after="0"/>
        <w:rPr>
          <w:rFonts w:cs="Arial"/>
          <w:szCs w:val="22"/>
        </w:rPr>
      </w:pPr>
    </w:p>
    <w:p w:rsidR="00F427B7" w:rsidRDefault="00E91AE6" w:rsidP="001668DA">
      <w:pPr>
        <w:spacing w:after="0"/>
        <w:rPr>
          <w:rFonts w:cs="Arial"/>
          <w:szCs w:val="22"/>
        </w:rPr>
      </w:pPr>
      <w:r>
        <w:rPr>
          <w:rFonts w:cs="Arial"/>
          <w:szCs w:val="22"/>
        </w:rPr>
        <w:t>MMR a MSp vedly evidenc</w:t>
      </w:r>
      <w:r w:rsidR="004C2FB2">
        <w:rPr>
          <w:rFonts w:cs="Arial"/>
          <w:szCs w:val="22"/>
        </w:rPr>
        <w:t>e</w:t>
      </w:r>
      <w:r>
        <w:rPr>
          <w:rFonts w:cs="Arial"/>
          <w:szCs w:val="22"/>
        </w:rPr>
        <w:t xml:space="preserve"> objednávek a zakázek</w:t>
      </w:r>
      <w:r w:rsidR="008033C2" w:rsidRPr="008033C2">
        <w:rPr>
          <w:rFonts w:cs="Arial"/>
          <w:szCs w:val="22"/>
        </w:rPr>
        <w:t xml:space="preserve"> </w:t>
      </w:r>
      <w:r w:rsidR="008033C2" w:rsidRPr="00E317C6">
        <w:rPr>
          <w:rFonts w:cs="Arial"/>
          <w:szCs w:val="22"/>
        </w:rPr>
        <w:t xml:space="preserve">realizovaných přes e-tržiště </w:t>
      </w:r>
      <w:r w:rsidR="00501FEC">
        <w:rPr>
          <w:rFonts w:cs="Arial"/>
          <w:szCs w:val="22"/>
        </w:rPr>
        <w:t>i</w:t>
      </w:r>
      <w:r w:rsidR="008033C2" w:rsidRPr="00E317C6">
        <w:rPr>
          <w:rFonts w:cs="Arial"/>
          <w:szCs w:val="22"/>
        </w:rPr>
        <w:t xml:space="preserve"> mimo</w:t>
      </w:r>
      <w:r w:rsidR="00F01967">
        <w:rPr>
          <w:rFonts w:cs="Arial"/>
          <w:szCs w:val="22"/>
        </w:rPr>
        <w:t xml:space="preserve"> ně</w:t>
      </w:r>
      <w:r>
        <w:rPr>
          <w:rFonts w:cs="Arial"/>
          <w:szCs w:val="22"/>
        </w:rPr>
        <w:t xml:space="preserve">, </w:t>
      </w:r>
      <w:r w:rsidR="00B65C90">
        <w:rPr>
          <w:rFonts w:cs="Arial"/>
          <w:szCs w:val="22"/>
        </w:rPr>
        <w:t>na základě</w:t>
      </w:r>
      <w:r>
        <w:rPr>
          <w:rFonts w:cs="Arial"/>
          <w:szCs w:val="22"/>
        </w:rPr>
        <w:t xml:space="preserve"> kterých NKÚ prove</w:t>
      </w:r>
      <w:r w:rsidR="001668DA">
        <w:rPr>
          <w:rFonts w:cs="Arial"/>
          <w:szCs w:val="22"/>
        </w:rPr>
        <w:t>dl analýzu dodržování povinností</w:t>
      </w:r>
      <w:r>
        <w:rPr>
          <w:rFonts w:cs="Arial"/>
          <w:szCs w:val="22"/>
        </w:rPr>
        <w:t xml:space="preserve"> </w:t>
      </w:r>
      <w:r w:rsidR="00501FEC">
        <w:rPr>
          <w:rFonts w:cs="Arial"/>
          <w:szCs w:val="22"/>
        </w:rPr>
        <w:t>předepsan</w:t>
      </w:r>
      <w:r w:rsidR="001668DA">
        <w:rPr>
          <w:rFonts w:cs="Arial"/>
          <w:szCs w:val="22"/>
        </w:rPr>
        <w:t>ých</w:t>
      </w:r>
      <w:r w:rsidR="004C2FB2">
        <w:rPr>
          <w:rFonts w:cs="Arial"/>
          <w:szCs w:val="22"/>
        </w:rPr>
        <w:t xml:space="preserve"> usnesením vlády ze dne 10. 5. 2010</w:t>
      </w:r>
      <w:r>
        <w:rPr>
          <w:rFonts w:cs="Arial"/>
          <w:szCs w:val="22"/>
        </w:rPr>
        <w:t xml:space="preserve"> č.</w:t>
      </w:r>
      <w:r w:rsidR="004C2FB2">
        <w:rPr>
          <w:rFonts w:cs="Arial"/>
          <w:szCs w:val="22"/>
        </w:rPr>
        <w:t> </w:t>
      </w:r>
      <w:r>
        <w:rPr>
          <w:rFonts w:cs="Arial"/>
          <w:szCs w:val="22"/>
        </w:rPr>
        <w:t xml:space="preserve">343 v aktuálním znění. </w:t>
      </w:r>
      <w:r w:rsidR="009D4836" w:rsidRPr="00E317C6">
        <w:rPr>
          <w:rFonts w:cs="Arial"/>
          <w:szCs w:val="22"/>
        </w:rPr>
        <w:t xml:space="preserve">KS </w:t>
      </w:r>
      <w:r w:rsidR="009D4836">
        <w:rPr>
          <w:rFonts w:cs="Arial"/>
          <w:szCs w:val="22"/>
        </w:rPr>
        <w:t>ÚL</w:t>
      </w:r>
      <w:r w:rsidR="00E72F2D">
        <w:rPr>
          <w:rFonts w:cs="Arial"/>
          <w:szCs w:val="22"/>
        </w:rPr>
        <w:t xml:space="preserve"> a</w:t>
      </w:r>
      <w:r w:rsidR="002731AD">
        <w:rPr>
          <w:rFonts w:cs="Arial"/>
          <w:szCs w:val="22"/>
        </w:rPr>
        <w:t xml:space="preserve"> </w:t>
      </w:r>
      <w:r w:rsidR="00751CC4" w:rsidRPr="00E317C6">
        <w:rPr>
          <w:rFonts w:cs="Arial"/>
          <w:szCs w:val="22"/>
        </w:rPr>
        <w:t>K</w:t>
      </w:r>
      <w:r w:rsidR="00751CC4">
        <w:rPr>
          <w:rFonts w:cs="Arial"/>
          <w:szCs w:val="22"/>
        </w:rPr>
        <w:t>SZ</w:t>
      </w:r>
      <w:r w:rsidR="00751CC4" w:rsidRPr="00E317C6">
        <w:rPr>
          <w:rFonts w:cs="Arial"/>
          <w:szCs w:val="22"/>
        </w:rPr>
        <w:t xml:space="preserve"> </w:t>
      </w:r>
      <w:r w:rsidR="009D4836">
        <w:rPr>
          <w:rFonts w:cs="Arial"/>
          <w:szCs w:val="22"/>
        </w:rPr>
        <w:t xml:space="preserve">ÚL, </w:t>
      </w:r>
      <w:r w:rsidR="004C2FB2">
        <w:rPr>
          <w:rFonts w:cs="Arial"/>
          <w:szCs w:val="22"/>
        </w:rPr>
        <w:t>které jsou</w:t>
      </w:r>
      <w:r w:rsidR="009D4836">
        <w:rPr>
          <w:rFonts w:cs="Arial"/>
          <w:szCs w:val="22"/>
        </w:rPr>
        <w:t xml:space="preserve"> podřízen</w:t>
      </w:r>
      <w:r w:rsidR="004C2FB2">
        <w:rPr>
          <w:rFonts w:cs="Arial"/>
          <w:szCs w:val="22"/>
        </w:rPr>
        <w:t>ými</w:t>
      </w:r>
      <w:r w:rsidR="009D4836">
        <w:rPr>
          <w:rFonts w:cs="Arial"/>
          <w:szCs w:val="22"/>
        </w:rPr>
        <w:t xml:space="preserve"> organizace</w:t>
      </w:r>
      <w:r w:rsidR="004C2FB2">
        <w:rPr>
          <w:rFonts w:cs="Arial"/>
          <w:szCs w:val="22"/>
        </w:rPr>
        <w:t>mi</w:t>
      </w:r>
      <w:r w:rsidR="009D4836">
        <w:rPr>
          <w:rFonts w:cs="Arial"/>
          <w:szCs w:val="22"/>
        </w:rPr>
        <w:t xml:space="preserve"> MSp,</w:t>
      </w:r>
      <w:r w:rsidR="008033C2">
        <w:rPr>
          <w:rFonts w:cs="Arial"/>
          <w:szCs w:val="22"/>
        </w:rPr>
        <w:t xml:space="preserve"> tuto</w:t>
      </w:r>
      <w:r w:rsidR="009D4836" w:rsidRPr="00E317C6">
        <w:rPr>
          <w:rFonts w:cs="Arial"/>
          <w:szCs w:val="22"/>
        </w:rPr>
        <w:t xml:space="preserve"> evidenci nevedly</w:t>
      </w:r>
      <w:r w:rsidR="009D4836">
        <w:rPr>
          <w:rFonts w:cs="Arial"/>
          <w:szCs w:val="22"/>
        </w:rPr>
        <w:t xml:space="preserve"> vůbec.</w:t>
      </w:r>
      <w:r w:rsidR="00107FF0">
        <w:rPr>
          <w:rFonts w:cs="Arial"/>
          <w:szCs w:val="22"/>
        </w:rPr>
        <w:t xml:space="preserve"> U MSp </w:t>
      </w:r>
      <w:r w:rsidR="005636F2">
        <w:rPr>
          <w:rFonts w:cs="Arial"/>
          <w:szCs w:val="22"/>
        </w:rPr>
        <w:t xml:space="preserve">zjistil </w:t>
      </w:r>
      <w:r w:rsidR="004C2FB2">
        <w:rPr>
          <w:rFonts w:cs="Arial"/>
          <w:szCs w:val="22"/>
        </w:rPr>
        <w:t xml:space="preserve">NKÚ </w:t>
      </w:r>
      <w:r w:rsidR="005636F2">
        <w:rPr>
          <w:rFonts w:cs="Arial"/>
          <w:szCs w:val="22"/>
        </w:rPr>
        <w:t xml:space="preserve">chyby v údajích </w:t>
      </w:r>
      <w:r w:rsidR="004C2FB2">
        <w:rPr>
          <w:rFonts w:cs="Arial"/>
          <w:szCs w:val="22"/>
        </w:rPr>
        <w:t>i</w:t>
      </w:r>
      <w:r w:rsidR="005636F2">
        <w:rPr>
          <w:rFonts w:cs="Arial"/>
          <w:szCs w:val="22"/>
        </w:rPr>
        <w:t xml:space="preserve"> ve způsobu </w:t>
      </w:r>
      <w:r w:rsidR="005636F2">
        <w:rPr>
          <w:rFonts w:cs="Arial"/>
          <w:szCs w:val="22"/>
        </w:rPr>
        <w:lastRenderedPageBreak/>
        <w:t>evidence</w:t>
      </w:r>
      <w:r w:rsidR="00AF7C2F">
        <w:rPr>
          <w:rStyle w:val="Znakapoznpodarou"/>
          <w:szCs w:val="22"/>
        </w:rPr>
        <w:footnoteReference w:id="26"/>
      </w:r>
      <w:r w:rsidR="005636F2">
        <w:rPr>
          <w:rFonts w:cs="Arial"/>
          <w:szCs w:val="22"/>
        </w:rPr>
        <w:t xml:space="preserve">, který neumožňoval </w:t>
      </w:r>
      <w:r w:rsidR="005636F2" w:rsidRPr="00F427B7">
        <w:rPr>
          <w:rFonts w:cs="Arial"/>
          <w:szCs w:val="22"/>
        </w:rPr>
        <w:t>přesnou identifikaci zakázek</w:t>
      </w:r>
      <w:r w:rsidR="005636F2">
        <w:rPr>
          <w:rFonts w:cs="Arial"/>
          <w:szCs w:val="22"/>
        </w:rPr>
        <w:t>. Tuto evidenci</w:t>
      </w:r>
      <w:r w:rsidR="00992B61">
        <w:rPr>
          <w:rFonts w:cs="Arial"/>
          <w:szCs w:val="22"/>
        </w:rPr>
        <w:t>,</w:t>
      </w:r>
      <w:r w:rsidR="005636F2">
        <w:rPr>
          <w:rFonts w:cs="Arial"/>
          <w:szCs w:val="22"/>
        </w:rPr>
        <w:t xml:space="preserve"> </w:t>
      </w:r>
      <w:r w:rsidR="00992B61">
        <w:rPr>
          <w:rFonts w:cs="Arial"/>
          <w:szCs w:val="22"/>
        </w:rPr>
        <w:t xml:space="preserve">která měla sloužit </w:t>
      </w:r>
      <w:r w:rsidR="004C2FB2">
        <w:rPr>
          <w:rFonts w:cs="Arial"/>
          <w:szCs w:val="22"/>
        </w:rPr>
        <w:t>ke zvýšení</w:t>
      </w:r>
      <w:r w:rsidR="00992B61">
        <w:rPr>
          <w:rFonts w:cs="Arial"/>
          <w:szCs w:val="22"/>
        </w:rPr>
        <w:t xml:space="preserve"> transparentnosti, </w:t>
      </w:r>
      <w:r w:rsidR="005636F2">
        <w:rPr>
          <w:rFonts w:cs="Arial"/>
          <w:szCs w:val="22"/>
        </w:rPr>
        <w:t>tak nelze považovat za</w:t>
      </w:r>
      <w:r w:rsidR="005636F2" w:rsidRPr="00F427B7">
        <w:rPr>
          <w:rFonts w:cs="Arial"/>
          <w:szCs w:val="22"/>
        </w:rPr>
        <w:t xml:space="preserve"> relevantní zdroj informací pro kontrolu plnění povinnost</w:t>
      </w:r>
      <w:r w:rsidR="005636F2">
        <w:rPr>
          <w:rFonts w:cs="Arial"/>
          <w:szCs w:val="22"/>
        </w:rPr>
        <w:t>í</w:t>
      </w:r>
      <w:r w:rsidR="005636F2" w:rsidRPr="00F427B7">
        <w:rPr>
          <w:rFonts w:cs="Arial"/>
          <w:szCs w:val="22"/>
        </w:rPr>
        <w:t xml:space="preserve"> vyplývající</w:t>
      </w:r>
      <w:r w:rsidR="00C2032F">
        <w:rPr>
          <w:rFonts w:cs="Arial"/>
          <w:szCs w:val="22"/>
        </w:rPr>
        <w:t>ch</w:t>
      </w:r>
      <w:r w:rsidR="005636F2" w:rsidRPr="00F427B7">
        <w:rPr>
          <w:rFonts w:cs="Arial"/>
          <w:szCs w:val="22"/>
        </w:rPr>
        <w:t xml:space="preserve"> z</w:t>
      </w:r>
      <w:r w:rsidR="00992B61">
        <w:rPr>
          <w:rFonts w:cs="Arial"/>
          <w:szCs w:val="22"/>
        </w:rPr>
        <w:t> </w:t>
      </w:r>
      <w:r w:rsidR="005636F2" w:rsidRPr="00F427B7">
        <w:rPr>
          <w:rFonts w:cs="Arial"/>
          <w:szCs w:val="22"/>
        </w:rPr>
        <w:t>UV</w:t>
      </w:r>
      <w:r w:rsidR="00992B61">
        <w:rPr>
          <w:rFonts w:cs="Arial"/>
          <w:szCs w:val="22"/>
        </w:rPr>
        <w:t xml:space="preserve"> </w:t>
      </w:r>
      <w:r w:rsidR="00C2032F">
        <w:rPr>
          <w:rFonts w:cs="Arial"/>
          <w:szCs w:val="22"/>
        </w:rPr>
        <w:t xml:space="preserve">ze dne 10. 5. 2010 </w:t>
      </w:r>
      <w:r w:rsidR="00264CAF">
        <w:rPr>
          <w:rFonts w:cs="Arial"/>
          <w:szCs w:val="22"/>
        </w:rPr>
        <w:t>č. 343</w:t>
      </w:r>
      <w:r w:rsidR="00C2032F">
        <w:rPr>
          <w:rFonts w:cs="Arial"/>
          <w:szCs w:val="22"/>
        </w:rPr>
        <w:t>,</w:t>
      </w:r>
      <w:r w:rsidR="00264CAF">
        <w:rPr>
          <w:rFonts w:cs="Arial"/>
          <w:szCs w:val="22"/>
        </w:rPr>
        <w:t xml:space="preserve"> resp. </w:t>
      </w:r>
      <w:r w:rsidR="00C2032F" w:rsidRPr="00F427B7">
        <w:rPr>
          <w:rFonts w:cs="Arial"/>
          <w:szCs w:val="22"/>
        </w:rPr>
        <w:t>UV</w:t>
      </w:r>
      <w:r w:rsidR="00C2032F">
        <w:rPr>
          <w:rFonts w:cs="Arial"/>
          <w:szCs w:val="22"/>
        </w:rPr>
        <w:t xml:space="preserve"> ze dne 28. 3. 2012 č. </w:t>
      </w:r>
      <w:r w:rsidR="00264CAF">
        <w:rPr>
          <w:rFonts w:cs="Arial"/>
          <w:szCs w:val="22"/>
        </w:rPr>
        <w:t>222</w:t>
      </w:r>
      <w:r w:rsidR="00501FEC">
        <w:rPr>
          <w:rFonts w:cs="Arial"/>
          <w:szCs w:val="22"/>
        </w:rPr>
        <w:t>,</w:t>
      </w:r>
      <w:r w:rsidR="00264CAF">
        <w:rPr>
          <w:rFonts w:cs="Arial"/>
          <w:szCs w:val="22"/>
        </w:rPr>
        <w:t xml:space="preserve"> </w:t>
      </w:r>
      <w:r w:rsidR="003E69D0">
        <w:rPr>
          <w:rFonts w:cs="Arial"/>
          <w:szCs w:val="22"/>
        </w:rPr>
        <w:t>a </w:t>
      </w:r>
      <w:r w:rsidR="00992B61">
        <w:rPr>
          <w:rFonts w:cs="Arial"/>
          <w:szCs w:val="22"/>
        </w:rPr>
        <w:t>vnitřního předpisu MSp</w:t>
      </w:r>
      <w:r w:rsidR="005636F2">
        <w:rPr>
          <w:rFonts w:cs="Arial"/>
          <w:szCs w:val="22"/>
        </w:rPr>
        <w:t>.</w:t>
      </w:r>
    </w:p>
    <w:p w:rsidR="00186626" w:rsidRDefault="00186626" w:rsidP="001668DA">
      <w:pPr>
        <w:spacing w:after="0"/>
        <w:rPr>
          <w:rFonts w:cs="Arial"/>
          <w:szCs w:val="22"/>
        </w:rPr>
      </w:pPr>
    </w:p>
    <w:p w:rsidR="00723955" w:rsidRDefault="005636F2" w:rsidP="001668DA">
      <w:pPr>
        <w:spacing w:after="0"/>
        <w:rPr>
          <w:rFonts w:cs="Arial"/>
          <w:szCs w:val="22"/>
        </w:rPr>
      </w:pPr>
      <w:r>
        <w:rPr>
          <w:rFonts w:cs="Arial"/>
          <w:szCs w:val="22"/>
        </w:rPr>
        <w:t>Skutečnost, že data pro statistická hodnocení a hodnocení cílů</w:t>
      </w:r>
      <w:r w:rsidR="00E72F2D">
        <w:rPr>
          <w:rFonts w:cs="Arial"/>
          <w:szCs w:val="22"/>
        </w:rPr>
        <w:t xml:space="preserve"> jsou nesprávná, potvrzují i </w:t>
      </w:r>
      <w:r w:rsidR="00723955">
        <w:rPr>
          <w:rFonts w:cs="Arial"/>
          <w:szCs w:val="22"/>
        </w:rPr>
        <w:t>výsledky kontroly evidence zakázek MMR, MSp a</w:t>
      </w:r>
      <w:r w:rsidR="0032794F">
        <w:rPr>
          <w:rFonts w:cs="Arial"/>
          <w:szCs w:val="22"/>
        </w:rPr>
        <w:t xml:space="preserve"> stejně tak i</w:t>
      </w:r>
      <w:r w:rsidR="00723955">
        <w:rPr>
          <w:rFonts w:cs="Arial"/>
          <w:szCs w:val="22"/>
        </w:rPr>
        <w:t xml:space="preserve"> kontrola vybraného vzorku zakázek zadaných přes e-tržiště u všech kontrolovaných osob.</w:t>
      </w:r>
      <w:r w:rsidR="005528A1" w:rsidRPr="005528A1">
        <w:rPr>
          <w:rFonts w:cs="Arial"/>
          <w:szCs w:val="22"/>
        </w:rPr>
        <w:t xml:space="preserve"> </w:t>
      </w:r>
    </w:p>
    <w:p w:rsidR="001066B6" w:rsidRDefault="001066B6" w:rsidP="001668DA">
      <w:pPr>
        <w:spacing w:after="0"/>
        <w:rPr>
          <w:rFonts w:cs="Arial"/>
          <w:szCs w:val="22"/>
        </w:rPr>
      </w:pPr>
    </w:p>
    <w:p w:rsidR="009D4836" w:rsidRDefault="002C671F" w:rsidP="001668DA">
      <w:pPr>
        <w:spacing w:after="0"/>
        <w:rPr>
          <w:rFonts w:cs="Arial"/>
          <w:szCs w:val="22"/>
        </w:rPr>
      </w:pPr>
      <w:r>
        <w:rPr>
          <w:rFonts w:cs="Arial"/>
          <w:b/>
          <w:szCs w:val="22"/>
        </w:rPr>
        <w:t>Z </w:t>
      </w:r>
      <w:r w:rsidR="009D4836" w:rsidRPr="00D60224">
        <w:rPr>
          <w:rFonts w:cs="Arial"/>
          <w:b/>
          <w:szCs w:val="22"/>
        </w:rPr>
        <w:t>evidence zakázek a objednávek bylo zjištěno, že MMR a MSp realizoval</w:t>
      </w:r>
      <w:r w:rsidR="00B65C90">
        <w:rPr>
          <w:rFonts w:cs="Arial"/>
          <w:b/>
          <w:szCs w:val="22"/>
        </w:rPr>
        <w:t>y</w:t>
      </w:r>
      <w:r w:rsidR="009D4836" w:rsidRPr="00D60224">
        <w:rPr>
          <w:rFonts w:cs="Arial"/>
          <w:b/>
          <w:szCs w:val="22"/>
        </w:rPr>
        <w:t xml:space="preserve"> </w:t>
      </w:r>
      <w:r w:rsidR="003E7E88" w:rsidRPr="00D60224">
        <w:rPr>
          <w:rFonts w:cs="Arial"/>
          <w:b/>
          <w:szCs w:val="22"/>
        </w:rPr>
        <w:t xml:space="preserve">některé </w:t>
      </w:r>
      <w:r w:rsidR="009D4836" w:rsidRPr="00D60224">
        <w:rPr>
          <w:rFonts w:cs="Arial"/>
          <w:b/>
          <w:szCs w:val="22"/>
        </w:rPr>
        <w:t>nákupy komodit s povinností pro e-tržiště přesahující hodnotu 50 tis. Kč bez DPH mimo e-tržiště</w:t>
      </w:r>
      <w:r w:rsidR="0032794F">
        <w:rPr>
          <w:rFonts w:cs="Arial"/>
          <w:b/>
          <w:szCs w:val="22"/>
        </w:rPr>
        <w:t>,</w:t>
      </w:r>
      <w:r w:rsidR="00E72F2D" w:rsidRPr="00D60224">
        <w:rPr>
          <w:rFonts w:cs="Arial"/>
          <w:b/>
          <w:szCs w:val="22"/>
        </w:rPr>
        <w:t xml:space="preserve"> a </w:t>
      </w:r>
      <w:r w:rsidR="009D4836" w:rsidRPr="00D60224">
        <w:rPr>
          <w:rFonts w:cs="Arial"/>
          <w:b/>
          <w:szCs w:val="22"/>
        </w:rPr>
        <w:t xml:space="preserve">postupovaly tak v rozporu s UV </w:t>
      </w:r>
      <w:r w:rsidR="0032794F" w:rsidRPr="00422812">
        <w:rPr>
          <w:rFonts w:cs="Arial"/>
          <w:b/>
          <w:szCs w:val="22"/>
        </w:rPr>
        <w:t xml:space="preserve">ze dne 10. 5. 2010 </w:t>
      </w:r>
      <w:r w:rsidR="009D4836" w:rsidRPr="00D60224">
        <w:rPr>
          <w:rFonts w:cs="Arial"/>
          <w:b/>
          <w:szCs w:val="22"/>
        </w:rPr>
        <w:t xml:space="preserve">č. 343. </w:t>
      </w:r>
      <w:r w:rsidR="009D4836" w:rsidRPr="005528A1">
        <w:rPr>
          <w:rFonts w:cs="Arial"/>
          <w:szCs w:val="22"/>
        </w:rPr>
        <w:t>Ob</w:t>
      </w:r>
      <w:r w:rsidR="00EC4DF2" w:rsidRPr="005528A1">
        <w:rPr>
          <w:rFonts w:cs="Arial"/>
          <w:szCs w:val="22"/>
        </w:rPr>
        <w:t>ě kontrolovaná ministerstva tedy</w:t>
      </w:r>
      <w:r w:rsidR="009D4836" w:rsidRPr="00C47EBB">
        <w:rPr>
          <w:rFonts w:cs="Arial"/>
          <w:szCs w:val="22"/>
        </w:rPr>
        <w:t xml:space="preserve"> nedodržel</w:t>
      </w:r>
      <w:r w:rsidR="00723955" w:rsidRPr="005528A1">
        <w:rPr>
          <w:rFonts w:cs="Arial"/>
          <w:szCs w:val="22"/>
        </w:rPr>
        <w:t>a</w:t>
      </w:r>
      <w:r w:rsidR="009D4836" w:rsidRPr="005528A1">
        <w:rPr>
          <w:rFonts w:cs="Arial"/>
          <w:szCs w:val="22"/>
        </w:rPr>
        <w:t xml:space="preserve"> limit 100 % u nákupu povinných komodit přes e-tržiště. </w:t>
      </w:r>
      <w:r w:rsidR="00107FF0" w:rsidRPr="005528A1">
        <w:rPr>
          <w:rFonts w:cs="Arial"/>
          <w:szCs w:val="22"/>
        </w:rPr>
        <w:t>Dále bylo zjištěno, že</w:t>
      </w:r>
      <w:r w:rsidR="007815EA" w:rsidRPr="005528A1">
        <w:rPr>
          <w:rFonts w:cs="Arial"/>
          <w:szCs w:val="22"/>
        </w:rPr>
        <w:t xml:space="preserve"> </w:t>
      </w:r>
      <w:r w:rsidR="0032794F">
        <w:rPr>
          <w:rFonts w:cs="Arial"/>
          <w:szCs w:val="22"/>
        </w:rPr>
        <w:t xml:space="preserve">jak </w:t>
      </w:r>
      <w:r w:rsidR="003E69D0">
        <w:rPr>
          <w:rFonts w:cs="Arial"/>
          <w:szCs w:val="22"/>
        </w:rPr>
        <w:t>MMR</w:t>
      </w:r>
      <w:r w:rsidR="0032794F">
        <w:rPr>
          <w:rFonts w:cs="Arial"/>
          <w:szCs w:val="22"/>
        </w:rPr>
        <w:t>, tak</w:t>
      </w:r>
      <w:r w:rsidR="003E69D0">
        <w:rPr>
          <w:rFonts w:cs="Arial"/>
          <w:szCs w:val="22"/>
        </w:rPr>
        <w:t xml:space="preserve"> i </w:t>
      </w:r>
      <w:r w:rsidR="009D4836" w:rsidRPr="005528A1">
        <w:rPr>
          <w:rFonts w:cs="Arial"/>
          <w:szCs w:val="22"/>
        </w:rPr>
        <w:t>MSp zadal</w:t>
      </w:r>
      <w:r w:rsidR="00322E91" w:rsidRPr="005528A1">
        <w:rPr>
          <w:rFonts w:cs="Arial"/>
          <w:szCs w:val="22"/>
        </w:rPr>
        <w:t>o</w:t>
      </w:r>
      <w:r w:rsidR="009D4836" w:rsidRPr="005528A1">
        <w:rPr>
          <w:rFonts w:cs="Arial"/>
          <w:szCs w:val="22"/>
        </w:rPr>
        <w:t xml:space="preserve"> v několika případech mimo e-tržiště v krátkém časovém intervalu či ve stejný den objednávky se stejným předmětem plnění povinných komodit</w:t>
      </w:r>
      <w:r w:rsidR="00211BCE" w:rsidRPr="005528A1">
        <w:rPr>
          <w:rFonts w:cs="Arial"/>
          <w:szCs w:val="22"/>
        </w:rPr>
        <w:t xml:space="preserve"> ve finančním limitu do 50 tis. Kč bez DPH</w:t>
      </w:r>
      <w:r w:rsidR="009D4836" w:rsidRPr="005528A1">
        <w:rPr>
          <w:rFonts w:cs="Arial"/>
          <w:szCs w:val="22"/>
        </w:rPr>
        <w:t xml:space="preserve">. </w:t>
      </w:r>
      <w:r w:rsidR="00211BCE" w:rsidRPr="005528A1">
        <w:rPr>
          <w:rFonts w:cs="Arial"/>
          <w:szCs w:val="22"/>
        </w:rPr>
        <w:t xml:space="preserve">Tímto dělením tak mohou zadavatelé obcházet povinnosti stanovené Pravidly. </w:t>
      </w:r>
      <w:r w:rsidR="00BC12FB">
        <w:rPr>
          <w:rFonts w:cs="Arial"/>
          <w:szCs w:val="22"/>
        </w:rPr>
        <w:t>V kontrolovaném vzorku byly potvrzeny nedostatky zjištěné analýz</w:t>
      </w:r>
      <w:r w:rsidR="00981DFA">
        <w:rPr>
          <w:rFonts w:cs="Arial"/>
          <w:szCs w:val="22"/>
        </w:rPr>
        <w:t>ou</w:t>
      </w:r>
      <w:r w:rsidR="00BC12FB">
        <w:rPr>
          <w:rFonts w:cs="Arial"/>
          <w:szCs w:val="22"/>
        </w:rPr>
        <w:t xml:space="preserve"> údajů </w:t>
      </w:r>
      <w:r w:rsidR="00981DFA">
        <w:rPr>
          <w:rFonts w:cs="Arial"/>
          <w:szCs w:val="22"/>
        </w:rPr>
        <w:t>z</w:t>
      </w:r>
      <w:r>
        <w:rPr>
          <w:rFonts w:cs="Arial"/>
          <w:szCs w:val="22"/>
        </w:rPr>
        <w:t> </w:t>
      </w:r>
      <w:proofErr w:type="spellStart"/>
      <w:r w:rsidR="00BC12FB">
        <w:rPr>
          <w:rFonts w:cs="Arial"/>
          <w:szCs w:val="22"/>
        </w:rPr>
        <w:t>datasetu</w:t>
      </w:r>
      <w:proofErr w:type="spellEnd"/>
      <w:r w:rsidR="00BC12FB">
        <w:rPr>
          <w:rFonts w:cs="Arial"/>
          <w:szCs w:val="22"/>
        </w:rPr>
        <w:t xml:space="preserve"> </w:t>
      </w:r>
      <w:proofErr w:type="spellStart"/>
      <w:r w:rsidR="00BC12FB">
        <w:rPr>
          <w:rFonts w:cs="Arial"/>
          <w:szCs w:val="22"/>
        </w:rPr>
        <w:t>VZ</w:t>
      </w:r>
      <w:proofErr w:type="spellEnd"/>
      <w:r w:rsidR="00BC12FB">
        <w:rPr>
          <w:rFonts w:cs="Arial"/>
          <w:szCs w:val="22"/>
        </w:rPr>
        <w:t xml:space="preserve"> (viz kapitola 5).</w:t>
      </w:r>
    </w:p>
    <w:p w:rsidR="001066B6" w:rsidRPr="005528A1" w:rsidRDefault="001066B6" w:rsidP="001668DA">
      <w:pPr>
        <w:spacing w:after="0"/>
        <w:rPr>
          <w:rFonts w:cs="Arial"/>
          <w:szCs w:val="22"/>
        </w:rPr>
      </w:pPr>
    </w:p>
    <w:p w:rsidR="008938A8" w:rsidRDefault="00723955" w:rsidP="001668DA">
      <w:pPr>
        <w:spacing w:after="0"/>
        <w:rPr>
          <w:rFonts w:cs="Arial"/>
          <w:szCs w:val="22"/>
        </w:rPr>
      </w:pPr>
      <w:r>
        <w:rPr>
          <w:rFonts w:cs="Arial"/>
          <w:szCs w:val="22"/>
        </w:rPr>
        <w:t>Další zjištěné skutečnosti</w:t>
      </w:r>
      <w:r w:rsidR="00DD40EE">
        <w:rPr>
          <w:rFonts w:cs="Arial"/>
          <w:szCs w:val="22"/>
        </w:rPr>
        <w:t xml:space="preserve"> svědčily</w:t>
      </w:r>
      <w:r>
        <w:rPr>
          <w:rFonts w:cs="Arial"/>
          <w:szCs w:val="22"/>
        </w:rPr>
        <w:t xml:space="preserve"> o nedodržení zákona o VZ a Pravidel. Zákon o VZ byl </w:t>
      </w:r>
      <w:r w:rsidR="00433A61">
        <w:rPr>
          <w:rFonts w:cs="Arial"/>
          <w:szCs w:val="22"/>
        </w:rPr>
        <w:t xml:space="preserve">například </w:t>
      </w:r>
      <w:r w:rsidR="00981DFA">
        <w:rPr>
          <w:rFonts w:cs="Arial"/>
          <w:szCs w:val="22"/>
        </w:rPr>
        <w:t>porušen</w:t>
      </w:r>
      <w:r>
        <w:rPr>
          <w:rFonts w:cs="Arial"/>
          <w:szCs w:val="22"/>
        </w:rPr>
        <w:t xml:space="preserve"> </w:t>
      </w:r>
      <w:r w:rsidR="00B96D29">
        <w:rPr>
          <w:rFonts w:cs="Arial"/>
          <w:szCs w:val="22"/>
        </w:rPr>
        <w:t>zadáním zakázky diskriminačním způsobem</w:t>
      </w:r>
      <w:r w:rsidR="00B96D29" w:rsidRPr="00B96D29">
        <w:rPr>
          <w:rFonts w:cs="Arial"/>
          <w:szCs w:val="22"/>
        </w:rPr>
        <w:t xml:space="preserve"> </w:t>
      </w:r>
      <w:r w:rsidR="008F39FF">
        <w:rPr>
          <w:rFonts w:cs="Arial"/>
          <w:szCs w:val="22"/>
        </w:rPr>
        <w:t>u KS ÚL, neboť zde byl uveden</w:t>
      </w:r>
      <w:r w:rsidR="00B96D29">
        <w:rPr>
          <w:rFonts w:cs="Arial"/>
          <w:szCs w:val="22"/>
        </w:rPr>
        <w:t xml:space="preserve"> konkrétní typ mobilního telefonu </w:t>
      </w:r>
      <w:r w:rsidR="00981DFA">
        <w:rPr>
          <w:rFonts w:cs="Arial"/>
          <w:szCs w:val="22"/>
        </w:rPr>
        <w:t>i</w:t>
      </w:r>
      <w:r w:rsidR="00B96D29">
        <w:rPr>
          <w:rFonts w:cs="Arial"/>
          <w:szCs w:val="22"/>
        </w:rPr>
        <w:t xml:space="preserve"> obchodní značk</w:t>
      </w:r>
      <w:r w:rsidR="00981DFA">
        <w:rPr>
          <w:rFonts w:cs="Arial"/>
          <w:szCs w:val="22"/>
        </w:rPr>
        <w:t>a</w:t>
      </w:r>
      <w:r w:rsidR="00B96D29">
        <w:rPr>
          <w:rFonts w:cs="Arial"/>
          <w:szCs w:val="22"/>
        </w:rPr>
        <w:t xml:space="preserve">, </w:t>
      </w:r>
      <w:r w:rsidR="00981DFA">
        <w:rPr>
          <w:rFonts w:cs="Arial"/>
          <w:szCs w:val="22"/>
        </w:rPr>
        <w:t>či</w:t>
      </w:r>
      <w:r w:rsidR="00B96D29">
        <w:rPr>
          <w:rFonts w:cs="Arial"/>
          <w:szCs w:val="22"/>
        </w:rPr>
        <w:t xml:space="preserve"> </w:t>
      </w:r>
      <w:r w:rsidR="00433A61">
        <w:rPr>
          <w:rFonts w:cs="Arial"/>
          <w:szCs w:val="22"/>
        </w:rPr>
        <w:t>nedodržení</w:t>
      </w:r>
      <w:r w:rsidR="00B65C90">
        <w:rPr>
          <w:rFonts w:cs="Arial"/>
          <w:szCs w:val="22"/>
        </w:rPr>
        <w:t>m</w:t>
      </w:r>
      <w:r w:rsidR="00433A61">
        <w:rPr>
          <w:rFonts w:cs="Arial"/>
          <w:szCs w:val="22"/>
        </w:rPr>
        <w:t xml:space="preserve"> povinnosti </w:t>
      </w:r>
      <w:r>
        <w:rPr>
          <w:rFonts w:cs="Arial"/>
          <w:szCs w:val="22"/>
        </w:rPr>
        <w:t>zveřejn</w:t>
      </w:r>
      <w:r w:rsidR="00390826">
        <w:rPr>
          <w:rFonts w:cs="Arial"/>
          <w:szCs w:val="22"/>
        </w:rPr>
        <w:t>it</w:t>
      </w:r>
      <w:r>
        <w:rPr>
          <w:rFonts w:cs="Arial"/>
          <w:szCs w:val="22"/>
        </w:rPr>
        <w:t xml:space="preserve"> sml</w:t>
      </w:r>
      <w:r w:rsidR="00390826">
        <w:rPr>
          <w:rFonts w:cs="Arial"/>
          <w:szCs w:val="22"/>
        </w:rPr>
        <w:t>ouvu</w:t>
      </w:r>
      <w:r>
        <w:rPr>
          <w:rFonts w:cs="Arial"/>
          <w:szCs w:val="22"/>
        </w:rPr>
        <w:t xml:space="preserve"> k VZ nad 500 tis. </w:t>
      </w:r>
      <w:r w:rsidR="00EF5519">
        <w:rPr>
          <w:rFonts w:cs="Arial"/>
          <w:szCs w:val="22"/>
        </w:rPr>
        <w:t xml:space="preserve">Kč </w:t>
      </w:r>
      <w:r>
        <w:rPr>
          <w:rFonts w:cs="Arial"/>
          <w:szCs w:val="22"/>
        </w:rPr>
        <w:t>bez DPH na pro</w:t>
      </w:r>
      <w:r w:rsidR="00B96D29">
        <w:rPr>
          <w:rFonts w:cs="Arial"/>
          <w:szCs w:val="22"/>
        </w:rPr>
        <w:t xml:space="preserve">filu zadavatele </w:t>
      </w:r>
      <w:r w:rsidR="00390826">
        <w:rPr>
          <w:rFonts w:cs="Arial"/>
          <w:szCs w:val="22"/>
        </w:rPr>
        <w:t>(</w:t>
      </w:r>
      <w:r w:rsidR="00B96D29">
        <w:rPr>
          <w:rFonts w:cs="Arial"/>
          <w:szCs w:val="22"/>
        </w:rPr>
        <w:t>MMR a MSp</w:t>
      </w:r>
      <w:r w:rsidR="00390826">
        <w:rPr>
          <w:rFonts w:cs="Arial"/>
          <w:szCs w:val="22"/>
        </w:rPr>
        <w:t>)</w:t>
      </w:r>
      <w:r w:rsidR="008938A8">
        <w:rPr>
          <w:rFonts w:cs="Arial"/>
          <w:szCs w:val="22"/>
        </w:rPr>
        <w:t xml:space="preserve">. </w:t>
      </w:r>
      <w:r w:rsidR="00390826">
        <w:rPr>
          <w:rFonts w:cs="Arial"/>
          <w:szCs w:val="22"/>
        </w:rPr>
        <w:t xml:space="preserve">Při </w:t>
      </w:r>
      <w:r w:rsidR="00B96D29">
        <w:rPr>
          <w:rFonts w:cs="Arial"/>
          <w:szCs w:val="22"/>
        </w:rPr>
        <w:t xml:space="preserve">kontrole MSp bylo zjištěno, že nebyl dodržen zákon č. </w:t>
      </w:r>
      <w:r w:rsidR="00B96D29" w:rsidRPr="00D27C03">
        <w:rPr>
          <w:rFonts w:cs="Arial"/>
          <w:szCs w:val="22"/>
        </w:rPr>
        <w:t>219/200</w:t>
      </w:r>
      <w:r w:rsidR="009013BE">
        <w:rPr>
          <w:rFonts w:cs="Arial"/>
          <w:szCs w:val="22"/>
        </w:rPr>
        <w:t>0</w:t>
      </w:r>
      <w:r w:rsidR="00B96D29" w:rsidRPr="00D27C03">
        <w:rPr>
          <w:rFonts w:cs="Arial"/>
          <w:szCs w:val="22"/>
        </w:rPr>
        <w:t xml:space="preserve"> Sb., o majetku České republiky a jejím vystupování v právních vztazích, kter</w:t>
      </w:r>
      <w:r w:rsidR="00B96D29">
        <w:rPr>
          <w:rFonts w:cs="Arial"/>
          <w:szCs w:val="22"/>
        </w:rPr>
        <w:t>ý</w:t>
      </w:r>
      <w:r w:rsidR="00B96D29" w:rsidRPr="00D27C03">
        <w:rPr>
          <w:rFonts w:cs="Arial"/>
          <w:szCs w:val="22"/>
        </w:rPr>
        <w:t xml:space="preserve"> ukládá pro nabytí majetku </w:t>
      </w:r>
      <w:r w:rsidR="00390826">
        <w:rPr>
          <w:rFonts w:cs="Arial"/>
          <w:szCs w:val="22"/>
        </w:rPr>
        <w:t xml:space="preserve">povinnost </w:t>
      </w:r>
      <w:r w:rsidR="00B96D29" w:rsidRPr="00D27C03">
        <w:rPr>
          <w:rFonts w:cs="Arial"/>
          <w:szCs w:val="22"/>
        </w:rPr>
        <w:t>uzavř</w:t>
      </w:r>
      <w:r w:rsidR="00390826">
        <w:rPr>
          <w:rFonts w:cs="Arial"/>
          <w:szCs w:val="22"/>
        </w:rPr>
        <w:t>ít</w:t>
      </w:r>
      <w:r w:rsidR="00B96D29" w:rsidRPr="00D27C03">
        <w:rPr>
          <w:rFonts w:cs="Arial"/>
          <w:szCs w:val="22"/>
        </w:rPr>
        <w:t xml:space="preserve"> písemn</w:t>
      </w:r>
      <w:r w:rsidR="00390826">
        <w:rPr>
          <w:rFonts w:cs="Arial"/>
          <w:szCs w:val="22"/>
        </w:rPr>
        <w:t>ou</w:t>
      </w:r>
      <w:r w:rsidR="00B96D29" w:rsidRPr="00D27C03">
        <w:rPr>
          <w:rFonts w:cs="Arial"/>
          <w:szCs w:val="22"/>
        </w:rPr>
        <w:t xml:space="preserve"> smlouv</w:t>
      </w:r>
      <w:r w:rsidR="00390826">
        <w:rPr>
          <w:rFonts w:cs="Arial"/>
          <w:szCs w:val="22"/>
        </w:rPr>
        <w:t>u</w:t>
      </w:r>
      <w:r w:rsidR="00FE1FF0">
        <w:rPr>
          <w:rFonts w:cs="Arial"/>
          <w:szCs w:val="22"/>
        </w:rPr>
        <w:t xml:space="preserve"> s dodavatelem</w:t>
      </w:r>
      <w:r w:rsidR="00390826">
        <w:rPr>
          <w:rFonts w:cs="Arial"/>
          <w:szCs w:val="22"/>
        </w:rPr>
        <w:t>.</w:t>
      </w:r>
      <w:r w:rsidR="00B96D29">
        <w:rPr>
          <w:rFonts w:cs="Arial"/>
          <w:szCs w:val="22"/>
        </w:rPr>
        <w:t xml:space="preserve"> </w:t>
      </w:r>
      <w:r w:rsidR="00390826">
        <w:rPr>
          <w:rFonts w:cs="Arial"/>
          <w:szCs w:val="22"/>
        </w:rPr>
        <w:t xml:space="preserve">MSp však smlouvy </w:t>
      </w:r>
      <w:r w:rsidR="00B96D29">
        <w:rPr>
          <w:rFonts w:cs="Arial"/>
          <w:szCs w:val="22"/>
        </w:rPr>
        <w:t xml:space="preserve">na nákup majetku </w:t>
      </w:r>
      <w:r w:rsidR="00FE1FF0">
        <w:rPr>
          <w:rFonts w:cs="Arial"/>
          <w:szCs w:val="22"/>
        </w:rPr>
        <w:t xml:space="preserve">v některých případech </w:t>
      </w:r>
      <w:r w:rsidR="00390826">
        <w:rPr>
          <w:rFonts w:cs="Arial"/>
          <w:szCs w:val="22"/>
        </w:rPr>
        <w:t xml:space="preserve">s dodavatelem </w:t>
      </w:r>
      <w:r w:rsidR="00B96D29">
        <w:rPr>
          <w:rFonts w:cs="Arial"/>
          <w:szCs w:val="22"/>
        </w:rPr>
        <w:t xml:space="preserve">neuzavřelo. </w:t>
      </w:r>
      <w:r w:rsidR="000355C0">
        <w:rPr>
          <w:rFonts w:cs="Arial"/>
          <w:szCs w:val="22"/>
        </w:rPr>
        <w:t xml:space="preserve">Dále MMR porušilo Pravidla nedodržením lhůty </w:t>
      </w:r>
      <w:r w:rsidR="00390826">
        <w:rPr>
          <w:rFonts w:cs="Arial"/>
          <w:szCs w:val="22"/>
        </w:rPr>
        <w:t>pro</w:t>
      </w:r>
      <w:r w:rsidR="000355C0">
        <w:rPr>
          <w:rFonts w:cs="Arial"/>
          <w:szCs w:val="22"/>
        </w:rPr>
        <w:t xml:space="preserve"> podání nabídek u </w:t>
      </w:r>
      <w:r w:rsidR="00F44C1E">
        <w:rPr>
          <w:rFonts w:cs="Arial"/>
          <w:szCs w:val="22"/>
        </w:rPr>
        <w:t xml:space="preserve">čtyř z šestnácti kontrolovaných </w:t>
      </w:r>
      <w:r w:rsidR="000355C0">
        <w:rPr>
          <w:rFonts w:cs="Arial"/>
          <w:szCs w:val="22"/>
        </w:rPr>
        <w:t>VZ.</w:t>
      </w:r>
    </w:p>
    <w:p w:rsidR="001066B6" w:rsidRDefault="001066B6" w:rsidP="001668DA">
      <w:pPr>
        <w:spacing w:after="0"/>
        <w:rPr>
          <w:rFonts w:cs="Arial"/>
          <w:szCs w:val="22"/>
        </w:rPr>
      </w:pPr>
    </w:p>
    <w:p w:rsidR="006D43AC" w:rsidRPr="00A13CD2" w:rsidRDefault="00814E60" w:rsidP="00422812">
      <w:pPr>
        <w:pStyle w:val="Nadpis2"/>
        <w:keepNext w:val="0"/>
        <w:keepLines w:val="0"/>
        <w:spacing w:before="0" w:after="120"/>
      </w:pPr>
      <w:r>
        <w:t xml:space="preserve">6.3 </w:t>
      </w:r>
      <w:r w:rsidR="0053316B">
        <w:t>Plnění m</w:t>
      </w:r>
      <w:r w:rsidR="006D43AC">
        <w:t>onitorovací</w:t>
      </w:r>
      <w:r w:rsidR="00EF5519">
        <w:t>ho</w:t>
      </w:r>
      <w:r w:rsidR="006D43AC">
        <w:t xml:space="preserve"> indikátor</w:t>
      </w:r>
      <w:r w:rsidR="0053316B">
        <w:t xml:space="preserve">u a </w:t>
      </w:r>
      <w:r w:rsidR="00ED0D60">
        <w:t>jeho průběžné</w:t>
      </w:r>
      <w:r w:rsidR="006D43AC">
        <w:t xml:space="preserve"> vyhodnocení</w:t>
      </w:r>
    </w:p>
    <w:p w:rsidR="006D43AC" w:rsidRDefault="006D43AC" w:rsidP="00422812">
      <w:pPr>
        <w:spacing w:after="0"/>
        <w:rPr>
          <w:rFonts w:cs="Arial"/>
          <w:szCs w:val="22"/>
        </w:rPr>
      </w:pPr>
      <w:r>
        <w:rPr>
          <w:rFonts w:cs="Arial"/>
          <w:szCs w:val="22"/>
        </w:rPr>
        <w:t xml:space="preserve">Monitorovací zprávy </w:t>
      </w:r>
      <w:r w:rsidR="00AA6364">
        <w:rPr>
          <w:rFonts w:cs="Arial"/>
          <w:szCs w:val="22"/>
        </w:rPr>
        <w:t xml:space="preserve">projektu NIPEZ </w:t>
      </w:r>
      <w:r>
        <w:rPr>
          <w:rFonts w:cs="Arial"/>
          <w:szCs w:val="22"/>
        </w:rPr>
        <w:t xml:space="preserve">zpracované MMR a předložené </w:t>
      </w:r>
      <w:r w:rsidR="00390826">
        <w:rPr>
          <w:rFonts w:cs="Arial"/>
          <w:szCs w:val="22"/>
        </w:rPr>
        <w:t>z</w:t>
      </w:r>
      <w:r>
        <w:rPr>
          <w:rFonts w:cs="Arial"/>
          <w:szCs w:val="22"/>
        </w:rPr>
        <w:t xml:space="preserve">prostředkujícímu subjektu </w:t>
      </w:r>
      <w:r w:rsidR="002C671F">
        <w:rPr>
          <w:rFonts w:cs="Arial"/>
          <w:szCs w:val="22"/>
        </w:rPr>
        <w:t>v </w:t>
      </w:r>
      <w:r>
        <w:rPr>
          <w:rFonts w:cs="Arial"/>
          <w:szCs w:val="22"/>
        </w:rPr>
        <w:t xml:space="preserve">roce 2013 k průběžnému plnění monitorovacího </w:t>
      </w:r>
      <w:r w:rsidR="00E72F2D">
        <w:rPr>
          <w:rFonts w:cs="Arial"/>
          <w:szCs w:val="22"/>
        </w:rPr>
        <w:t xml:space="preserve">indikátoru </w:t>
      </w:r>
      <w:r w:rsidR="00390826">
        <w:rPr>
          <w:rFonts w:cs="Arial"/>
          <w:szCs w:val="22"/>
        </w:rPr>
        <w:t>„</w:t>
      </w:r>
      <w:r w:rsidR="00863C4D" w:rsidRPr="00863C4D">
        <w:rPr>
          <w:rFonts w:cs="Arial"/>
          <w:i/>
          <w:szCs w:val="22"/>
        </w:rPr>
        <w:t>p</w:t>
      </w:r>
      <w:r w:rsidR="00B65C90" w:rsidRPr="009143E6">
        <w:rPr>
          <w:rFonts w:cs="Arial"/>
          <w:i/>
          <w:szCs w:val="22"/>
        </w:rPr>
        <w:t>o</w:t>
      </w:r>
      <w:r w:rsidR="00B65C90">
        <w:rPr>
          <w:rFonts w:cs="Arial"/>
          <w:i/>
          <w:szCs w:val="22"/>
        </w:rPr>
        <w:t xml:space="preserve">díl </w:t>
      </w:r>
      <w:r w:rsidR="00E456A8" w:rsidRPr="009143E6">
        <w:rPr>
          <w:rFonts w:cs="Arial"/>
          <w:i/>
          <w:szCs w:val="22"/>
        </w:rPr>
        <w:t>digitalizovaných dokumentů</w:t>
      </w:r>
      <w:r w:rsidR="00390826">
        <w:rPr>
          <w:rFonts w:cs="Arial"/>
          <w:szCs w:val="22"/>
        </w:rPr>
        <w:t>“</w:t>
      </w:r>
      <w:r w:rsidR="00E456A8">
        <w:rPr>
          <w:rFonts w:cs="Arial"/>
          <w:szCs w:val="22"/>
        </w:rPr>
        <w:t xml:space="preserve"> </w:t>
      </w:r>
      <w:r w:rsidR="00E72F2D">
        <w:rPr>
          <w:rFonts w:cs="Arial"/>
          <w:szCs w:val="22"/>
        </w:rPr>
        <w:t>obsahovaly hodnotu 0 </w:t>
      </w:r>
      <w:r>
        <w:rPr>
          <w:rFonts w:cs="Arial"/>
          <w:szCs w:val="22"/>
        </w:rPr>
        <w:t xml:space="preserve">%. Vykazovaná hodnota je </w:t>
      </w:r>
      <w:r w:rsidR="007D378C">
        <w:rPr>
          <w:rFonts w:cs="Arial"/>
          <w:szCs w:val="22"/>
        </w:rPr>
        <w:t>v rozporu se skutečností</w:t>
      </w:r>
      <w:r>
        <w:rPr>
          <w:rFonts w:cs="Arial"/>
          <w:szCs w:val="22"/>
        </w:rPr>
        <w:t>, neboť jen v prvních 12 měsících pro</w:t>
      </w:r>
      <w:r w:rsidR="00E72F2D">
        <w:rPr>
          <w:rFonts w:cs="Arial"/>
          <w:szCs w:val="22"/>
        </w:rPr>
        <w:t>vozu e-tržišť bylo evidováno 44 </w:t>
      </w:r>
      <w:r>
        <w:rPr>
          <w:rFonts w:cs="Arial"/>
          <w:szCs w:val="22"/>
        </w:rPr>
        <w:t xml:space="preserve">218 VZ. Monitorovací zprávy tedy nezachycovaly skutečný stav plnění sledovaného indikátoru. Průběžný monitoring tak neplní svůj </w:t>
      </w:r>
      <w:r w:rsidR="00390826">
        <w:rPr>
          <w:rFonts w:cs="Arial"/>
          <w:szCs w:val="22"/>
        </w:rPr>
        <w:t>účel</w:t>
      </w:r>
      <w:r>
        <w:rPr>
          <w:rFonts w:cs="Arial"/>
          <w:szCs w:val="22"/>
        </w:rPr>
        <w:t xml:space="preserve">, neboť jím vykazované údaje nelze využít při řízení a realizaci projektu NIPEZ ani </w:t>
      </w:r>
      <w:r w:rsidR="00390826">
        <w:rPr>
          <w:rFonts w:cs="Arial"/>
          <w:szCs w:val="22"/>
        </w:rPr>
        <w:t xml:space="preserve">při </w:t>
      </w:r>
      <w:r>
        <w:rPr>
          <w:rFonts w:cs="Arial"/>
          <w:szCs w:val="22"/>
        </w:rPr>
        <w:t xml:space="preserve">sledování </w:t>
      </w:r>
      <w:r w:rsidR="00F40008">
        <w:rPr>
          <w:rFonts w:cs="Arial"/>
          <w:szCs w:val="22"/>
        </w:rPr>
        <w:t>příspěvku tohoto projektu</w:t>
      </w:r>
      <w:r w:rsidR="009D4836">
        <w:rPr>
          <w:rFonts w:cs="Arial"/>
          <w:szCs w:val="22"/>
        </w:rPr>
        <w:t xml:space="preserve"> </w:t>
      </w:r>
      <w:r w:rsidR="002C671F">
        <w:rPr>
          <w:rFonts w:cs="Arial"/>
          <w:szCs w:val="22"/>
        </w:rPr>
        <w:t>k </w:t>
      </w:r>
      <w:r>
        <w:rPr>
          <w:rFonts w:cs="Arial"/>
          <w:szCs w:val="22"/>
        </w:rPr>
        <w:t xml:space="preserve">naplňování implementace cílů intervence příslušné prioritní osy IOP. Vzhledem </w:t>
      </w:r>
      <w:r w:rsidR="002C671F">
        <w:rPr>
          <w:rFonts w:cs="Arial"/>
          <w:szCs w:val="22"/>
        </w:rPr>
        <w:t>k </w:t>
      </w:r>
      <w:r>
        <w:rPr>
          <w:rFonts w:cs="Arial"/>
          <w:szCs w:val="22"/>
        </w:rPr>
        <w:t>tomu, že nebyla nastavena metodika výpočtu tohoto indikátoru, jeho sledování a vyhodnocování není transparentní a neplní svůj účel.</w:t>
      </w:r>
    </w:p>
    <w:p w:rsidR="001066B6" w:rsidRDefault="001066B6" w:rsidP="00422812">
      <w:pPr>
        <w:spacing w:after="0"/>
        <w:rPr>
          <w:rFonts w:cs="Arial"/>
          <w:szCs w:val="22"/>
        </w:rPr>
      </w:pPr>
    </w:p>
    <w:p w:rsidR="006D43AC" w:rsidRDefault="00F40008" w:rsidP="00422812">
      <w:pPr>
        <w:spacing w:after="0"/>
        <w:rPr>
          <w:rFonts w:cs="Arial"/>
          <w:szCs w:val="22"/>
        </w:rPr>
      </w:pPr>
      <w:r>
        <w:rPr>
          <w:rFonts w:cs="Arial"/>
          <w:szCs w:val="22"/>
        </w:rPr>
        <w:t xml:space="preserve">Výše popsaný stav vypovídá o tom, že monitoring projektu NIPEZ nemá vypovídací schopnost pro posouzení splnění povinností stanovených </w:t>
      </w:r>
      <w:r w:rsidR="002C671F">
        <w:rPr>
          <w:rFonts w:cs="Arial"/>
          <w:szCs w:val="22"/>
        </w:rPr>
        <w:t>v </w:t>
      </w:r>
      <w:r>
        <w:rPr>
          <w:rFonts w:cs="Arial"/>
          <w:szCs w:val="22"/>
        </w:rPr>
        <w:t>článku 27</w:t>
      </w:r>
      <w:r w:rsidR="00E72F2D">
        <w:rPr>
          <w:rFonts w:cs="Arial"/>
          <w:szCs w:val="22"/>
        </w:rPr>
        <w:t xml:space="preserve"> </w:t>
      </w:r>
      <w:r w:rsidR="00390826">
        <w:rPr>
          <w:rFonts w:cs="Arial"/>
          <w:szCs w:val="22"/>
        </w:rPr>
        <w:t>n</w:t>
      </w:r>
      <w:r w:rsidR="00E72F2D">
        <w:rPr>
          <w:rFonts w:cs="Arial"/>
          <w:szCs w:val="22"/>
        </w:rPr>
        <w:t>ařízení Rady (ES, EURATOM) č. </w:t>
      </w:r>
      <w:r>
        <w:rPr>
          <w:rFonts w:cs="Arial"/>
          <w:szCs w:val="22"/>
        </w:rPr>
        <w:t xml:space="preserve">1605/2002, </w:t>
      </w:r>
      <w:r w:rsidR="00F84E23">
        <w:rPr>
          <w:rFonts w:cs="Arial"/>
          <w:szCs w:val="22"/>
        </w:rPr>
        <w:t xml:space="preserve">jehož </w:t>
      </w:r>
      <w:r>
        <w:rPr>
          <w:rFonts w:cs="Arial"/>
          <w:szCs w:val="22"/>
        </w:rPr>
        <w:t xml:space="preserve">podstatou je hospodárnost, </w:t>
      </w:r>
      <w:r w:rsidR="00390826">
        <w:rPr>
          <w:rFonts w:cs="Arial"/>
          <w:szCs w:val="22"/>
        </w:rPr>
        <w:t xml:space="preserve">účinnost a </w:t>
      </w:r>
      <w:r>
        <w:rPr>
          <w:rFonts w:cs="Arial"/>
          <w:szCs w:val="22"/>
        </w:rPr>
        <w:t>efektivnost</w:t>
      </w:r>
      <w:r w:rsidR="00390826">
        <w:rPr>
          <w:rFonts w:cs="Arial"/>
          <w:szCs w:val="22"/>
        </w:rPr>
        <w:t>.</w:t>
      </w:r>
    </w:p>
    <w:p w:rsidR="001066B6" w:rsidRDefault="001066B6" w:rsidP="00422812">
      <w:pPr>
        <w:spacing w:after="0"/>
        <w:rPr>
          <w:rFonts w:cs="Arial"/>
          <w:szCs w:val="22"/>
        </w:rPr>
      </w:pPr>
    </w:p>
    <w:p w:rsidR="001066B6" w:rsidRPr="001816DC" w:rsidRDefault="001066B6" w:rsidP="00422812">
      <w:pPr>
        <w:spacing w:after="0"/>
        <w:rPr>
          <w:rFonts w:cs="Arial"/>
          <w:szCs w:val="22"/>
        </w:rPr>
      </w:pPr>
    </w:p>
    <w:p w:rsidR="00EB6920" w:rsidRDefault="00EB6920">
      <w:pPr>
        <w:spacing w:after="200" w:line="276" w:lineRule="auto"/>
        <w:jc w:val="left"/>
        <w:rPr>
          <w:rFonts w:cs="Arial"/>
          <w:b/>
          <w:sz w:val="24"/>
        </w:rPr>
      </w:pPr>
      <w:r>
        <w:rPr>
          <w:rFonts w:cs="Arial"/>
          <w:b/>
          <w:sz w:val="24"/>
        </w:rPr>
        <w:br w:type="page"/>
      </w:r>
    </w:p>
    <w:p w:rsidR="004D463D" w:rsidRPr="00422812" w:rsidRDefault="004D463D" w:rsidP="00422812">
      <w:pPr>
        <w:spacing w:after="0"/>
        <w:jc w:val="center"/>
        <w:rPr>
          <w:rFonts w:cs="Arial"/>
          <w:b/>
          <w:sz w:val="24"/>
        </w:rPr>
      </w:pPr>
      <w:r w:rsidRPr="00422812">
        <w:rPr>
          <w:rFonts w:cs="Arial"/>
          <w:b/>
          <w:sz w:val="24"/>
        </w:rPr>
        <w:lastRenderedPageBreak/>
        <w:t xml:space="preserve">III. Shrnutí </w:t>
      </w:r>
    </w:p>
    <w:p w:rsidR="001066B6" w:rsidRDefault="001066B6" w:rsidP="00422812">
      <w:pPr>
        <w:spacing w:after="0"/>
        <w:jc w:val="center"/>
        <w:rPr>
          <w:rFonts w:cs="Arial"/>
          <w:b/>
          <w:szCs w:val="22"/>
        </w:rPr>
      </w:pPr>
    </w:p>
    <w:p w:rsidR="004D463D" w:rsidRDefault="004D463D" w:rsidP="00422812">
      <w:pPr>
        <w:spacing w:after="0"/>
        <w:rPr>
          <w:rFonts w:cs="Arial"/>
        </w:rPr>
      </w:pPr>
      <w:r w:rsidRPr="0063632B">
        <w:rPr>
          <w:rFonts w:cs="Arial"/>
        </w:rPr>
        <w:t xml:space="preserve">Elektronizace zadávání veřejných zakázek je nejvýznamnější </w:t>
      </w:r>
      <w:r w:rsidR="00AA6364">
        <w:rPr>
          <w:rFonts w:cs="Arial"/>
        </w:rPr>
        <w:t>nástroj</w:t>
      </w:r>
      <w:r w:rsidRPr="0063632B">
        <w:rPr>
          <w:rFonts w:cs="Arial"/>
        </w:rPr>
        <w:t xml:space="preserve"> </w:t>
      </w:r>
      <w:r>
        <w:rPr>
          <w:rFonts w:cs="Arial"/>
        </w:rPr>
        <w:t xml:space="preserve">pro </w:t>
      </w:r>
      <w:r w:rsidRPr="0063632B">
        <w:rPr>
          <w:rFonts w:cs="Arial"/>
        </w:rPr>
        <w:t>zefektivnění oblasti veřejných nákupů</w:t>
      </w:r>
      <w:r>
        <w:rPr>
          <w:rFonts w:cs="Arial"/>
        </w:rPr>
        <w:t xml:space="preserve">. Na </w:t>
      </w:r>
      <w:r w:rsidRPr="0063632B">
        <w:rPr>
          <w:rFonts w:cs="Arial"/>
        </w:rPr>
        <w:t>národní úrovni</w:t>
      </w:r>
      <w:r>
        <w:rPr>
          <w:rFonts w:cs="Arial"/>
        </w:rPr>
        <w:t xml:space="preserve"> úsilí MMR směřuje k dosažení co nejvyšší </w:t>
      </w:r>
      <w:r w:rsidRPr="00C8384F">
        <w:rPr>
          <w:rFonts w:cs="Arial"/>
        </w:rPr>
        <w:t xml:space="preserve">transparentnosti s pomocí evidence všech kroků </w:t>
      </w:r>
      <w:r w:rsidR="002C671F">
        <w:rPr>
          <w:rFonts w:cs="Arial"/>
        </w:rPr>
        <w:t>v </w:t>
      </w:r>
      <w:r w:rsidRPr="00C8384F">
        <w:rPr>
          <w:rFonts w:cs="Arial"/>
        </w:rPr>
        <w:t>proces</w:t>
      </w:r>
      <w:r>
        <w:rPr>
          <w:rFonts w:cs="Arial"/>
        </w:rPr>
        <w:t>u</w:t>
      </w:r>
      <w:r w:rsidRPr="00C8384F">
        <w:rPr>
          <w:rFonts w:cs="Arial"/>
        </w:rPr>
        <w:t xml:space="preserve"> zadávání</w:t>
      </w:r>
      <w:r>
        <w:rPr>
          <w:rFonts w:cs="Arial"/>
        </w:rPr>
        <w:t xml:space="preserve"> zakázek, aby byla zajištěna snadná </w:t>
      </w:r>
      <w:r w:rsidRPr="00C8384F">
        <w:rPr>
          <w:rFonts w:cs="Arial"/>
        </w:rPr>
        <w:t>dohledatelnost všech relevantních údajů o veřejných zakázkách. Současně nelze pominout sílící tlak Evropské komise na sjednocení postupů p</w:t>
      </w:r>
      <w:r w:rsidR="00C95432">
        <w:rPr>
          <w:rFonts w:cs="Arial"/>
        </w:rPr>
        <w:t>ro</w:t>
      </w:r>
      <w:r w:rsidRPr="00C8384F">
        <w:rPr>
          <w:rFonts w:cs="Arial"/>
        </w:rPr>
        <w:t xml:space="preserve"> zadávání veřejných zakázek napříč celou EU.</w:t>
      </w:r>
      <w:r>
        <w:rPr>
          <w:rFonts w:cs="Arial"/>
        </w:rPr>
        <w:t xml:space="preserve"> </w:t>
      </w:r>
    </w:p>
    <w:p w:rsidR="00DE4334" w:rsidRDefault="00DE4334" w:rsidP="00422812">
      <w:pPr>
        <w:spacing w:after="0"/>
        <w:rPr>
          <w:rFonts w:cs="Arial"/>
        </w:rPr>
      </w:pPr>
    </w:p>
    <w:p w:rsidR="007C6132" w:rsidRDefault="004D463D" w:rsidP="00422812">
      <w:pPr>
        <w:spacing w:after="0"/>
        <w:rPr>
          <w:rFonts w:cs="Arial"/>
        </w:rPr>
      </w:pPr>
      <w:r>
        <w:rPr>
          <w:rFonts w:cs="Arial"/>
        </w:rPr>
        <w:t>MMR přistoupilo projektem NIPEZ k </w:t>
      </w:r>
      <w:r w:rsidR="00832CC5">
        <w:rPr>
          <w:rFonts w:cs="Arial"/>
        </w:rPr>
        <w:t>plnění</w:t>
      </w:r>
      <w:r>
        <w:rPr>
          <w:rFonts w:cs="Arial"/>
        </w:rPr>
        <w:t xml:space="preserve"> </w:t>
      </w:r>
      <w:r w:rsidRPr="00C769DB">
        <w:rPr>
          <w:rFonts w:cs="Arial"/>
          <w:i/>
        </w:rPr>
        <w:t>Strategie elektronizace zadávání veřejných zakázek</w:t>
      </w:r>
      <w:r w:rsidR="00B65C90" w:rsidRPr="00C769DB">
        <w:rPr>
          <w:i/>
        </w:rPr>
        <w:t xml:space="preserve"> </w:t>
      </w:r>
      <w:r w:rsidR="00B65C90" w:rsidRPr="00C769DB">
        <w:rPr>
          <w:rFonts w:cs="Arial"/>
          <w:i/>
        </w:rPr>
        <w:t>pro období let 2011 až 2015</w:t>
      </w:r>
      <w:r w:rsidRPr="00C769DB">
        <w:rPr>
          <w:rFonts w:cs="Arial"/>
          <w:i/>
        </w:rPr>
        <w:t xml:space="preserve">. </w:t>
      </w:r>
      <w:r>
        <w:rPr>
          <w:rFonts w:cs="Arial"/>
        </w:rPr>
        <w:t xml:space="preserve">E-tržiště představují první funkční modul projektu NIPEZ, </w:t>
      </w:r>
      <w:r w:rsidR="00C95432">
        <w:rPr>
          <w:rFonts w:cs="Arial"/>
        </w:rPr>
        <w:t xml:space="preserve">přičemž se jedná o modul, </w:t>
      </w:r>
      <w:r>
        <w:rPr>
          <w:rFonts w:cs="Arial"/>
        </w:rPr>
        <w:t>který přímo řeší podporu zadávacího procesu na úrovni zadavatele u vybrané skupiny veřejných zakázek, z níž nejvýznamnější jsou zakázky malého rozsahu.</w:t>
      </w:r>
      <w:r w:rsidR="00741093">
        <w:rPr>
          <w:rFonts w:cs="Arial"/>
        </w:rPr>
        <w:t xml:space="preserve"> </w:t>
      </w:r>
    </w:p>
    <w:p w:rsidR="001066B6" w:rsidRDefault="001066B6" w:rsidP="00422812">
      <w:pPr>
        <w:spacing w:after="0"/>
        <w:rPr>
          <w:rFonts w:cs="Arial"/>
        </w:rPr>
      </w:pPr>
    </w:p>
    <w:p w:rsidR="004D463D" w:rsidRDefault="007C6132" w:rsidP="00422812">
      <w:pPr>
        <w:spacing w:after="0"/>
        <w:rPr>
          <w:rFonts w:cs="Arial"/>
        </w:rPr>
      </w:pPr>
      <w:r w:rsidRPr="001E546E">
        <w:rPr>
          <w:rFonts w:cs="Arial"/>
        </w:rPr>
        <w:t xml:space="preserve">Kontrola </w:t>
      </w:r>
      <w:r w:rsidR="008C007D">
        <w:rPr>
          <w:rFonts w:cs="Arial"/>
        </w:rPr>
        <w:t xml:space="preserve">NKÚ </w:t>
      </w:r>
      <w:r w:rsidRPr="001E546E">
        <w:rPr>
          <w:rFonts w:cs="Arial"/>
        </w:rPr>
        <w:t>se týk</w:t>
      </w:r>
      <w:r w:rsidR="005528A1">
        <w:rPr>
          <w:rFonts w:cs="Arial"/>
        </w:rPr>
        <w:t>ala</w:t>
      </w:r>
      <w:r w:rsidRPr="001E546E">
        <w:rPr>
          <w:rFonts w:cs="Arial"/>
        </w:rPr>
        <w:t xml:space="preserve"> prvního roku provozu e-tržišť, tedy </w:t>
      </w:r>
      <w:r w:rsidR="00C95432">
        <w:rPr>
          <w:rFonts w:cs="Arial"/>
        </w:rPr>
        <w:t xml:space="preserve">období </w:t>
      </w:r>
      <w:r>
        <w:rPr>
          <w:rFonts w:cs="Arial"/>
        </w:rPr>
        <w:t>od</w:t>
      </w:r>
      <w:r w:rsidRPr="001E546E">
        <w:rPr>
          <w:rFonts w:cs="Arial"/>
        </w:rPr>
        <w:t xml:space="preserve"> spuštěn</w:t>
      </w:r>
      <w:r>
        <w:rPr>
          <w:rFonts w:cs="Arial"/>
        </w:rPr>
        <w:t>í</w:t>
      </w:r>
      <w:r w:rsidRPr="001E546E">
        <w:rPr>
          <w:rFonts w:cs="Arial"/>
        </w:rPr>
        <w:t xml:space="preserve"> </w:t>
      </w:r>
      <w:r>
        <w:rPr>
          <w:rFonts w:cs="Arial"/>
        </w:rPr>
        <w:t xml:space="preserve">dne </w:t>
      </w:r>
      <w:r w:rsidRPr="001E546E">
        <w:rPr>
          <w:rFonts w:cs="Arial"/>
        </w:rPr>
        <w:t>1.</w:t>
      </w:r>
      <w:r w:rsidR="00E143E4">
        <w:rPr>
          <w:rFonts w:cs="Arial"/>
        </w:rPr>
        <w:t> č</w:t>
      </w:r>
      <w:r w:rsidR="00E72F2D">
        <w:rPr>
          <w:rFonts w:cs="Arial"/>
        </w:rPr>
        <w:t>ervence</w:t>
      </w:r>
      <w:r w:rsidR="00E143E4">
        <w:rPr>
          <w:rFonts w:cs="Arial"/>
        </w:rPr>
        <w:t> </w:t>
      </w:r>
      <w:r w:rsidRPr="001E546E">
        <w:rPr>
          <w:rFonts w:cs="Arial"/>
        </w:rPr>
        <w:t>2012 do</w:t>
      </w:r>
      <w:r w:rsidR="005C2DFE">
        <w:rPr>
          <w:rFonts w:cs="Arial"/>
        </w:rPr>
        <w:t> </w:t>
      </w:r>
      <w:r w:rsidRPr="001E546E">
        <w:rPr>
          <w:rFonts w:cs="Arial"/>
        </w:rPr>
        <w:t>30.</w:t>
      </w:r>
      <w:r w:rsidR="00E72F2D">
        <w:rPr>
          <w:rFonts w:cs="Arial"/>
        </w:rPr>
        <w:t> června</w:t>
      </w:r>
      <w:r>
        <w:rPr>
          <w:rFonts w:cs="Arial"/>
        </w:rPr>
        <w:t xml:space="preserve"> </w:t>
      </w:r>
      <w:r w:rsidRPr="001E546E">
        <w:rPr>
          <w:rFonts w:cs="Arial"/>
        </w:rPr>
        <w:t>2013 (částečně také do 31.</w:t>
      </w:r>
      <w:r w:rsidR="00E72F2D">
        <w:rPr>
          <w:rFonts w:cs="Arial"/>
        </w:rPr>
        <w:t xml:space="preserve"> října </w:t>
      </w:r>
      <w:r w:rsidRPr="001E546E">
        <w:rPr>
          <w:rFonts w:cs="Arial"/>
        </w:rPr>
        <w:t>20</w:t>
      </w:r>
      <w:r w:rsidR="00E72F2D">
        <w:rPr>
          <w:rFonts w:cs="Arial"/>
        </w:rPr>
        <w:t>1</w:t>
      </w:r>
      <w:r w:rsidRPr="001E546E">
        <w:rPr>
          <w:rFonts w:cs="Arial"/>
        </w:rPr>
        <w:t xml:space="preserve">3). </w:t>
      </w:r>
      <w:r w:rsidR="00741093">
        <w:rPr>
          <w:rFonts w:cs="Arial"/>
        </w:rPr>
        <w:t>Pro vybudování e-tržišť ve správě MMR bylo realizováno 13 zakázek</w:t>
      </w:r>
      <w:r w:rsidR="00C02619">
        <w:rPr>
          <w:rFonts w:cs="Arial"/>
        </w:rPr>
        <w:t xml:space="preserve"> v objemu 37 mil. Kč</w:t>
      </w:r>
      <w:r w:rsidR="00751CC4">
        <w:rPr>
          <w:rFonts w:cs="Arial"/>
        </w:rPr>
        <w:t xml:space="preserve"> v</w:t>
      </w:r>
      <w:r w:rsidR="00C02619">
        <w:rPr>
          <w:rFonts w:cs="Arial"/>
        </w:rPr>
        <w:t xml:space="preserve">č. DPH. </w:t>
      </w:r>
      <w:r w:rsidR="005528A1">
        <w:rPr>
          <w:rFonts w:cs="Arial"/>
        </w:rPr>
        <w:t>Za</w:t>
      </w:r>
      <w:r>
        <w:rPr>
          <w:rFonts w:cs="Arial"/>
        </w:rPr>
        <w:t xml:space="preserve"> první rok provozu </w:t>
      </w:r>
      <w:r w:rsidR="00C02619">
        <w:rPr>
          <w:rFonts w:cs="Arial"/>
        </w:rPr>
        <w:t xml:space="preserve">e-tržišť </w:t>
      </w:r>
      <w:r w:rsidR="005326BB">
        <w:rPr>
          <w:rFonts w:cs="Arial"/>
        </w:rPr>
        <w:t xml:space="preserve">zaplatilo MMR </w:t>
      </w:r>
      <w:r w:rsidR="00C02619">
        <w:rPr>
          <w:rFonts w:cs="Arial"/>
        </w:rPr>
        <w:t xml:space="preserve">za </w:t>
      </w:r>
      <w:r w:rsidR="005326BB">
        <w:rPr>
          <w:rFonts w:cs="Arial"/>
        </w:rPr>
        <w:t xml:space="preserve">veškeré </w:t>
      </w:r>
      <w:r w:rsidR="00C02619">
        <w:rPr>
          <w:rFonts w:cs="Arial"/>
        </w:rPr>
        <w:t>zakázky</w:t>
      </w:r>
      <w:r>
        <w:rPr>
          <w:rFonts w:cs="Arial"/>
        </w:rPr>
        <w:t xml:space="preserve"> </w:t>
      </w:r>
      <w:r w:rsidR="005528A1">
        <w:rPr>
          <w:rFonts w:cs="Arial"/>
        </w:rPr>
        <w:t xml:space="preserve">zadané </w:t>
      </w:r>
      <w:r w:rsidR="005326BB">
        <w:rPr>
          <w:rFonts w:cs="Arial"/>
        </w:rPr>
        <w:t xml:space="preserve">veřejnými zadavateli </w:t>
      </w:r>
      <w:r w:rsidR="00C95432">
        <w:rPr>
          <w:rFonts w:cs="Arial"/>
        </w:rPr>
        <w:t xml:space="preserve">přes e-tržiště </w:t>
      </w:r>
      <w:r>
        <w:rPr>
          <w:rFonts w:cs="Arial"/>
        </w:rPr>
        <w:t>celkem</w:t>
      </w:r>
      <w:r w:rsidR="006A6821">
        <w:rPr>
          <w:rFonts w:cs="Arial"/>
        </w:rPr>
        <w:t xml:space="preserve"> 22,4</w:t>
      </w:r>
      <w:r w:rsidR="00C95432">
        <w:rPr>
          <w:rFonts w:cs="Arial"/>
        </w:rPr>
        <w:t> </w:t>
      </w:r>
      <w:r w:rsidR="006A6821">
        <w:rPr>
          <w:rFonts w:cs="Arial"/>
        </w:rPr>
        <w:t>mil.</w:t>
      </w:r>
      <w:r w:rsidR="00C95432">
        <w:rPr>
          <w:rFonts w:cs="Arial"/>
        </w:rPr>
        <w:t> </w:t>
      </w:r>
      <w:r w:rsidR="006A6821">
        <w:rPr>
          <w:rFonts w:cs="Arial"/>
        </w:rPr>
        <w:t>Kč vč. DPH</w:t>
      </w:r>
      <w:r>
        <w:rPr>
          <w:rFonts w:cs="Arial"/>
        </w:rPr>
        <w:t>.</w:t>
      </w:r>
    </w:p>
    <w:p w:rsidR="001066B6" w:rsidRDefault="001066B6" w:rsidP="00422812">
      <w:pPr>
        <w:spacing w:after="0"/>
        <w:rPr>
          <w:rFonts w:cs="Arial"/>
        </w:rPr>
      </w:pPr>
    </w:p>
    <w:p w:rsidR="00864EA1" w:rsidRDefault="004D463D" w:rsidP="00422812">
      <w:pPr>
        <w:spacing w:after="0"/>
        <w:rPr>
          <w:rFonts w:cs="Arial"/>
        </w:rPr>
      </w:pPr>
      <w:r w:rsidRPr="001E546E">
        <w:rPr>
          <w:rFonts w:cs="Arial"/>
        </w:rPr>
        <w:t xml:space="preserve">Na e-tržištích bylo k 30. </w:t>
      </w:r>
      <w:r w:rsidR="00E72F2D">
        <w:rPr>
          <w:rFonts w:cs="Arial"/>
        </w:rPr>
        <w:t>červnu</w:t>
      </w:r>
      <w:r w:rsidRPr="001E546E">
        <w:rPr>
          <w:rFonts w:cs="Arial"/>
        </w:rPr>
        <w:t xml:space="preserve"> 2013 zaregistrováno 570 zadavatelů a 10 197 dodavatelů</w:t>
      </w:r>
      <w:r w:rsidR="00A940F1">
        <w:rPr>
          <w:rFonts w:cs="Arial"/>
        </w:rPr>
        <w:t xml:space="preserve"> </w:t>
      </w:r>
      <w:r w:rsidR="00A90C9D">
        <w:rPr>
          <w:rFonts w:cs="Arial"/>
        </w:rPr>
        <w:t>(tj.</w:t>
      </w:r>
      <w:r w:rsidR="005C2DFE">
        <w:rPr>
          <w:rFonts w:cs="Arial"/>
        </w:rPr>
        <w:t> </w:t>
      </w:r>
      <w:r w:rsidR="00A90C9D">
        <w:rPr>
          <w:rFonts w:cs="Arial"/>
        </w:rPr>
        <w:t xml:space="preserve">0,39 % z aktivních ekonomických subjektů v ČR) </w:t>
      </w:r>
      <w:r w:rsidR="00A940F1">
        <w:rPr>
          <w:rFonts w:cs="Arial"/>
        </w:rPr>
        <w:t xml:space="preserve">a </w:t>
      </w:r>
      <w:r w:rsidRPr="005C2DFE">
        <w:rPr>
          <w:rFonts w:cs="Arial"/>
        </w:rPr>
        <w:t>evido</w:t>
      </w:r>
      <w:r w:rsidR="00A940F1" w:rsidRPr="005C2DFE">
        <w:rPr>
          <w:rFonts w:cs="Arial"/>
        </w:rPr>
        <w:t>váno 44 218 veřejných zakázek, z</w:t>
      </w:r>
      <w:r w:rsidRPr="005C2DFE">
        <w:rPr>
          <w:rFonts w:cs="Arial"/>
        </w:rPr>
        <w:t> toho 31 766 o celkové hodnotě 2,25 mld. Kč bez DPH bylo zadáno</w:t>
      </w:r>
      <w:r w:rsidR="00B24298" w:rsidRPr="005C2DFE">
        <w:rPr>
          <w:rFonts w:cs="Arial"/>
        </w:rPr>
        <w:t xml:space="preserve"> (</w:t>
      </w:r>
      <w:r w:rsidR="00EF5519" w:rsidRPr="005C2DFE">
        <w:rPr>
          <w:rFonts w:cs="Arial"/>
        </w:rPr>
        <w:t>byla uzavřena smlouva</w:t>
      </w:r>
      <w:r w:rsidR="00B24298" w:rsidRPr="005C2DFE">
        <w:rPr>
          <w:rFonts w:cs="Arial"/>
        </w:rPr>
        <w:t>)</w:t>
      </w:r>
      <w:r w:rsidRPr="005C2DFE">
        <w:rPr>
          <w:rFonts w:cs="Arial"/>
        </w:rPr>
        <w:t xml:space="preserve">. </w:t>
      </w:r>
      <w:r w:rsidR="005C2DFE">
        <w:rPr>
          <w:rFonts w:cs="Arial"/>
        </w:rPr>
        <w:t>Na</w:t>
      </w:r>
      <w:r w:rsidR="00DA1544">
        <w:rPr>
          <w:rFonts w:cs="Arial"/>
        </w:rPr>
        <w:t xml:space="preserve"> </w:t>
      </w:r>
      <w:r w:rsidR="005C2DFE" w:rsidRPr="005C2DFE">
        <w:rPr>
          <w:rFonts w:cs="Arial"/>
        </w:rPr>
        <w:t xml:space="preserve">celkovém finančním objemu zadaných VZ se podílel trh dodávek přibližně </w:t>
      </w:r>
      <w:r w:rsidR="005C2DFE">
        <w:rPr>
          <w:rFonts w:cs="Arial"/>
        </w:rPr>
        <w:t>58 % a trh služeb 29 </w:t>
      </w:r>
      <w:r w:rsidR="005C2DFE" w:rsidRPr="005C2DFE">
        <w:rPr>
          <w:rFonts w:cs="Arial"/>
        </w:rPr>
        <w:t>%.</w:t>
      </w:r>
    </w:p>
    <w:p w:rsidR="001066B6" w:rsidRPr="005C2DFE" w:rsidRDefault="001066B6" w:rsidP="00422812">
      <w:pPr>
        <w:spacing w:after="0"/>
        <w:rPr>
          <w:rFonts w:cs="Arial"/>
        </w:rPr>
      </w:pPr>
    </w:p>
    <w:p w:rsidR="004D463D" w:rsidRDefault="004D463D" w:rsidP="00422812">
      <w:pPr>
        <w:spacing w:after="0"/>
        <w:rPr>
          <w:rFonts w:cs="Arial"/>
        </w:rPr>
      </w:pPr>
      <w:r w:rsidRPr="005C2DFE">
        <w:rPr>
          <w:rFonts w:cs="Arial"/>
        </w:rPr>
        <w:t>Za následující čtyři měsíce (</w:t>
      </w:r>
      <w:r w:rsidR="0068703B">
        <w:rPr>
          <w:rFonts w:cs="Arial"/>
        </w:rPr>
        <w:t>od 1. 7. do</w:t>
      </w:r>
      <w:r w:rsidRPr="005C2DFE">
        <w:rPr>
          <w:rFonts w:cs="Arial"/>
        </w:rPr>
        <w:t xml:space="preserve"> 31.</w:t>
      </w:r>
      <w:r w:rsidR="0068703B">
        <w:rPr>
          <w:rFonts w:cs="Arial"/>
        </w:rPr>
        <w:t> 10.</w:t>
      </w:r>
      <w:r w:rsidRPr="005C2DFE">
        <w:rPr>
          <w:rFonts w:cs="Arial"/>
        </w:rPr>
        <w:t xml:space="preserve"> 2013) vzrostl počet zadaných veřejných zakázek o 44 %, </w:t>
      </w:r>
      <w:r w:rsidR="0068703B">
        <w:rPr>
          <w:rFonts w:cs="Arial"/>
        </w:rPr>
        <w:t>což v peněžním vyjádření činilo</w:t>
      </w:r>
      <w:r w:rsidRPr="005C2DFE">
        <w:rPr>
          <w:rFonts w:cs="Arial"/>
        </w:rPr>
        <w:t xml:space="preserve"> 1,14 mld. Kč bez DPH. </w:t>
      </w:r>
    </w:p>
    <w:p w:rsidR="004C7DD1" w:rsidRDefault="004C7DD1" w:rsidP="00422812">
      <w:pPr>
        <w:spacing w:after="0"/>
        <w:rPr>
          <w:rFonts w:cs="Arial"/>
        </w:rPr>
      </w:pPr>
    </w:p>
    <w:p w:rsidR="004D463D" w:rsidRDefault="0068703B" w:rsidP="00422812">
      <w:pPr>
        <w:spacing w:after="0"/>
        <w:rPr>
          <w:rFonts w:cs="Arial"/>
        </w:rPr>
      </w:pPr>
      <w:r>
        <w:rPr>
          <w:rFonts w:cs="Arial"/>
        </w:rPr>
        <w:t>Kontrolní akcí</w:t>
      </w:r>
      <w:r w:rsidR="004D463D">
        <w:rPr>
          <w:rFonts w:cs="Arial"/>
        </w:rPr>
        <w:t xml:space="preserve"> byly zjištěny tyto významné skutečnosti:</w:t>
      </w:r>
    </w:p>
    <w:p w:rsidR="00E97788" w:rsidRDefault="00E97788" w:rsidP="00422812">
      <w:pPr>
        <w:pStyle w:val="Odstavecseseznamem"/>
        <w:numPr>
          <w:ilvl w:val="0"/>
          <w:numId w:val="19"/>
        </w:numPr>
        <w:spacing w:after="0"/>
        <w:contextualSpacing w:val="0"/>
        <w:rPr>
          <w:rFonts w:cs="Arial"/>
        </w:rPr>
      </w:pPr>
      <w:r>
        <w:rPr>
          <w:rFonts w:cs="Arial"/>
        </w:rPr>
        <w:t>Příprava e-tržišť byla zajištěna prostřednictvím veřejných zakázek a byla spolufinancov</w:t>
      </w:r>
      <w:r w:rsidR="0068703B">
        <w:rPr>
          <w:rFonts w:cs="Arial"/>
        </w:rPr>
        <w:t>ána</w:t>
      </w:r>
      <w:r>
        <w:rPr>
          <w:rFonts w:cs="Arial"/>
        </w:rPr>
        <w:t xml:space="preserve"> z </w:t>
      </w:r>
      <w:r w:rsidR="00864EA1">
        <w:rPr>
          <w:rFonts w:cs="Arial"/>
        </w:rPr>
        <w:t>prostředků</w:t>
      </w:r>
      <w:r>
        <w:rPr>
          <w:rFonts w:cs="Arial"/>
        </w:rPr>
        <w:t xml:space="preserve"> E</w:t>
      </w:r>
      <w:r w:rsidR="00864EA1">
        <w:rPr>
          <w:rFonts w:cs="Arial"/>
        </w:rPr>
        <w:t>U</w:t>
      </w:r>
      <w:r>
        <w:rPr>
          <w:rFonts w:cs="Arial"/>
        </w:rPr>
        <w:t>.</w:t>
      </w:r>
      <w:r w:rsidRPr="00AC22A0">
        <w:rPr>
          <w:rFonts w:cs="Arial"/>
        </w:rPr>
        <w:t xml:space="preserve"> </w:t>
      </w:r>
      <w:r>
        <w:rPr>
          <w:rFonts w:cs="Arial"/>
        </w:rPr>
        <w:t xml:space="preserve">Nejzávažnějším zjištěním v této oblasti bylo neoprávněné dělení veřejné zakázky, přičemž NKÚ toto mj. kvalifikoval jako </w:t>
      </w:r>
      <w:r w:rsidR="008C007D">
        <w:rPr>
          <w:rFonts w:cs="Arial"/>
        </w:rPr>
        <w:t xml:space="preserve">porušení rozpočtové kázně a zároveň jako </w:t>
      </w:r>
      <w:r>
        <w:rPr>
          <w:rFonts w:cs="Arial"/>
        </w:rPr>
        <w:t xml:space="preserve">nesrovnalost ve výši </w:t>
      </w:r>
      <w:r w:rsidR="008C007D">
        <w:rPr>
          <w:rFonts w:cs="Arial"/>
        </w:rPr>
        <w:t xml:space="preserve">až </w:t>
      </w:r>
      <w:r>
        <w:rPr>
          <w:rFonts w:cs="Arial"/>
        </w:rPr>
        <w:t>1,</w:t>
      </w:r>
      <w:r w:rsidR="008C007D">
        <w:rPr>
          <w:rFonts w:cs="Arial"/>
        </w:rPr>
        <w:t>4</w:t>
      </w:r>
      <w:r>
        <w:rPr>
          <w:rFonts w:cs="Arial"/>
        </w:rPr>
        <w:t>45 m</w:t>
      </w:r>
      <w:r w:rsidR="009F4899">
        <w:rPr>
          <w:rFonts w:cs="Arial"/>
        </w:rPr>
        <w:t>il</w:t>
      </w:r>
      <w:r>
        <w:rPr>
          <w:rFonts w:cs="Arial"/>
        </w:rPr>
        <w:t>. Kč.</w:t>
      </w:r>
    </w:p>
    <w:p w:rsidR="00E97788" w:rsidRPr="00272833" w:rsidRDefault="00E97788" w:rsidP="00422812">
      <w:pPr>
        <w:pStyle w:val="Odstavecseseznamem"/>
        <w:numPr>
          <w:ilvl w:val="0"/>
          <w:numId w:val="19"/>
        </w:numPr>
        <w:spacing w:after="0"/>
        <w:contextualSpacing w:val="0"/>
        <w:rPr>
          <w:rFonts w:cs="Arial"/>
        </w:rPr>
      </w:pPr>
      <w:r>
        <w:rPr>
          <w:rFonts w:cs="Arial"/>
          <w:szCs w:val="22"/>
        </w:rPr>
        <w:t>P</w:t>
      </w:r>
      <w:r w:rsidRPr="00FA3985">
        <w:rPr>
          <w:rFonts w:cs="Arial"/>
          <w:szCs w:val="22"/>
        </w:rPr>
        <w:t xml:space="preserve">ro hodnocení projektu </w:t>
      </w:r>
      <w:r>
        <w:rPr>
          <w:rFonts w:cs="Arial"/>
          <w:szCs w:val="22"/>
        </w:rPr>
        <w:t xml:space="preserve">si MMR zvolilo monitorovací indikátor </w:t>
      </w:r>
      <w:r w:rsidR="0068703B">
        <w:rPr>
          <w:rFonts w:cs="Arial"/>
          <w:szCs w:val="22"/>
        </w:rPr>
        <w:t>„</w:t>
      </w:r>
      <w:r w:rsidR="00447262">
        <w:rPr>
          <w:rFonts w:cs="Arial"/>
          <w:i/>
          <w:szCs w:val="22"/>
        </w:rPr>
        <w:t>p</w:t>
      </w:r>
      <w:r w:rsidRPr="00C10EA8">
        <w:rPr>
          <w:rFonts w:cs="Arial"/>
          <w:i/>
          <w:szCs w:val="22"/>
        </w:rPr>
        <w:t>odíl digitalizovaných dokumentů</w:t>
      </w:r>
      <w:r w:rsidR="0068703B">
        <w:rPr>
          <w:rFonts w:cs="Arial"/>
          <w:szCs w:val="22"/>
        </w:rPr>
        <w:t>“</w:t>
      </w:r>
      <w:r>
        <w:rPr>
          <w:rFonts w:cs="Arial"/>
          <w:szCs w:val="22"/>
        </w:rPr>
        <w:t xml:space="preserve"> s cílovou hodnotou 10 %</w:t>
      </w:r>
      <w:r w:rsidR="0068703B">
        <w:rPr>
          <w:rFonts w:cs="Arial"/>
          <w:szCs w:val="22"/>
        </w:rPr>
        <w:t>.</w:t>
      </w:r>
      <w:r w:rsidR="00864EA1">
        <w:rPr>
          <w:rFonts w:cs="Arial"/>
          <w:szCs w:val="22"/>
        </w:rPr>
        <w:t xml:space="preserve"> </w:t>
      </w:r>
      <w:r w:rsidR="0068703B">
        <w:rPr>
          <w:rFonts w:cs="Arial"/>
          <w:szCs w:val="22"/>
        </w:rPr>
        <w:t>Tento indikátor však není navázán</w:t>
      </w:r>
      <w:r w:rsidR="00864EA1">
        <w:rPr>
          <w:rFonts w:cs="Arial"/>
          <w:szCs w:val="22"/>
        </w:rPr>
        <w:t xml:space="preserve"> na hlavní cíl projektu NIPEZ</w:t>
      </w:r>
      <w:r w:rsidR="00C769DB">
        <w:rPr>
          <w:rFonts w:cs="Arial"/>
          <w:szCs w:val="22"/>
        </w:rPr>
        <w:t xml:space="preserve">, </w:t>
      </w:r>
      <w:r w:rsidR="00324C53">
        <w:rPr>
          <w:rFonts w:cs="Arial"/>
          <w:szCs w:val="22"/>
        </w:rPr>
        <w:t xml:space="preserve">kterým </w:t>
      </w:r>
      <w:r w:rsidR="00864EA1">
        <w:rPr>
          <w:rFonts w:cs="Arial"/>
          <w:szCs w:val="22"/>
        </w:rPr>
        <w:t xml:space="preserve">je dosažení úspor. Způsob jeho výpočtu </w:t>
      </w:r>
      <w:r w:rsidR="008C007D">
        <w:rPr>
          <w:rFonts w:cs="Arial"/>
          <w:szCs w:val="22"/>
        </w:rPr>
        <w:t>nebyl doložen v žá</w:t>
      </w:r>
      <w:r w:rsidR="0019648E">
        <w:rPr>
          <w:rFonts w:cs="Arial"/>
          <w:szCs w:val="22"/>
        </w:rPr>
        <w:t>dném z dokladů k projektu NIPEZ</w:t>
      </w:r>
      <w:r w:rsidR="00864EA1">
        <w:rPr>
          <w:rFonts w:cs="Arial"/>
          <w:szCs w:val="22"/>
        </w:rPr>
        <w:t>.</w:t>
      </w:r>
      <w:r>
        <w:rPr>
          <w:rFonts w:cs="Arial"/>
          <w:szCs w:val="22"/>
        </w:rPr>
        <w:t xml:space="preserve"> V průběhu prvního roku použ</w:t>
      </w:r>
      <w:r w:rsidR="0068703B">
        <w:rPr>
          <w:rFonts w:cs="Arial"/>
          <w:szCs w:val="22"/>
        </w:rPr>
        <w:t>ívání</w:t>
      </w:r>
      <w:r>
        <w:rPr>
          <w:rFonts w:cs="Arial"/>
          <w:szCs w:val="22"/>
        </w:rPr>
        <w:t xml:space="preserve"> e-tržišť MMR vykazovalo </w:t>
      </w:r>
      <w:r w:rsidR="0068703B">
        <w:rPr>
          <w:rFonts w:cs="Arial"/>
          <w:szCs w:val="22"/>
        </w:rPr>
        <w:t>u tohoto indikátoru</w:t>
      </w:r>
      <w:r w:rsidR="00981AAD">
        <w:rPr>
          <w:rFonts w:cs="Arial"/>
          <w:szCs w:val="22"/>
        </w:rPr>
        <w:t xml:space="preserve"> </w:t>
      </w:r>
      <w:r>
        <w:rPr>
          <w:rFonts w:cs="Arial"/>
          <w:szCs w:val="22"/>
        </w:rPr>
        <w:t>nulovou hodnotu, která neodpovídala reáln</w:t>
      </w:r>
      <w:r w:rsidR="00864EA1">
        <w:rPr>
          <w:rFonts w:cs="Arial"/>
          <w:szCs w:val="22"/>
        </w:rPr>
        <w:t>ému</w:t>
      </w:r>
      <w:r>
        <w:rPr>
          <w:rFonts w:cs="Arial"/>
          <w:szCs w:val="22"/>
        </w:rPr>
        <w:t xml:space="preserve"> </w:t>
      </w:r>
      <w:r w:rsidR="00864EA1">
        <w:rPr>
          <w:rFonts w:cs="Arial"/>
          <w:szCs w:val="22"/>
        </w:rPr>
        <w:t xml:space="preserve">podílu elektronicky zadaných zakázek. </w:t>
      </w:r>
    </w:p>
    <w:p w:rsidR="00E97788" w:rsidRDefault="00E97788" w:rsidP="00422812">
      <w:pPr>
        <w:pStyle w:val="Odstavecseseznamem"/>
        <w:numPr>
          <w:ilvl w:val="0"/>
          <w:numId w:val="19"/>
        </w:numPr>
        <w:spacing w:after="0"/>
        <w:contextualSpacing w:val="0"/>
        <w:rPr>
          <w:rFonts w:cs="Arial"/>
        </w:rPr>
      </w:pPr>
      <w:r>
        <w:rPr>
          <w:rFonts w:cs="Arial"/>
        </w:rPr>
        <w:t xml:space="preserve">V koncesním řízení MMR </w:t>
      </w:r>
      <w:r w:rsidR="00597CBC">
        <w:rPr>
          <w:rFonts w:cs="Arial"/>
        </w:rPr>
        <w:t>v rozporu s právními předpisy</w:t>
      </w:r>
      <w:r w:rsidR="0019648E">
        <w:rPr>
          <w:rFonts w:cs="Arial"/>
        </w:rPr>
        <w:t xml:space="preserve"> </w:t>
      </w:r>
      <w:r>
        <w:rPr>
          <w:rFonts w:cs="Arial"/>
        </w:rPr>
        <w:t xml:space="preserve">dvakrát navýšilo Ceník, resp. jednotkové ceny za </w:t>
      </w:r>
      <w:r w:rsidR="0068703B">
        <w:rPr>
          <w:rFonts w:cs="Arial"/>
        </w:rPr>
        <w:t>základní služby</w:t>
      </w:r>
      <w:r>
        <w:rPr>
          <w:rFonts w:cs="Arial"/>
        </w:rPr>
        <w:t xml:space="preserve">, za které MMR platí jednotlivým provozovatelům, </w:t>
      </w:r>
      <w:r w:rsidRPr="00AC22A0">
        <w:rPr>
          <w:rFonts w:cs="Arial"/>
        </w:rPr>
        <w:t xml:space="preserve">čímž </w:t>
      </w:r>
      <w:r w:rsidR="002E4630">
        <w:rPr>
          <w:rFonts w:cs="Arial"/>
        </w:rPr>
        <w:t>zvýšilo</w:t>
      </w:r>
      <w:r w:rsidRPr="00AC22A0">
        <w:rPr>
          <w:rFonts w:cs="Arial"/>
        </w:rPr>
        <w:t xml:space="preserve"> výdaj</w:t>
      </w:r>
      <w:r w:rsidR="002E4630">
        <w:rPr>
          <w:rFonts w:cs="Arial"/>
        </w:rPr>
        <w:t>e</w:t>
      </w:r>
      <w:r w:rsidRPr="00AC22A0">
        <w:rPr>
          <w:rFonts w:cs="Arial"/>
        </w:rPr>
        <w:t xml:space="preserve"> na provoz e-tržišť</w:t>
      </w:r>
      <w:r>
        <w:rPr>
          <w:rFonts w:cs="Arial"/>
        </w:rPr>
        <w:t>. Toto navýšení představuje riziko nehospodárnosti ve zbývajícím období platnosti koncesních smluv.</w:t>
      </w:r>
    </w:p>
    <w:p w:rsidR="00E97788" w:rsidRDefault="00E97788" w:rsidP="00422812">
      <w:pPr>
        <w:pStyle w:val="Odstavecseseznamem"/>
        <w:numPr>
          <w:ilvl w:val="0"/>
          <w:numId w:val="19"/>
        </w:numPr>
        <w:spacing w:after="0"/>
        <w:contextualSpacing w:val="0"/>
        <w:rPr>
          <w:rFonts w:cs="Arial"/>
        </w:rPr>
      </w:pPr>
      <w:r>
        <w:rPr>
          <w:rFonts w:cs="Arial"/>
        </w:rPr>
        <w:t>MMR úspory ani další cíle v prvním roce provozu e-tržišť nehodnotilo. D</w:t>
      </w:r>
      <w:r>
        <w:rPr>
          <w:rFonts w:cs="Arial"/>
          <w:szCs w:val="22"/>
        </w:rPr>
        <w:t xml:space="preserve">le výpočtu NKÚ </w:t>
      </w:r>
      <w:r w:rsidRPr="00B76CB5">
        <w:rPr>
          <w:rFonts w:cs="Arial"/>
          <w:szCs w:val="22"/>
        </w:rPr>
        <w:t>bylo v prvním roce používání e-tržišť dosaženo pouze 320 mil. Kč</w:t>
      </w:r>
      <w:r>
        <w:rPr>
          <w:rFonts w:cs="Arial"/>
          <w:szCs w:val="22"/>
        </w:rPr>
        <w:t xml:space="preserve"> </w:t>
      </w:r>
      <w:r w:rsidR="00863C4D">
        <w:rPr>
          <w:rFonts w:cs="Arial"/>
          <w:szCs w:val="22"/>
        </w:rPr>
        <w:t>„</w:t>
      </w:r>
      <w:r>
        <w:rPr>
          <w:rFonts w:cs="Arial"/>
          <w:szCs w:val="22"/>
        </w:rPr>
        <w:t>úspor</w:t>
      </w:r>
      <w:r w:rsidR="00863C4D">
        <w:rPr>
          <w:rFonts w:cs="Arial"/>
          <w:szCs w:val="22"/>
        </w:rPr>
        <w:t>“</w:t>
      </w:r>
      <w:r w:rsidRPr="00B76CB5">
        <w:rPr>
          <w:rFonts w:cs="Arial"/>
          <w:szCs w:val="22"/>
        </w:rPr>
        <w:t xml:space="preserve">, což představuje 27 % </w:t>
      </w:r>
      <w:r>
        <w:rPr>
          <w:rFonts w:cs="Arial"/>
          <w:szCs w:val="22"/>
        </w:rPr>
        <w:t>z</w:t>
      </w:r>
      <w:r w:rsidRPr="00B76CB5">
        <w:rPr>
          <w:rFonts w:cs="Arial"/>
          <w:szCs w:val="22"/>
        </w:rPr>
        <w:t> plánovaného cíle</w:t>
      </w:r>
      <w:r>
        <w:rPr>
          <w:rFonts w:cs="Arial"/>
          <w:szCs w:val="22"/>
        </w:rPr>
        <w:t xml:space="preserve"> </w:t>
      </w:r>
      <w:r w:rsidR="00324C53">
        <w:rPr>
          <w:rFonts w:cs="Arial"/>
          <w:szCs w:val="22"/>
        </w:rPr>
        <w:t xml:space="preserve">1,2 mld. Kč </w:t>
      </w:r>
      <w:r>
        <w:rPr>
          <w:rFonts w:cs="Arial"/>
          <w:szCs w:val="22"/>
        </w:rPr>
        <w:t>(</w:t>
      </w:r>
      <w:r w:rsidRPr="00B76CB5">
        <w:rPr>
          <w:rFonts w:cs="Arial"/>
          <w:szCs w:val="22"/>
        </w:rPr>
        <w:t>snížení cen nakupovaných komodit</w:t>
      </w:r>
      <w:r>
        <w:rPr>
          <w:rFonts w:cs="Arial"/>
          <w:szCs w:val="22"/>
        </w:rPr>
        <w:t xml:space="preserve">). </w:t>
      </w:r>
      <w:r w:rsidRPr="00B76CB5">
        <w:rPr>
          <w:rFonts w:cs="Arial"/>
          <w:szCs w:val="22"/>
        </w:rPr>
        <w:t xml:space="preserve">Nejvyšší </w:t>
      </w:r>
      <w:r w:rsidR="00422812">
        <w:rPr>
          <w:rFonts w:cs="Arial"/>
          <w:szCs w:val="22"/>
        </w:rPr>
        <w:t>„</w:t>
      </w:r>
      <w:r w:rsidRPr="00B76CB5">
        <w:rPr>
          <w:rFonts w:cs="Arial"/>
          <w:szCs w:val="22"/>
        </w:rPr>
        <w:t>úspory</w:t>
      </w:r>
      <w:r w:rsidR="00422812">
        <w:rPr>
          <w:rFonts w:cs="Arial"/>
          <w:szCs w:val="22"/>
        </w:rPr>
        <w:t>“</w:t>
      </w:r>
      <w:r w:rsidRPr="00B76CB5">
        <w:rPr>
          <w:rFonts w:cs="Arial"/>
          <w:szCs w:val="22"/>
        </w:rPr>
        <w:t xml:space="preserve"> </w:t>
      </w:r>
      <w:r w:rsidR="00C47EBB">
        <w:rPr>
          <w:rFonts w:cs="Arial"/>
          <w:szCs w:val="22"/>
        </w:rPr>
        <w:t xml:space="preserve">na trhu dodávek činily </w:t>
      </w:r>
      <w:r w:rsidR="00864EA1" w:rsidRPr="00EC5DB2">
        <w:rPr>
          <w:rFonts w:cs="Arial"/>
          <w:szCs w:val="22"/>
        </w:rPr>
        <w:t>20 %</w:t>
      </w:r>
      <w:r w:rsidR="00864EA1">
        <w:rPr>
          <w:rFonts w:cs="Arial"/>
          <w:szCs w:val="22"/>
        </w:rPr>
        <w:t xml:space="preserve"> </w:t>
      </w:r>
      <w:r w:rsidR="002C671F">
        <w:rPr>
          <w:rFonts w:cs="Arial"/>
          <w:szCs w:val="22"/>
        </w:rPr>
        <w:t>v </w:t>
      </w:r>
      <w:r w:rsidR="00C47EBB">
        <w:rPr>
          <w:rFonts w:cs="Arial"/>
          <w:szCs w:val="22"/>
        </w:rPr>
        <w:t xml:space="preserve">případě </w:t>
      </w:r>
      <w:r w:rsidR="003F496C">
        <w:rPr>
          <w:rFonts w:cs="Arial"/>
          <w:szCs w:val="22"/>
        </w:rPr>
        <w:t xml:space="preserve">zadávání VZ formou </w:t>
      </w:r>
      <w:r w:rsidRPr="00EC5DB2">
        <w:rPr>
          <w:rFonts w:cs="Arial"/>
          <w:szCs w:val="22"/>
        </w:rPr>
        <w:t>„otevřen</w:t>
      </w:r>
      <w:r w:rsidR="003F496C">
        <w:rPr>
          <w:rFonts w:cs="Arial"/>
          <w:szCs w:val="22"/>
        </w:rPr>
        <w:t>ých</w:t>
      </w:r>
      <w:r w:rsidRPr="00EC5DB2">
        <w:rPr>
          <w:rFonts w:cs="Arial"/>
          <w:szCs w:val="22"/>
        </w:rPr>
        <w:t xml:space="preserve"> </w:t>
      </w:r>
      <w:r w:rsidRPr="002C1607">
        <w:rPr>
          <w:rFonts w:cs="Arial"/>
          <w:szCs w:val="22"/>
        </w:rPr>
        <w:t>výz</w:t>
      </w:r>
      <w:r w:rsidR="003F496C">
        <w:rPr>
          <w:rFonts w:cs="Arial"/>
          <w:szCs w:val="22"/>
        </w:rPr>
        <w:t>e</w:t>
      </w:r>
      <w:r w:rsidRPr="002C1607">
        <w:rPr>
          <w:rFonts w:cs="Arial"/>
          <w:szCs w:val="22"/>
        </w:rPr>
        <w:t xml:space="preserve">v“. Nejnižší </w:t>
      </w:r>
      <w:r w:rsidR="00422812">
        <w:rPr>
          <w:rFonts w:cs="Arial"/>
          <w:szCs w:val="22"/>
        </w:rPr>
        <w:t>„</w:t>
      </w:r>
      <w:r w:rsidRPr="002C1607">
        <w:rPr>
          <w:rFonts w:cs="Arial"/>
          <w:szCs w:val="22"/>
        </w:rPr>
        <w:t>úspora</w:t>
      </w:r>
      <w:r w:rsidR="00422812">
        <w:rPr>
          <w:rFonts w:cs="Arial"/>
          <w:szCs w:val="22"/>
        </w:rPr>
        <w:t>“</w:t>
      </w:r>
      <w:r w:rsidRPr="002C1607">
        <w:rPr>
          <w:rFonts w:cs="Arial"/>
          <w:szCs w:val="22"/>
        </w:rPr>
        <w:t xml:space="preserve"> byla vypočtena u „přímé</w:t>
      </w:r>
      <w:r w:rsidR="00C47EBB" w:rsidRPr="002C1607">
        <w:rPr>
          <w:rFonts w:cs="Arial"/>
          <w:szCs w:val="22"/>
        </w:rPr>
        <w:t>ho zadání“</w:t>
      </w:r>
      <w:r w:rsidRPr="002C1607">
        <w:rPr>
          <w:rFonts w:cs="Arial"/>
          <w:szCs w:val="22"/>
        </w:rPr>
        <w:t xml:space="preserve"> na </w:t>
      </w:r>
      <w:r w:rsidR="00C47EBB" w:rsidRPr="002C1607">
        <w:rPr>
          <w:rFonts w:cs="Arial"/>
          <w:szCs w:val="22"/>
        </w:rPr>
        <w:t xml:space="preserve">trhu </w:t>
      </w:r>
      <w:r w:rsidRPr="002C1607">
        <w:rPr>
          <w:rFonts w:cs="Arial"/>
          <w:szCs w:val="22"/>
        </w:rPr>
        <w:t>služ</w:t>
      </w:r>
      <w:r w:rsidR="00C47EBB" w:rsidRPr="002C1607">
        <w:rPr>
          <w:rFonts w:cs="Arial"/>
          <w:szCs w:val="22"/>
        </w:rPr>
        <w:t>e</w:t>
      </w:r>
      <w:r w:rsidRPr="002C1607">
        <w:rPr>
          <w:rFonts w:cs="Arial"/>
          <w:szCs w:val="22"/>
        </w:rPr>
        <w:t>b</w:t>
      </w:r>
      <w:r w:rsidR="003F496C">
        <w:rPr>
          <w:rFonts w:cs="Arial"/>
          <w:szCs w:val="22"/>
        </w:rPr>
        <w:t xml:space="preserve"> (4 %)</w:t>
      </w:r>
      <w:r w:rsidRPr="002C1607">
        <w:rPr>
          <w:rFonts w:cs="Arial"/>
          <w:szCs w:val="22"/>
        </w:rPr>
        <w:t xml:space="preserve">. </w:t>
      </w:r>
      <w:r w:rsidR="00741A74">
        <w:rPr>
          <w:rFonts w:cs="Arial"/>
          <w:szCs w:val="22"/>
        </w:rPr>
        <w:br/>
      </w:r>
      <w:r w:rsidRPr="002C1607">
        <w:rPr>
          <w:rFonts w:cs="Arial"/>
        </w:rPr>
        <w:t>E-aukce, se</w:t>
      </w:r>
      <w:r w:rsidRPr="001E3CBB">
        <w:rPr>
          <w:rFonts w:cs="Arial"/>
        </w:rPr>
        <w:t xml:space="preserve"> kterými byl</w:t>
      </w:r>
      <w:r>
        <w:rPr>
          <w:rFonts w:cs="Arial"/>
        </w:rPr>
        <w:t>y</w:t>
      </w:r>
      <w:r w:rsidRPr="00C2399C">
        <w:rPr>
          <w:rFonts w:cs="Arial"/>
        </w:rPr>
        <w:t xml:space="preserve"> spojován</w:t>
      </w:r>
      <w:r>
        <w:rPr>
          <w:rFonts w:cs="Arial"/>
        </w:rPr>
        <w:t>y nejvyšší očekávané úspory</w:t>
      </w:r>
      <w:r w:rsidRPr="00353C13">
        <w:rPr>
          <w:rFonts w:cs="Arial"/>
        </w:rPr>
        <w:t>, byly realizovány v zanedbatelné</w:t>
      </w:r>
      <w:r>
        <w:rPr>
          <w:rFonts w:cs="Arial"/>
        </w:rPr>
        <w:t>m</w:t>
      </w:r>
      <w:r w:rsidRPr="00353C13">
        <w:rPr>
          <w:rFonts w:cs="Arial"/>
        </w:rPr>
        <w:t xml:space="preserve"> počtu případů.</w:t>
      </w:r>
      <w:r>
        <w:rPr>
          <w:rFonts w:cs="Arial"/>
        </w:rPr>
        <w:t xml:space="preserve"> </w:t>
      </w:r>
    </w:p>
    <w:p w:rsidR="00E97788" w:rsidRDefault="00E97788" w:rsidP="00422812">
      <w:pPr>
        <w:pStyle w:val="Odstavecseseznamem"/>
        <w:numPr>
          <w:ilvl w:val="0"/>
          <w:numId w:val="19"/>
        </w:numPr>
        <w:spacing w:after="0"/>
        <w:contextualSpacing w:val="0"/>
        <w:rPr>
          <w:rFonts w:cs="Arial"/>
        </w:rPr>
      </w:pPr>
      <w:r w:rsidRPr="00B76CB5">
        <w:rPr>
          <w:rFonts w:cs="Arial"/>
        </w:rPr>
        <w:lastRenderedPageBreak/>
        <w:t>Z pěti e-tržišť zadavatelé preferovali zadávání zakázek na dvou – T</w:t>
      </w:r>
      <w:r>
        <w:rPr>
          <w:rFonts w:cs="Arial"/>
        </w:rPr>
        <w:t>ENDERMARKET</w:t>
      </w:r>
      <w:r w:rsidR="007F19C0">
        <w:rPr>
          <w:rFonts w:cs="Arial"/>
        </w:rPr>
        <w:t xml:space="preserve"> a </w:t>
      </w:r>
      <w:r w:rsidRPr="00B76CB5">
        <w:rPr>
          <w:rFonts w:cs="Arial"/>
        </w:rPr>
        <w:t>Gemin, jejichž prostřednictvím bylo</w:t>
      </w:r>
      <w:r>
        <w:rPr>
          <w:rFonts w:cs="Arial"/>
        </w:rPr>
        <w:t xml:space="preserve"> zadáno 98</w:t>
      </w:r>
      <w:r w:rsidRPr="00B76CB5">
        <w:rPr>
          <w:rFonts w:cs="Arial"/>
        </w:rPr>
        <w:t xml:space="preserve"> % veřejných</w:t>
      </w:r>
      <w:r>
        <w:rPr>
          <w:rFonts w:cs="Arial"/>
        </w:rPr>
        <w:t xml:space="preserve"> zakázek.</w:t>
      </w:r>
      <w:r w:rsidRPr="00B76CB5">
        <w:rPr>
          <w:rFonts w:cs="Arial"/>
        </w:rPr>
        <w:t xml:space="preserve"> </w:t>
      </w:r>
      <w:r>
        <w:rPr>
          <w:rFonts w:cs="Arial"/>
        </w:rPr>
        <w:t xml:space="preserve">Na e-tržišti TENDERMARKET je zaregistrováno i nejvíce uživatelů </w:t>
      </w:r>
      <w:r w:rsidR="003F496C">
        <w:rPr>
          <w:rFonts w:cs="Arial"/>
        </w:rPr>
        <w:t>(</w:t>
      </w:r>
      <w:r>
        <w:rPr>
          <w:rFonts w:cs="Arial"/>
        </w:rPr>
        <w:t>84 % dodavatelů a 79 % zadavatelů</w:t>
      </w:r>
      <w:r w:rsidR="003F496C">
        <w:rPr>
          <w:rFonts w:cs="Arial"/>
        </w:rPr>
        <w:t>)</w:t>
      </w:r>
      <w:r w:rsidR="003E1503">
        <w:rPr>
          <w:rFonts w:cs="Arial"/>
        </w:rPr>
        <w:t xml:space="preserve"> z celkového počtu všech registrovaných.</w:t>
      </w:r>
      <w:r>
        <w:rPr>
          <w:rFonts w:cs="Arial"/>
        </w:rPr>
        <w:t xml:space="preserve"> </w:t>
      </w:r>
    </w:p>
    <w:p w:rsidR="00E97788" w:rsidRDefault="00E97788" w:rsidP="00422812">
      <w:pPr>
        <w:pStyle w:val="Odstavecseseznamem"/>
        <w:numPr>
          <w:ilvl w:val="0"/>
          <w:numId w:val="19"/>
        </w:numPr>
        <w:spacing w:after="0"/>
        <w:contextualSpacing w:val="0"/>
        <w:rPr>
          <w:rFonts w:cs="Arial"/>
        </w:rPr>
      </w:pPr>
      <w:r w:rsidRPr="00F6583A">
        <w:rPr>
          <w:rFonts w:cs="Arial"/>
        </w:rPr>
        <w:t>Systém e-tržišť umožňoval zadá</w:t>
      </w:r>
      <w:r w:rsidR="003F496C">
        <w:rPr>
          <w:rFonts w:cs="Arial"/>
        </w:rPr>
        <w:t>vá</w:t>
      </w:r>
      <w:r w:rsidRPr="00F6583A">
        <w:rPr>
          <w:rFonts w:cs="Arial"/>
        </w:rPr>
        <w:t xml:space="preserve">ní chybných hodnot, neboť nebyly nastaveny funkční kontrolní mechanismy (algoritmy), které by </w:t>
      </w:r>
      <w:r>
        <w:rPr>
          <w:rFonts w:cs="Arial"/>
        </w:rPr>
        <w:t xml:space="preserve">uživatele </w:t>
      </w:r>
      <w:r w:rsidRPr="00F6583A">
        <w:rPr>
          <w:rFonts w:cs="Arial"/>
        </w:rPr>
        <w:t xml:space="preserve">upozornily </w:t>
      </w:r>
      <w:r w:rsidR="00EF5519">
        <w:rPr>
          <w:rFonts w:cs="Arial"/>
        </w:rPr>
        <w:t xml:space="preserve">na logické </w:t>
      </w:r>
      <w:r w:rsidRPr="00F6583A">
        <w:rPr>
          <w:rFonts w:cs="Arial"/>
        </w:rPr>
        <w:t>chyb</w:t>
      </w:r>
      <w:r>
        <w:rPr>
          <w:rFonts w:cs="Arial"/>
        </w:rPr>
        <w:t>y</w:t>
      </w:r>
      <w:r w:rsidRPr="00F6583A">
        <w:rPr>
          <w:rFonts w:cs="Arial"/>
        </w:rPr>
        <w:t>. T</w:t>
      </w:r>
      <w:r w:rsidR="003F496C">
        <w:rPr>
          <w:rFonts w:cs="Arial"/>
        </w:rPr>
        <w:t>ato</w:t>
      </w:r>
      <w:r w:rsidRPr="00F6583A">
        <w:rPr>
          <w:rFonts w:cs="Arial"/>
        </w:rPr>
        <w:t xml:space="preserve"> skutečnost m</w:t>
      </w:r>
      <w:r w:rsidR="003F496C">
        <w:rPr>
          <w:rFonts w:cs="Arial"/>
        </w:rPr>
        <w:t>ůže</w:t>
      </w:r>
      <w:r w:rsidRPr="00F6583A">
        <w:rPr>
          <w:rFonts w:cs="Arial"/>
        </w:rPr>
        <w:t xml:space="preserve"> mí</w:t>
      </w:r>
      <w:r w:rsidRPr="00217350">
        <w:rPr>
          <w:rFonts w:cs="Arial"/>
        </w:rPr>
        <w:t xml:space="preserve">t vliv na správnost statistického </w:t>
      </w:r>
      <w:r w:rsidR="007F19C0">
        <w:rPr>
          <w:rFonts w:cs="Arial"/>
        </w:rPr>
        <w:t xml:space="preserve">vyhodnocení </w:t>
      </w:r>
      <w:r w:rsidR="003F496C">
        <w:rPr>
          <w:rFonts w:cs="Arial"/>
        </w:rPr>
        <w:t>i</w:t>
      </w:r>
      <w:r w:rsidR="007F19C0">
        <w:rPr>
          <w:rFonts w:cs="Arial"/>
        </w:rPr>
        <w:t xml:space="preserve"> </w:t>
      </w:r>
      <w:r w:rsidR="003F496C">
        <w:rPr>
          <w:rFonts w:cs="Arial"/>
        </w:rPr>
        <w:t xml:space="preserve">na </w:t>
      </w:r>
      <w:r w:rsidR="007F19C0">
        <w:rPr>
          <w:rFonts w:cs="Arial"/>
        </w:rPr>
        <w:t xml:space="preserve">transparentnost </w:t>
      </w:r>
      <w:r w:rsidRPr="00217350">
        <w:rPr>
          <w:rFonts w:cs="Arial"/>
        </w:rPr>
        <w:t>uveřejňovaných informací o zadaných zakázkách.</w:t>
      </w:r>
      <w:r>
        <w:rPr>
          <w:rFonts w:cs="Arial"/>
        </w:rPr>
        <w:t xml:space="preserve"> </w:t>
      </w:r>
    </w:p>
    <w:p w:rsidR="00E97788" w:rsidRDefault="00E97788" w:rsidP="00422812">
      <w:pPr>
        <w:pStyle w:val="Odstavecseseznamem"/>
        <w:numPr>
          <w:ilvl w:val="0"/>
          <w:numId w:val="19"/>
        </w:numPr>
        <w:spacing w:after="0"/>
        <w:contextualSpacing w:val="0"/>
        <w:rPr>
          <w:rFonts w:cs="Arial"/>
          <w:szCs w:val="22"/>
        </w:rPr>
      </w:pPr>
      <w:r>
        <w:rPr>
          <w:rFonts w:cs="Arial"/>
          <w:szCs w:val="22"/>
        </w:rPr>
        <w:t>Povinnost zadávání zakázek byl</w:t>
      </w:r>
      <w:r w:rsidR="00C47EBB">
        <w:rPr>
          <w:rFonts w:cs="Arial"/>
          <w:szCs w:val="22"/>
        </w:rPr>
        <w:t>a</w:t>
      </w:r>
      <w:r>
        <w:rPr>
          <w:rFonts w:cs="Arial"/>
          <w:szCs w:val="22"/>
        </w:rPr>
        <w:t xml:space="preserve"> dán</w:t>
      </w:r>
      <w:r w:rsidR="00C47EBB">
        <w:rPr>
          <w:rFonts w:cs="Arial"/>
          <w:szCs w:val="22"/>
        </w:rPr>
        <w:t>a</w:t>
      </w:r>
      <w:r>
        <w:rPr>
          <w:rFonts w:cs="Arial"/>
          <w:szCs w:val="22"/>
        </w:rPr>
        <w:t xml:space="preserve"> usnesením</w:t>
      </w:r>
      <w:r w:rsidR="00C47EBB">
        <w:rPr>
          <w:rFonts w:cs="Arial"/>
          <w:szCs w:val="22"/>
        </w:rPr>
        <w:t>i</w:t>
      </w:r>
      <w:r>
        <w:rPr>
          <w:rFonts w:cs="Arial"/>
          <w:szCs w:val="22"/>
        </w:rPr>
        <w:t xml:space="preserve"> vlády, </w:t>
      </w:r>
      <w:r w:rsidRPr="00FC7541">
        <w:rPr>
          <w:rFonts w:cs="Arial"/>
          <w:szCs w:val="22"/>
        </w:rPr>
        <w:t xml:space="preserve">stejně jako </w:t>
      </w:r>
      <w:r w:rsidR="003F496C">
        <w:rPr>
          <w:rFonts w:cs="Arial"/>
          <w:szCs w:val="22"/>
        </w:rPr>
        <w:t>tomu bylo předtím u </w:t>
      </w:r>
      <w:r w:rsidRPr="00FC7541">
        <w:rPr>
          <w:rFonts w:cs="Arial"/>
          <w:szCs w:val="22"/>
        </w:rPr>
        <w:t xml:space="preserve">systému ICT e-tržišť, který byl před </w:t>
      </w:r>
      <w:r w:rsidR="00832CC5">
        <w:rPr>
          <w:rFonts w:cs="Arial"/>
          <w:szCs w:val="22"/>
        </w:rPr>
        <w:t xml:space="preserve">zahájením </w:t>
      </w:r>
      <w:r w:rsidRPr="00FC7541">
        <w:rPr>
          <w:rFonts w:cs="Arial"/>
          <w:szCs w:val="22"/>
        </w:rPr>
        <w:t>projektu NIPEZ vyhodnocen jako nedostatečný.</w:t>
      </w:r>
      <w:r>
        <w:rPr>
          <w:rFonts w:cs="Arial"/>
          <w:szCs w:val="22"/>
        </w:rPr>
        <w:t xml:space="preserve"> V UV </w:t>
      </w:r>
      <w:r w:rsidR="003F496C">
        <w:rPr>
          <w:rFonts w:cs="Arial"/>
          <w:szCs w:val="22"/>
        </w:rPr>
        <w:t xml:space="preserve">ze dne 10. 5. 2010 </w:t>
      </w:r>
      <w:r w:rsidR="00264CAF">
        <w:rPr>
          <w:rFonts w:cs="Arial"/>
          <w:szCs w:val="22"/>
        </w:rPr>
        <w:t xml:space="preserve">č. 343 </w:t>
      </w:r>
      <w:r w:rsidR="003F496C">
        <w:rPr>
          <w:rFonts w:cs="Arial"/>
          <w:szCs w:val="22"/>
        </w:rPr>
        <w:t>ani v UV ze dne 28. 3. 2012 č.</w:t>
      </w:r>
      <w:r w:rsidR="00264CAF">
        <w:rPr>
          <w:rFonts w:cs="Arial"/>
          <w:szCs w:val="22"/>
        </w:rPr>
        <w:t xml:space="preserve"> 222 </w:t>
      </w:r>
      <w:r>
        <w:rPr>
          <w:rFonts w:cs="Arial"/>
          <w:szCs w:val="22"/>
        </w:rPr>
        <w:t>nebyl nastaven kontrolní a</w:t>
      </w:r>
      <w:r w:rsidRPr="00F75116">
        <w:rPr>
          <w:rFonts w:cs="Arial"/>
          <w:szCs w:val="22"/>
        </w:rPr>
        <w:t xml:space="preserve"> sankční mechanismus pro </w:t>
      </w:r>
      <w:r w:rsidR="003F496C">
        <w:rPr>
          <w:rFonts w:cs="Arial"/>
          <w:szCs w:val="22"/>
        </w:rPr>
        <w:t xml:space="preserve">kontrolu </w:t>
      </w:r>
      <w:r>
        <w:rPr>
          <w:rFonts w:cs="Arial"/>
          <w:szCs w:val="22"/>
        </w:rPr>
        <w:t xml:space="preserve">dodržování povinnosti zadávat zakázky </w:t>
      </w:r>
      <w:r w:rsidR="003F496C">
        <w:rPr>
          <w:rFonts w:cs="Arial"/>
          <w:szCs w:val="22"/>
        </w:rPr>
        <w:t xml:space="preserve">přes e-tržiště </w:t>
      </w:r>
      <w:r>
        <w:rPr>
          <w:rFonts w:cs="Arial"/>
          <w:szCs w:val="22"/>
        </w:rPr>
        <w:t xml:space="preserve">ve výši 100 % pro ústřední orgány státní správy a </w:t>
      </w:r>
      <w:r w:rsidR="003F496C">
        <w:rPr>
          <w:rFonts w:cs="Arial"/>
          <w:szCs w:val="22"/>
        </w:rPr>
        <w:t xml:space="preserve">ve výši </w:t>
      </w:r>
      <w:r>
        <w:rPr>
          <w:rFonts w:cs="Arial"/>
          <w:szCs w:val="22"/>
        </w:rPr>
        <w:t>50 % pro jejich podřízené organizace</w:t>
      </w:r>
      <w:r w:rsidRPr="00F75116">
        <w:rPr>
          <w:rFonts w:cs="Arial"/>
          <w:szCs w:val="22"/>
        </w:rPr>
        <w:t xml:space="preserve">. </w:t>
      </w:r>
    </w:p>
    <w:p w:rsidR="00E97788" w:rsidRPr="00C21DE7" w:rsidRDefault="00E97788" w:rsidP="00422812">
      <w:pPr>
        <w:pStyle w:val="Odstavecseseznamem"/>
        <w:numPr>
          <w:ilvl w:val="0"/>
          <w:numId w:val="19"/>
        </w:numPr>
        <w:spacing w:after="0"/>
        <w:contextualSpacing w:val="0"/>
        <w:rPr>
          <w:rFonts w:cs="Arial"/>
        </w:rPr>
      </w:pPr>
      <w:r w:rsidRPr="00C21DE7">
        <w:rPr>
          <w:rFonts w:cs="Arial"/>
        </w:rPr>
        <w:t xml:space="preserve">MMR a MSp vedly evidenci objednávek a zakázek zadaných přes i mimo e-tržiště. </w:t>
      </w:r>
      <w:r w:rsidR="00981AAD" w:rsidRPr="00C21DE7">
        <w:rPr>
          <w:rFonts w:cs="Arial"/>
        </w:rPr>
        <w:t xml:space="preserve">Tuto povinnost </w:t>
      </w:r>
      <w:r w:rsidR="003D10A8">
        <w:rPr>
          <w:rFonts w:cs="Arial"/>
        </w:rPr>
        <w:t xml:space="preserve">však </w:t>
      </w:r>
      <w:r w:rsidR="00981AAD" w:rsidRPr="00C21DE7">
        <w:rPr>
          <w:rFonts w:cs="Arial"/>
        </w:rPr>
        <w:t xml:space="preserve">MSp </w:t>
      </w:r>
      <w:r w:rsidR="003D10A8" w:rsidRPr="00C769DB">
        <w:rPr>
          <w:rFonts w:cs="Arial"/>
        </w:rPr>
        <w:t xml:space="preserve">nepřeneslo </w:t>
      </w:r>
      <w:r w:rsidR="00981AAD" w:rsidRPr="00C21DE7">
        <w:rPr>
          <w:rFonts w:cs="Arial"/>
        </w:rPr>
        <w:t xml:space="preserve">na </w:t>
      </w:r>
      <w:r w:rsidR="00C21DE7" w:rsidRPr="00C21DE7">
        <w:rPr>
          <w:rFonts w:cs="Arial"/>
        </w:rPr>
        <w:t xml:space="preserve">své </w:t>
      </w:r>
      <w:r w:rsidR="00C21DE7" w:rsidRPr="00C769DB">
        <w:rPr>
          <w:rFonts w:cs="Arial"/>
        </w:rPr>
        <w:t>podřízené organizace</w:t>
      </w:r>
      <w:r w:rsidR="004740A7">
        <w:rPr>
          <w:rFonts w:cs="Arial"/>
        </w:rPr>
        <w:t xml:space="preserve"> a </w:t>
      </w:r>
      <w:r w:rsidRPr="00C769DB">
        <w:rPr>
          <w:rFonts w:cs="Arial"/>
        </w:rPr>
        <w:t>KS ÚL a</w:t>
      </w:r>
      <w:r w:rsidR="001C7333">
        <w:rPr>
          <w:rFonts w:cs="Arial"/>
        </w:rPr>
        <w:t>ni</w:t>
      </w:r>
      <w:r w:rsidRPr="00C769DB">
        <w:rPr>
          <w:rFonts w:cs="Arial"/>
        </w:rPr>
        <w:t xml:space="preserve"> KSZ ÚL tuto evidenci nevedl</w:t>
      </w:r>
      <w:r w:rsidR="00C769DB" w:rsidRPr="00C769DB">
        <w:rPr>
          <w:rFonts w:cs="Arial"/>
        </w:rPr>
        <w:t>y</w:t>
      </w:r>
      <w:r w:rsidRPr="00C769DB">
        <w:rPr>
          <w:rFonts w:cs="Arial"/>
        </w:rPr>
        <w:t xml:space="preserve">. Způsob evidence </w:t>
      </w:r>
      <w:r w:rsidR="00C769DB">
        <w:rPr>
          <w:rFonts w:cs="Arial"/>
        </w:rPr>
        <w:t xml:space="preserve">tak </w:t>
      </w:r>
      <w:r w:rsidRPr="00C769DB">
        <w:rPr>
          <w:rFonts w:cs="Arial"/>
        </w:rPr>
        <w:t xml:space="preserve">neumožňoval kontrolu </w:t>
      </w:r>
      <w:r w:rsidR="003D10A8">
        <w:rPr>
          <w:rFonts w:cs="Arial"/>
        </w:rPr>
        <w:t xml:space="preserve">plnění </w:t>
      </w:r>
      <w:r w:rsidRPr="00C769DB">
        <w:rPr>
          <w:rFonts w:cs="Arial"/>
        </w:rPr>
        <w:t>vládou stanovených povinností.</w:t>
      </w:r>
      <w:r w:rsidR="00C21DE7" w:rsidRPr="00C769DB">
        <w:rPr>
          <w:rFonts w:cs="Arial"/>
        </w:rPr>
        <w:t xml:space="preserve"> </w:t>
      </w:r>
      <w:r w:rsidRPr="00C769DB">
        <w:rPr>
          <w:rFonts w:cs="Arial"/>
        </w:rPr>
        <w:t xml:space="preserve">Další zjištění </w:t>
      </w:r>
      <w:r w:rsidR="00EF5519" w:rsidRPr="00C769DB">
        <w:rPr>
          <w:rFonts w:cs="Arial"/>
        </w:rPr>
        <w:t xml:space="preserve">u </w:t>
      </w:r>
      <w:r w:rsidR="005D56B7" w:rsidRPr="00C769DB">
        <w:rPr>
          <w:rFonts w:cs="Arial"/>
        </w:rPr>
        <w:t>MMR a</w:t>
      </w:r>
      <w:r w:rsidR="005D56B7">
        <w:rPr>
          <w:rFonts w:cs="Arial"/>
        </w:rPr>
        <w:t xml:space="preserve"> </w:t>
      </w:r>
      <w:r w:rsidR="00EF5519">
        <w:rPr>
          <w:rFonts w:cs="Arial"/>
        </w:rPr>
        <w:t xml:space="preserve">MSp </w:t>
      </w:r>
      <w:r w:rsidRPr="00C21DE7">
        <w:rPr>
          <w:rFonts w:cs="Arial"/>
        </w:rPr>
        <w:t xml:space="preserve">souvisela například </w:t>
      </w:r>
      <w:r w:rsidR="002C671F">
        <w:rPr>
          <w:rFonts w:cs="Arial"/>
        </w:rPr>
        <w:t>s </w:t>
      </w:r>
      <w:r w:rsidRPr="00C21DE7">
        <w:rPr>
          <w:rFonts w:cs="Arial"/>
        </w:rPr>
        <w:t xml:space="preserve">nedodržením zákona </w:t>
      </w:r>
      <w:r w:rsidR="00C769DB">
        <w:rPr>
          <w:rFonts w:cs="Arial"/>
        </w:rPr>
        <w:t>č. </w:t>
      </w:r>
      <w:r w:rsidR="00B86A6A">
        <w:rPr>
          <w:rFonts w:cs="Arial"/>
        </w:rPr>
        <w:t>219/200</w:t>
      </w:r>
      <w:r w:rsidR="00FD3D04">
        <w:rPr>
          <w:rFonts w:cs="Arial"/>
        </w:rPr>
        <w:t>0</w:t>
      </w:r>
      <w:r w:rsidR="003D10A8">
        <w:rPr>
          <w:rFonts w:cs="Arial"/>
        </w:rPr>
        <w:t> </w:t>
      </w:r>
      <w:r w:rsidR="00FD3D04">
        <w:rPr>
          <w:rFonts w:cs="Arial"/>
        </w:rPr>
        <w:t>Sb.</w:t>
      </w:r>
      <w:r w:rsidR="007C2A54">
        <w:rPr>
          <w:rFonts w:cs="Arial"/>
        </w:rPr>
        <w:t>,</w:t>
      </w:r>
      <w:r w:rsidR="00B86A6A">
        <w:rPr>
          <w:rFonts w:cs="Arial"/>
        </w:rPr>
        <w:t xml:space="preserve"> </w:t>
      </w:r>
      <w:r w:rsidRPr="00C21DE7">
        <w:rPr>
          <w:rFonts w:cs="Arial"/>
        </w:rPr>
        <w:t>o majetku</w:t>
      </w:r>
      <w:r w:rsidR="00B86A6A">
        <w:rPr>
          <w:rFonts w:cs="Arial"/>
        </w:rPr>
        <w:t xml:space="preserve"> České republiky a jejím vystupování v právních vztazích.</w:t>
      </w:r>
    </w:p>
    <w:p w:rsidR="004D463D" w:rsidRDefault="004D463D" w:rsidP="00422812">
      <w:pPr>
        <w:spacing w:after="0"/>
        <w:jc w:val="center"/>
        <w:rPr>
          <w:rFonts w:cs="Arial"/>
          <w:b/>
          <w:szCs w:val="22"/>
        </w:rPr>
      </w:pPr>
    </w:p>
    <w:p w:rsidR="001066B6" w:rsidRPr="00C21DE7" w:rsidRDefault="001066B6" w:rsidP="00422812">
      <w:pPr>
        <w:spacing w:after="0"/>
        <w:jc w:val="center"/>
        <w:rPr>
          <w:rFonts w:cs="Arial"/>
          <w:b/>
          <w:szCs w:val="22"/>
        </w:rPr>
      </w:pPr>
    </w:p>
    <w:p w:rsidR="004D463D" w:rsidRPr="00422812" w:rsidRDefault="004D463D" w:rsidP="00422812">
      <w:pPr>
        <w:spacing w:after="0"/>
        <w:jc w:val="center"/>
        <w:rPr>
          <w:rFonts w:cs="Arial"/>
          <w:b/>
          <w:sz w:val="24"/>
        </w:rPr>
      </w:pPr>
      <w:r w:rsidRPr="00422812">
        <w:rPr>
          <w:rFonts w:cs="Arial"/>
          <w:b/>
          <w:sz w:val="24"/>
        </w:rPr>
        <w:t>IV. Vyhodnocení</w:t>
      </w:r>
    </w:p>
    <w:p w:rsidR="001066B6" w:rsidRDefault="001066B6" w:rsidP="00422812">
      <w:pPr>
        <w:spacing w:after="0"/>
        <w:jc w:val="center"/>
        <w:rPr>
          <w:rFonts w:cs="Arial"/>
          <w:b/>
        </w:rPr>
      </w:pPr>
    </w:p>
    <w:p w:rsidR="004D463D" w:rsidRDefault="004D463D" w:rsidP="00422812">
      <w:pPr>
        <w:spacing w:after="0"/>
        <w:rPr>
          <w:rFonts w:cs="Arial"/>
        </w:rPr>
      </w:pPr>
      <w:r>
        <w:rPr>
          <w:rFonts w:cs="Arial"/>
        </w:rPr>
        <w:t xml:space="preserve">E-tržiště projektu NIPEZ představují jeden </w:t>
      </w:r>
      <w:r w:rsidR="002C671F">
        <w:rPr>
          <w:rFonts w:cs="Arial"/>
        </w:rPr>
        <w:t>z </w:t>
      </w:r>
      <w:r>
        <w:rPr>
          <w:rFonts w:cs="Arial"/>
        </w:rPr>
        <w:t>důležitých kroků zvyšování efektiv</w:t>
      </w:r>
      <w:r w:rsidR="003D10A8">
        <w:rPr>
          <w:rFonts w:cs="Arial"/>
        </w:rPr>
        <w:t>ity</w:t>
      </w:r>
      <w:r>
        <w:rPr>
          <w:rFonts w:cs="Arial"/>
        </w:rPr>
        <w:t xml:space="preserve"> veřejných nákupů spojených zejména se zadáváním veřejných zakázek malého rozsahu, které nejsou pod stejnou úrovní veřejné kontroly jako podlimitní a nadlimitní veř</w:t>
      </w:r>
      <w:r w:rsidR="00E72F2D">
        <w:rPr>
          <w:rFonts w:cs="Arial"/>
        </w:rPr>
        <w:t xml:space="preserve">ejné zakázky, ačkoli </w:t>
      </w:r>
      <w:r w:rsidR="003D10A8">
        <w:rPr>
          <w:rFonts w:cs="Arial"/>
        </w:rPr>
        <w:t xml:space="preserve">mají vliv na </w:t>
      </w:r>
      <w:r>
        <w:rPr>
          <w:rFonts w:cs="Arial"/>
        </w:rPr>
        <w:t>značný objem veřejných prostředků.</w:t>
      </w:r>
    </w:p>
    <w:p w:rsidR="001066B6" w:rsidRDefault="001066B6" w:rsidP="00422812">
      <w:pPr>
        <w:spacing w:after="0"/>
        <w:rPr>
          <w:rFonts w:cs="Arial"/>
        </w:rPr>
      </w:pPr>
    </w:p>
    <w:p w:rsidR="004D463D" w:rsidRDefault="004D463D" w:rsidP="00422812">
      <w:pPr>
        <w:spacing w:after="0"/>
        <w:rPr>
          <w:rFonts w:cs="Arial"/>
        </w:rPr>
      </w:pPr>
      <w:r>
        <w:rPr>
          <w:rFonts w:cs="Arial"/>
        </w:rPr>
        <w:t>NKÚ kontrolou zjistil, že nadále existuje prostor ke zlepšení ve fungování e-tržišť projektu NIPEZ i v celkovém přístupu MMR a dalších zainteresovaných orgánů veřejné správy</w:t>
      </w:r>
      <w:r w:rsidR="00D8238E">
        <w:rPr>
          <w:rFonts w:cs="Arial"/>
        </w:rPr>
        <w:t xml:space="preserve"> jakožto veřejných zadavatelů</w:t>
      </w:r>
      <w:r>
        <w:rPr>
          <w:rFonts w:cs="Arial"/>
        </w:rPr>
        <w:t xml:space="preserve">. </w:t>
      </w:r>
      <w:r w:rsidR="003D10A8">
        <w:rPr>
          <w:rFonts w:cs="Arial"/>
        </w:rPr>
        <w:t>S ohledem na další</w:t>
      </w:r>
      <w:r>
        <w:rPr>
          <w:rFonts w:cs="Arial"/>
        </w:rPr>
        <w:t xml:space="preserve"> provoz e-tržišť doporučuje </w:t>
      </w:r>
      <w:r w:rsidR="003D10A8">
        <w:rPr>
          <w:rFonts w:cs="Arial"/>
        </w:rPr>
        <w:t xml:space="preserve">NKÚ </w:t>
      </w:r>
      <w:r>
        <w:rPr>
          <w:rFonts w:cs="Arial"/>
        </w:rPr>
        <w:t>zaměřit se na následující oblasti:</w:t>
      </w:r>
    </w:p>
    <w:p w:rsidR="004D463D" w:rsidRPr="007B3453" w:rsidRDefault="004D463D" w:rsidP="00422812">
      <w:pPr>
        <w:pStyle w:val="Odstavecseseznamem"/>
        <w:numPr>
          <w:ilvl w:val="0"/>
          <w:numId w:val="20"/>
        </w:numPr>
        <w:spacing w:after="0"/>
        <w:contextualSpacing w:val="0"/>
        <w:rPr>
          <w:rFonts w:cs="Arial"/>
        </w:rPr>
      </w:pPr>
      <w:r>
        <w:rPr>
          <w:rFonts w:cs="Arial"/>
        </w:rPr>
        <w:t>sledování a hodnocení úspor a ostatních cílů</w:t>
      </w:r>
      <w:r w:rsidR="001E777E">
        <w:rPr>
          <w:rFonts w:cs="Arial"/>
        </w:rPr>
        <w:t xml:space="preserve"> </w:t>
      </w:r>
      <w:r w:rsidR="009E28C8">
        <w:rPr>
          <w:rFonts w:cs="Arial"/>
        </w:rPr>
        <w:t xml:space="preserve">modulu e-tržišť </w:t>
      </w:r>
      <w:r w:rsidR="001E777E">
        <w:rPr>
          <w:rFonts w:cs="Arial"/>
        </w:rPr>
        <w:t>projektu NIPEZ</w:t>
      </w:r>
      <w:r>
        <w:rPr>
          <w:rFonts w:cs="Arial"/>
        </w:rPr>
        <w:t>;</w:t>
      </w:r>
    </w:p>
    <w:p w:rsidR="001E777E" w:rsidRDefault="001E777E" w:rsidP="00422812">
      <w:pPr>
        <w:pStyle w:val="Odstavecseseznamem"/>
        <w:numPr>
          <w:ilvl w:val="0"/>
          <w:numId w:val="20"/>
        </w:numPr>
        <w:spacing w:after="0"/>
        <w:contextualSpacing w:val="0"/>
        <w:rPr>
          <w:rFonts w:cs="Arial"/>
        </w:rPr>
      </w:pPr>
      <w:r>
        <w:rPr>
          <w:rFonts w:cs="Arial"/>
        </w:rPr>
        <w:t>nastavení metodiky pro výpočet monitorovacího indikátoru a vykazování jeho skutečného stavu v průběžných monitorovacích zprávách;</w:t>
      </w:r>
    </w:p>
    <w:p w:rsidR="004D463D" w:rsidRPr="007B3453" w:rsidRDefault="001E777E" w:rsidP="00422812">
      <w:pPr>
        <w:pStyle w:val="Odstavecseseznamem"/>
        <w:numPr>
          <w:ilvl w:val="0"/>
          <w:numId w:val="20"/>
        </w:numPr>
        <w:spacing w:after="0"/>
        <w:contextualSpacing w:val="0"/>
        <w:rPr>
          <w:rFonts w:cs="Arial"/>
        </w:rPr>
      </w:pPr>
      <w:r>
        <w:rPr>
          <w:rFonts w:cs="Arial"/>
        </w:rPr>
        <w:t xml:space="preserve">zajištění technických podmínek e-tržišť na úrovni, která minimalizuje </w:t>
      </w:r>
      <w:r w:rsidR="004D463D">
        <w:rPr>
          <w:rFonts w:cs="Arial"/>
        </w:rPr>
        <w:t xml:space="preserve">zadávání </w:t>
      </w:r>
      <w:r>
        <w:rPr>
          <w:rFonts w:cs="Arial"/>
        </w:rPr>
        <w:t>ne</w:t>
      </w:r>
      <w:r w:rsidR="004D463D">
        <w:rPr>
          <w:rFonts w:cs="Arial"/>
        </w:rPr>
        <w:t xml:space="preserve">správných </w:t>
      </w:r>
      <w:r>
        <w:rPr>
          <w:rFonts w:cs="Arial"/>
        </w:rPr>
        <w:t>údajů</w:t>
      </w:r>
      <w:r w:rsidR="004D463D">
        <w:rPr>
          <w:rFonts w:cs="Arial"/>
        </w:rPr>
        <w:t xml:space="preserve"> ze strany </w:t>
      </w:r>
      <w:r>
        <w:rPr>
          <w:rFonts w:cs="Arial"/>
        </w:rPr>
        <w:t>uživatelů e-tržišť</w:t>
      </w:r>
      <w:r w:rsidR="004D463D">
        <w:rPr>
          <w:rFonts w:cs="Arial"/>
        </w:rPr>
        <w:t xml:space="preserve"> </w:t>
      </w:r>
      <w:r>
        <w:rPr>
          <w:rFonts w:cs="Arial"/>
        </w:rPr>
        <w:t xml:space="preserve">a umožní </w:t>
      </w:r>
      <w:r w:rsidR="003D10A8">
        <w:rPr>
          <w:rFonts w:cs="Arial"/>
        </w:rPr>
        <w:t xml:space="preserve">vytvářet </w:t>
      </w:r>
      <w:r>
        <w:rPr>
          <w:rFonts w:cs="Arial"/>
        </w:rPr>
        <w:t xml:space="preserve">spolehlivá </w:t>
      </w:r>
      <w:r w:rsidR="004D463D">
        <w:rPr>
          <w:rFonts w:cs="Arial"/>
        </w:rPr>
        <w:t>statistick</w:t>
      </w:r>
      <w:r>
        <w:rPr>
          <w:rFonts w:cs="Arial"/>
        </w:rPr>
        <w:t xml:space="preserve">á </w:t>
      </w:r>
      <w:r w:rsidR="004D463D">
        <w:rPr>
          <w:rFonts w:cs="Arial"/>
        </w:rPr>
        <w:t xml:space="preserve">hodnocení </w:t>
      </w:r>
      <w:r>
        <w:rPr>
          <w:rFonts w:cs="Arial"/>
        </w:rPr>
        <w:t>trhu veřejných zakázek</w:t>
      </w:r>
      <w:r w:rsidR="004D463D">
        <w:rPr>
          <w:rFonts w:cs="Arial"/>
        </w:rPr>
        <w:t>;</w:t>
      </w:r>
    </w:p>
    <w:p w:rsidR="004D463D" w:rsidRPr="007B3453" w:rsidRDefault="001E777E" w:rsidP="00422812">
      <w:pPr>
        <w:pStyle w:val="Odstavecseseznamem"/>
        <w:numPr>
          <w:ilvl w:val="0"/>
          <w:numId w:val="20"/>
        </w:numPr>
        <w:spacing w:after="0"/>
        <w:contextualSpacing w:val="0"/>
        <w:rPr>
          <w:rFonts w:cs="Arial"/>
        </w:rPr>
      </w:pPr>
      <w:r>
        <w:rPr>
          <w:rFonts w:cs="Arial"/>
        </w:rPr>
        <w:t xml:space="preserve">snížení podílu využívání přímých zadání </w:t>
      </w:r>
      <w:r w:rsidR="00AB1A32">
        <w:rPr>
          <w:rFonts w:cs="Arial"/>
        </w:rPr>
        <w:t xml:space="preserve">za účelem </w:t>
      </w:r>
      <w:r w:rsidR="004D463D">
        <w:rPr>
          <w:rFonts w:cs="Arial"/>
        </w:rPr>
        <w:t xml:space="preserve">posílení transparentnosti </w:t>
      </w:r>
      <w:r w:rsidR="00E72F2D">
        <w:rPr>
          <w:rFonts w:cs="Arial"/>
        </w:rPr>
        <w:t>a </w:t>
      </w:r>
      <w:r w:rsidR="00B31B8A">
        <w:rPr>
          <w:rFonts w:cs="Arial"/>
        </w:rPr>
        <w:t>hospodárnosti</w:t>
      </w:r>
      <w:r w:rsidR="004D463D">
        <w:rPr>
          <w:rFonts w:cs="Arial"/>
        </w:rPr>
        <w:t xml:space="preserve"> zadávání veřejných zakázek;</w:t>
      </w:r>
    </w:p>
    <w:p w:rsidR="004D463D" w:rsidRPr="00190962" w:rsidRDefault="00AB1A32" w:rsidP="00422812">
      <w:pPr>
        <w:pStyle w:val="Odstavecseseznamem"/>
        <w:numPr>
          <w:ilvl w:val="0"/>
          <w:numId w:val="20"/>
        </w:numPr>
        <w:spacing w:after="0"/>
        <w:contextualSpacing w:val="0"/>
        <w:rPr>
          <w:rFonts w:cs="Arial"/>
        </w:rPr>
      </w:pPr>
      <w:r>
        <w:rPr>
          <w:rFonts w:cs="Arial"/>
        </w:rPr>
        <w:t>vytvoření</w:t>
      </w:r>
      <w:r w:rsidR="004D463D">
        <w:rPr>
          <w:rFonts w:cs="Arial"/>
        </w:rPr>
        <w:t xml:space="preserve"> vhodných podmínek pro rozšíření </w:t>
      </w:r>
      <w:r>
        <w:rPr>
          <w:rFonts w:cs="Arial"/>
        </w:rPr>
        <w:t>e-tržiš</w:t>
      </w:r>
      <w:r w:rsidR="003D10A8">
        <w:rPr>
          <w:rFonts w:cs="Arial"/>
        </w:rPr>
        <w:t>ť</w:t>
      </w:r>
      <w:r>
        <w:rPr>
          <w:rFonts w:cs="Arial"/>
        </w:rPr>
        <w:t xml:space="preserve"> pro</w:t>
      </w:r>
      <w:r w:rsidR="004D463D">
        <w:rPr>
          <w:rFonts w:cs="Arial"/>
        </w:rPr>
        <w:t xml:space="preserve"> </w:t>
      </w:r>
      <w:r w:rsidR="00AC2DAD">
        <w:rPr>
          <w:rFonts w:cs="Arial"/>
        </w:rPr>
        <w:t>E</w:t>
      </w:r>
      <w:r w:rsidR="004D463D">
        <w:rPr>
          <w:rFonts w:cs="Arial"/>
        </w:rPr>
        <w:t>tap</w:t>
      </w:r>
      <w:r>
        <w:rPr>
          <w:rFonts w:cs="Arial"/>
        </w:rPr>
        <w:t>u</w:t>
      </w:r>
      <w:r w:rsidR="004D463D" w:rsidRPr="007B3453">
        <w:rPr>
          <w:rFonts w:cs="Arial"/>
        </w:rPr>
        <w:t xml:space="preserve"> 2</w:t>
      </w:r>
      <w:r w:rsidR="004D463D">
        <w:rPr>
          <w:rFonts w:cs="Arial"/>
        </w:rPr>
        <w:t xml:space="preserve">, a to jak pro zadavatele, tak pro dodavatele, neboť </w:t>
      </w:r>
      <w:r w:rsidR="008B6090">
        <w:rPr>
          <w:rFonts w:cs="Arial"/>
        </w:rPr>
        <w:t xml:space="preserve">povinnost </w:t>
      </w:r>
      <w:r w:rsidR="004D463D">
        <w:rPr>
          <w:rFonts w:cs="Arial"/>
        </w:rPr>
        <w:t>zadávání přes e-tržiště je limitován</w:t>
      </w:r>
      <w:r w:rsidR="00520A37">
        <w:rPr>
          <w:rFonts w:cs="Arial"/>
        </w:rPr>
        <w:t>a</w:t>
      </w:r>
      <w:r w:rsidR="004D463D">
        <w:rPr>
          <w:rFonts w:cs="Arial"/>
        </w:rPr>
        <w:t xml:space="preserve"> stávající právní úpravou, chybějícími kontrolními a sankčními mechanismy, velmi nízkým počtem dodavatelů, který je do jisté míry ovlivněn počtem povinných zadavatelů a přístupem dobrovolných zadavatelů k aktivnímu využívání e-tržišť, i celkovou mírou osvěty všech zainteresovaných subjektů.</w:t>
      </w:r>
    </w:p>
    <w:p w:rsidR="001066B6" w:rsidRDefault="001066B6" w:rsidP="00422812">
      <w:pPr>
        <w:spacing w:after="0"/>
        <w:rPr>
          <w:rFonts w:cs="Arial"/>
        </w:rPr>
      </w:pPr>
    </w:p>
    <w:p w:rsidR="004D463D" w:rsidRDefault="004D463D" w:rsidP="00422812">
      <w:pPr>
        <w:spacing w:after="0"/>
        <w:rPr>
          <w:rFonts w:cs="Arial"/>
        </w:rPr>
      </w:pPr>
      <w:r w:rsidRPr="00401463">
        <w:rPr>
          <w:rFonts w:cs="Arial"/>
        </w:rPr>
        <w:t xml:space="preserve">V průběhu kontroly </w:t>
      </w:r>
      <w:r w:rsidR="00AB1A32">
        <w:rPr>
          <w:rFonts w:cs="Arial"/>
        </w:rPr>
        <w:t xml:space="preserve">vláda schválila </w:t>
      </w:r>
      <w:r w:rsidRPr="00401463">
        <w:rPr>
          <w:rFonts w:cs="Arial"/>
        </w:rPr>
        <w:t xml:space="preserve">usnesení </w:t>
      </w:r>
      <w:r w:rsidR="00AB1A32">
        <w:rPr>
          <w:rFonts w:cs="Arial"/>
        </w:rPr>
        <w:t xml:space="preserve">ze dne 18. </w:t>
      </w:r>
      <w:r w:rsidR="00E72F2D">
        <w:rPr>
          <w:rFonts w:cs="Arial"/>
        </w:rPr>
        <w:t xml:space="preserve">prosince </w:t>
      </w:r>
      <w:r w:rsidR="00AB1A32">
        <w:rPr>
          <w:rFonts w:cs="Arial"/>
        </w:rPr>
        <w:t xml:space="preserve">2013 </w:t>
      </w:r>
      <w:r w:rsidRPr="00401463">
        <w:rPr>
          <w:rFonts w:cs="Arial"/>
        </w:rPr>
        <w:t xml:space="preserve">č. 981, kterým byla nařízena povinnost </w:t>
      </w:r>
      <w:r w:rsidR="003A4970" w:rsidRPr="00401463">
        <w:rPr>
          <w:rFonts w:cs="Arial"/>
        </w:rPr>
        <w:t xml:space="preserve">zadávat </w:t>
      </w:r>
      <w:r>
        <w:rPr>
          <w:rFonts w:cs="Arial"/>
        </w:rPr>
        <w:t xml:space="preserve">od 1. </w:t>
      </w:r>
      <w:r w:rsidR="00E72F2D">
        <w:rPr>
          <w:rFonts w:cs="Arial"/>
        </w:rPr>
        <w:t>ledna</w:t>
      </w:r>
      <w:r>
        <w:rPr>
          <w:rFonts w:cs="Arial"/>
        </w:rPr>
        <w:t xml:space="preserve"> 2014 </w:t>
      </w:r>
      <w:r w:rsidRPr="00401463">
        <w:rPr>
          <w:rFonts w:cs="Arial"/>
        </w:rPr>
        <w:t xml:space="preserve">veřejné zakázky v souladu s Pravidly v rozsahu 100 % finančního objemu u povinných komodit u podřízených organizací </w:t>
      </w:r>
      <w:r w:rsidR="00E7782D">
        <w:rPr>
          <w:rFonts w:cs="Arial"/>
        </w:rPr>
        <w:t xml:space="preserve">ÚOSS </w:t>
      </w:r>
      <w:r w:rsidR="00CC42F6" w:rsidRPr="00401463">
        <w:rPr>
          <w:rFonts w:cs="Arial"/>
        </w:rPr>
        <w:t>opr</w:t>
      </w:r>
      <w:r w:rsidR="00CC42F6">
        <w:rPr>
          <w:rFonts w:cs="Arial"/>
        </w:rPr>
        <w:t>o</w:t>
      </w:r>
      <w:r w:rsidR="00CC42F6" w:rsidRPr="00401463">
        <w:rPr>
          <w:rFonts w:cs="Arial"/>
        </w:rPr>
        <w:t xml:space="preserve">ti </w:t>
      </w:r>
      <w:r w:rsidRPr="00401463">
        <w:rPr>
          <w:rFonts w:cs="Arial"/>
        </w:rPr>
        <w:lastRenderedPageBreak/>
        <w:t>původnímu limitu 50 %</w:t>
      </w:r>
      <w:r>
        <w:rPr>
          <w:rFonts w:cs="Arial"/>
        </w:rPr>
        <w:t xml:space="preserve">. Tato změna usnadní orgánům veřejné správy </w:t>
      </w:r>
      <w:r w:rsidR="00CC42F6">
        <w:rPr>
          <w:rFonts w:cs="Arial"/>
        </w:rPr>
        <w:t xml:space="preserve">sledovat </w:t>
      </w:r>
      <w:r>
        <w:rPr>
          <w:rFonts w:cs="Arial"/>
        </w:rPr>
        <w:t>dodržování této povinnosti u podřízených organizací.</w:t>
      </w:r>
    </w:p>
    <w:p w:rsidR="001066B6" w:rsidRPr="00401463" w:rsidRDefault="001066B6" w:rsidP="00422812">
      <w:pPr>
        <w:spacing w:after="0"/>
        <w:rPr>
          <w:rFonts w:cs="Arial"/>
        </w:rPr>
      </w:pPr>
    </w:p>
    <w:p w:rsidR="00B31B8A" w:rsidRDefault="004D463D" w:rsidP="00422812">
      <w:pPr>
        <w:spacing w:after="0"/>
        <w:rPr>
          <w:rFonts w:cs="Arial"/>
        </w:rPr>
      </w:pPr>
      <w:r>
        <w:rPr>
          <w:rFonts w:cs="Arial"/>
        </w:rPr>
        <w:t xml:space="preserve">Kontrola potvrdila, že zadávání veřejných zakázek přes e-tržiště má prokazatelný vliv na snižování </w:t>
      </w:r>
      <w:r w:rsidR="00EF5519">
        <w:rPr>
          <w:rFonts w:cs="Arial"/>
        </w:rPr>
        <w:t xml:space="preserve">nákupních </w:t>
      </w:r>
      <w:r w:rsidR="009013BE">
        <w:rPr>
          <w:rFonts w:cs="Arial"/>
        </w:rPr>
        <w:t>cen</w:t>
      </w:r>
      <w:r w:rsidR="00B31B8A">
        <w:rPr>
          <w:rFonts w:cs="Arial"/>
        </w:rPr>
        <w:t xml:space="preserve">. </w:t>
      </w:r>
      <w:r w:rsidR="00DC6A56">
        <w:rPr>
          <w:rFonts w:cs="Arial"/>
        </w:rPr>
        <w:t>H</w:t>
      </w:r>
      <w:r>
        <w:rPr>
          <w:rFonts w:cs="Arial"/>
        </w:rPr>
        <w:t xml:space="preserve">lavním úskalím </w:t>
      </w:r>
      <w:r w:rsidR="00DC6A56">
        <w:rPr>
          <w:rFonts w:cs="Arial"/>
        </w:rPr>
        <w:t xml:space="preserve">je </w:t>
      </w:r>
      <w:r>
        <w:rPr>
          <w:rFonts w:cs="Arial"/>
        </w:rPr>
        <w:t xml:space="preserve">udržení standardu kvality a spolehlivosti plnění ze strany dodavatelů. </w:t>
      </w:r>
    </w:p>
    <w:p w:rsidR="001066B6" w:rsidRDefault="001066B6" w:rsidP="00422812">
      <w:pPr>
        <w:spacing w:after="0"/>
        <w:rPr>
          <w:rFonts w:cs="Arial"/>
        </w:rPr>
      </w:pPr>
    </w:p>
    <w:p w:rsidR="004D463D" w:rsidRDefault="004D463D" w:rsidP="004D463D">
      <w:r>
        <w:rPr>
          <w:rFonts w:cs="Arial"/>
        </w:rPr>
        <w:t>Optimalizace transakčních nákladů spojených se zadáváním veřejných zakázek na e-tržištích vedla uživatele na straně zadavatelů i dodavatelů k nízkému využívání aditivních služeb, které se měl</w:t>
      </w:r>
      <w:r w:rsidR="00EF5519">
        <w:rPr>
          <w:rFonts w:cs="Arial"/>
        </w:rPr>
        <w:t>y</w:t>
      </w:r>
      <w:r>
        <w:rPr>
          <w:rFonts w:cs="Arial"/>
        </w:rPr>
        <w:t xml:space="preserve"> podle předpokladů MMR stát hlavním konkurenčním aspektem mezi e-tržišti. </w:t>
      </w:r>
      <w:r w:rsidR="00B95CD7">
        <w:rPr>
          <w:rFonts w:cs="Arial"/>
        </w:rPr>
        <w:t xml:space="preserve">Nabídka těchto </w:t>
      </w:r>
      <w:r w:rsidR="00F84E23">
        <w:rPr>
          <w:rFonts w:cs="Arial"/>
        </w:rPr>
        <w:t xml:space="preserve">aditivních </w:t>
      </w:r>
      <w:r w:rsidR="00B95CD7">
        <w:rPr>
          <w:rFonts w:cs="Arial"/>
        </w:rPr>
        <w:t xml:space="preserve">služeb </w:t>
      </w:r>
      <w:r w:rsidR="00F84E23">
        <w:rPr>
          <w:rFonts w:cs="Arial"/>
        </w:rPr>
        <w:t xml:space="preserve">poskytovaných uživatelům </w:t>
      </w:r>
      <w:r w:rsidR="00B95CD7">
        <w:rPr>
          <w:rFonts w:cs="Arial"/>
        </w:rPr>
        <w:t xml:space="preserve">však nevytváří </w:t>
      </w:r>
      <w:r w:rsidR="00B31B8A">
        <w:rPr>
          <w:rFonts w:cs="Arial"/>
        </w:rPr>
        <w:t xml:space="preserve">očekávaný </w:t>
      </w:r>
      <w:r w:rsidR="00B95CD7">
        <w:rPr>
          <w:rFonts w:cs="Arial"/>
        </w:rPr>
        <w:t xml:space="preserve">tlak </w:t>
      </w:r>
      <w:r w:rsidR="00F84E23">
        <w:rPr>
          <w:rFonts w:cs="Arial"/>
        </w:rPr>
        <w:t>na zvýšení využ</w:t>
      </w:r>
      <w:r w:rsidR="003A4970">
        <w:rPr>
          <w:rFonts w:cs="Arial"/>
        </w:rPr>
        <w:t>ívání</w:t>
      </w:r>
      <w:r w:rsidR="00F84E23">
        <w:rPr>
          <w:rFonts w:cs="Arial"/>
        </w:rPr>
        <w:t xml:space="preserve"> všech e-tržišť</w:t>
      </w:r>
      <w:r w:rsidR="00B95CD7">
        <w:rPr>
          <w:rFonts w:cs="Arial"/>
        </w:rPr>
        <w:t xml:space="preserve">. </w:t>
      </w:r>
    </w:p>
    <w:p w:rsidR="00954CD8" w:rsidRDefault="00954CD8">
      <w:pPr>
        <w:spacing w:after="200" w:line="276" w:lineRule="auto"/>
        <w:jc w:val="left"/>
        <w:rPr>
          <w:rFonts w:cs="Arial"/>
          <w:szCs w:val="22"/>
        </w:rPr>
      </w:pPr>
      <w:r>
        <w:rPr>
          <w:rFonts w:cs="Arial"/>
          <w:szCs w:val="22"/>
        </w:rPr>
        <w:br w:type="page"/>
      </w:r>
    </w:p>
    <w:p w:rsidR="00954CD8" w:rsidRPr="008B6090" w:rsidRDefault="00954CD8" w:rsidP="00954CD8">
      <w:pPr>
        <w:jc w:val="right"/>
        <w:rPr>
          <w:rFonts w:cs="Arial"/>
          <w:b/>
          <w:szCs w:val="22"/>
        </w:rPr>
      </w:pPr>
      <w:r w:rsidRPr="008B6090">
        <w:rPr>
          <w:rFonts w:cs="Arial"/>
          <w:b/>
          <w:szCs w:val="22"/>
        </w:rPr>
        <w:lastRenderedPageBreak/>
        <w:t>Příloha č. 1</w:t>
      </w:r>
    </w:p>
    <w:p w:rsidR="003974D5" w:rsidRPr="003974D5" w:rsidRDefault="003974D5" w:rsidP="008B6090">
      <w:pPr>
        <w:spacing w:after="0"/>
        <w:rPr>
          <w:rFonts w:cs="Arial"/>
          <w:b/>
        </w:rPr>
      </w:pPr>
      <w:r w:rsidRPr="003974D5">
        <w:rPr>
          <w:rFonts w:cs="Arial"/>
          <w:b/>
        </w:rPr>
        <w:t xml:space="preserve">Seznam </w:t>
      </w:r>
      <w:r w:rsidR="00BB5A34">
        <w:rPr>
          <w:rFonts w:cs="Arial"/>
          <w:b/>
        </w:rPr>
        <w:t>u</w:t>
      </w:r>
      <w:r w:rsidRPr="003974D5">
        <w:rPr>
          <w:rFonts w:cs="Arial"/>
          <w:b/>
        </w:rPr>
        <w:t xml:space="preserve">snesení vlády a </w:t>
      </w:r>
      <w:r w:rsidR="00BB5A34">
        <w:rPr>
          <w:rFonts w:cs="Arial"/>
          <w:b/>
        </w:rPr>
        <w:t>s</w:t>
      </w:r>
      <w:r w:rsidRPr="003974D5">
        <w:rPr>
          <w:rFonts w:cs="Arial"/>
          <w:b/>
        </w:rPr>
        <w:t>trategick</w:t>
      </w:r>
      <w:r w:rsidR="00BB5A34">
        <w:rPr>
          <w:rFonts w:cs="Arial"/>
          <w:b/>
        </w:rPr>
        <w:t>ých</w:t>
      </w:r>
      <w:r w:rsidRPr="003974D5">
        <w:rPr>
          <w:rFonts w:cs="Arial"/>
          <w:b/>
        </w:rPr>
        <w:t xml:space="preserve"> materiál</w:t>
      </w:r>
      <w:r w:rsidR="00BB5A34">
        <w:rPr>
          <w:rFonts w:cs="Arial"/>
          <w:b/>
        </w:rPr>
        <w:t>ů tvořících rámec</w:t>
      </w:r>
      <w:r w:rsidRPr="003974D5">
        <w:rPr>
          <w:rFonts w:cs="Arial"/>
          <w:b/>
        </w:rPr>
        <w:t xml:space="preserve"> elektronizace zadávání veřejných zakázek</w:t>
      </w:r>
    </w:p>
    <w:p w:rsidR="003974D5" w:rsidRDefault="003974D5" w:rsidP="008B6090">
      <w:pPr>
        <w:spacing w:after="0"/>
        <w:rPr>
          <w:rFonts w:cs="Arial"/>
          <w:b/>
          <w:u w:val="single"/>
        </w:rPr>
      </w:pPr>
    </w:p>
    <w:p w:rsidR="003974D5" w:rsidRPr="008B6090" w:rsidRDefault="003974D5" w:rsidP="008B6090">
      <w:pPr>
        <w:pStyle w:val="Odstavecseseznamem"/>
        <w:numPr>
          <w:ilvl w:val="0"/>
          <w:numId w:val="30"/>
        </w:numPr>
        <w:ind w:left="227" w:hanging="227"/>
        <w:rPr>
          <w:rFonts w:cs="Arial"/>
          <w:b/>
        </w:rPr>
      </w:pPr>
      <w:r w:rsidRPr="008B6090">
        <w:rPr>
          <w:rFonts w:cs="Arial"/>
          <w:b/>
        </w:rPr>
        <w:t>Usnesení vlády</w:t>
      </w:r>
    </w:p>
    <w:p w:rsidR="003974D5" w:rsidRDefault="003974D5" w:rsidP="008B6090">
      <w:pPr>
        <w:spacing w:after="0"/>
        <w:rPr>
          <w:rFonts w:cs="Arial"/>
          <w:i/>
        </w:rPr>
      </w:pPr>
      <w:r w:rsidRPr="008B6090">
        <w:rPr>
          <w:rFonts w:cs="Arial"/>
          <w:b/>
        </w:rPr>
        <w:t>Usnesení vlády ze dne 26. 6. 2002 č. 683</w:t>
      </w:r>
      <w:r w:rsidR="00BB5A34">
        <w:rPr>
          <w:rFonts w:cs="Arial"/>
          <w:b/>
        </w:rPr>
        <w:t>,</w:t>
      </w:r>
      <w:r w:rsidRPr="003333DC">
        <w:rPr>
          <w:rFonts w:cs="Arial"/>
          <w:b/>
          <w:i/>
        </w:rPr>
        <w:t xml:space="preserve"> o opatřeních ke koordinovanému vynakládání finančních prostředků na informační a komunikační technologie</w:t>
      </w:r>
    </w:p>
    <w:p w:rsidR="003974D5" w:rsidRPr="003333DC" w:rsidRDefault="003974D5" w:rsidP="008B6090">
      <w:pPr>
        <w:pStyle w:val="Odstavecseseznamem"/>
        <w:numPr>
          <w:ilvl w:val="0"/>
          <w:numId w:val="27"/>
        </w:numPr>
        <w:spacing w:after="0"/>
        <w:jc w:val="left"/>
        <w:rPr>
          <w:rFonts w:cs="Arial"/>
          <w:b/>
          <w:u w:val="single"/>
        </w:rPr>
      </w:pPr>
      <w:r>
        <w:rPr>
          <w:rFonts w:cs="Arial"/>
        </w:rPr>
        <w:t>Z</w:t>
      </w:r>
      <w:r w:rsidRPr="003333DC">
        <w:rPr>
          <w:rFonts w:cs="Arial"/>
        </w:rPr>
        <w:t>aveden nákup informačních a komunikačních technologií přes elektronická tržiště</w:t>
      </w:r>
      <w:r>
        <w:rPr>
          <w:rFonts w:cs="Arial"/>
        </w:rPr>
        <w:t>.</w:t>
      </w:r>
    </w:p>
    <w:p w:rsidR="003974D5" w:rsidRPr="004231C1" w:rsidRDefault="003974D5" w:rsidP="008B6090">
      <w:pPr>
        <w:spacing w:after="0"/>
        <w:rPr>
          <w:rFonts w:cs="Arial"/>
          <w:b/>
          <w:u w:val="single"/>
        </w:rPr>
      </w:pPr>
    </w:p>
    <w:p w:rsidR="003974D5" w:rsidRPr="007048E8" w:rsidRDefault="003974D5" w:rsidP="008B6090">
      <w:pPr>
        <w:spacing w:after="0"/>
        <w:rPr>
          <w:rFonts w:cs="Arial"/>
          <w:lang w:eastAsia="cs-CZ"/>
        </w:rPr>
      </w:pPr>
      <w:r w:rsidRPr="008B6090">
        <w:rPr>
          <w:rFonts w:cs="Arial"/>
          <w:b/>
        </w:rPr>
        <w:t>Usnesení vlády ze dne 10. 5. 2010 č. 343</w:t>
      </w:r>
      <w:r w:rsidR="00BB5A34">
        <w:rPr>
          <w:rFonts w:cs="Arial"/>
          <w:b/>
        </w:rPr>
        <w:t>,</w:t>
      </w:r>
      <w:r w:rsidRPr="007048E8">
        <w:rPr>
          <w:rFonts w:cs="Arial"/>
          <w:b/>
          <w:i/>
        </w:rPr>
        <w:t xml:space="preserve"> k používání elektronických tržišť subjekty veřejné správy při vynakládání finančních prostředků</w:t>
      </w:r>
    </w:p>
    <w:p w:rsidR="003974D5" w:rsidRPr="007048E8" w:rsidRDefault="003974D5" w:rsidP="003974D5">
      <w:pPr>
        <w:pStyle w:val="Odstavecseseznamem"/>
        <w:numPr>
          <w:ilvl w:val="0"/>
          <w:numId w:val="26"/>
        </w:numPr>
        <w:rPr>
          <w:rFonts w:cs="Arial"/>
          <w:lang w:eastAsia="cs-CZ"/>
        </w:rPr>
      </w:pPr>
      <w:r>
        <w:rPr>
          <w:rFonts w:cs="Arial"/>
          <w:lang w:eastAsia="cs-CZ"/>
        </w:rPr>
        <w:t xml:space="preserve">Schválena </w:t>
      </w:r>
      <w:r w:rsidRPr="009A4585">
        <w:rPr>
          <w:rFonts w:cs="Arial"/>
          <w:i/>
          <w:lang w:eastAsia="cs-CZ"/>
        </w:rPr>
        <w:t>Pravidla systému používání elektronických tržišť subjekty veřejné správy při pořiz</w:t>
      </w:r>
      <w:r>
        <w:rPr>
          <w:rFonts w:cs="Arial"/>
          <w:i/>
          <w:lang w:eastAsia="cs-CZ"/>
        </w:rPr>
        <w:t>ování a obměně určených komodit</w:t>
      </w:r>
      <w:r>
        <w:rPr>
          <w:rFonts w:cs="Arial"/>
          <w:lang w:eastAsia="cs-CZ"/>
        </w:rPr>
        <w:t>.</w:t>
      </w:r>
    </w:p>
    <w:p w:rsidR="003974D5" w:rsidRPr="004B5E6F" w:rsidRDefault="003974D5" w:rsidP="003974D5">
      <w:pPr>
        <w:pStyle w:val="Odstavecseseznamem"/>
        <w:numPr>
          <w:ilvl w:val="0"/>
          <w:numId w:val="26"/>
        </w:numPr>
        <w:rPr>
          <w:rFonts w:cs="Arial"/>
          <w:lang w:eastAsia="cs-CZ"/>
        </w:rPr>
      </w:pPr>
      <w:r>
        <w:rPr>
          <w:rFonts w:cs="Arial"/>
        </w:rPr>
        <w:t>S</w:t>
      </w:r>
      <w:r w:rsidRPr="004B5E6F">
        <w:rPr>
          <w:rFonts w:cs="Arial"/>
        </w:rPr>
        <w:t xml:space="preserve">tanovilo </w:t>
      </w:r>
      <w:r w:rsidRPr="004B5E6F">
        <w:rPr>
          <w:rFonts w:cs="Arial"/>
          <w:lang w:eastAsia="cs-CZ"/>
        </w:rPr>
        <w:t>ústředním orgánům státní správy</w:t>
      </w:r>
      <w:r>
        <w:rPr>
          <w:rFonts w:cs="Arial"/>
          <w:lang w:eastAsia="cs-CZ"/>
        </w:rPr>
        <w:t xml:space="preserve"> </w:t>
      </w:r>
      <w:r w:rsidRPr="004B5E6F">
        <w:rPr>
          <w:rFonts w:cs="Arial"/>
          <w:lang w:eastAsia="cs-CZ"/>
        </w:rPr>
        <w:t xml:space="preserve">a jim podřízeným orgánům a organizacím povinnost používat </w:t>
      </w:r>
      <w:r>
        <w:rPr>
          <w:rFonts w:cs="Arial"/>
          <w:lang w:eastAsia="cs-CZ"/>
        </w:rPr>
        <w:t>od 1. 7. 2011</w:t>
      </w:r>
      <w:r w:rsidRPr="004B5E6F">
        <w:rPr>
          <w:rFonts w:cs="Arial"/>
          <w:lang w:eastAsia="cs-CZ"/>
        </w:rPr>
        <w:t xml:space="preserve"> </w:t>
      </w:r>
      <w:r>
        <w:rPr>
          <w:rFonts w:cs="Arial"/>
          <w:lang w:eastAsia="cs-CZ"/>
        </w:rPr>
        <w:t>nový systém e-</w:t>
      </w:r>
      <w:r w:rsidRPr="004B5E6F">
        <w:rPr>
          <w:rFonts w:cs="Arial"/>
          <w:lang w:eastAsia="cs-CZ"/>
        </w:rPr>
        <w:t xml:space="preserve">tržišť </w:t>
      </w:r>
      <w:r>
        <w:rPr>
          <w:rFonts w:cs="Arial"/>
          <w:lang w:eastAsia="cs-CZ"/>
        </w:rPr>
        <w:t>pro zadávání VZ</w:t>
      </w:r>
      <w:r w:rsidRPr="004B5E6F">
        <w:rPr>
          <w:rFonts w:cs="Arial"/>
          <w:lang w:eastAsia="cs-CZ"/>
        </w:rPr>
        <w:t xml:space="preserve"> m</w:t>
      </w:r>
      <w:r>
        <w:rPr>
          <w:rFonts w:cs="Arial"/>
          <w:lang w:eastAsia="cs-CZ"/>
        </w:rPr>
        <w:t>alého rozsahu, VZ</w:t>
      </w:r>
      <w:r w:rsidRPr="004B5E6F">
        <w:rPr>
          <w:rFonts w:cs="Arial"/>
          <w:lang w:eastAsia="cs-CZ"/>
        </w:rPr>
        <w:t xml:space="preserve"> zadávaných ve zjednodušeném podlim</w:t>
      </w:r>
      <w:r>
        <w:rPr>
          <w:rFonts w:cs="Arial"/>
          <w:lang w:eastAsia="cs-CZ"/>
        </w:rPr>
        <w:t>itním řízení a VZ</w:t>
      </w:r>
      <w:r w:rsidRPr="004B5E6F">
        <w:rPr>
          <w:rFonts w:cs="Arial"/>
          <w:lang w:eastAsia="cs-CZ"/>
        </w:rPr>
        <w:t xml:space="preserve"> zadávaných na základě rámcové smlouvy postupem podle § 92 odst. 3 zákona č. 137/2006 Sb., o</w:t>
      </w:r>
      <w:r w:rsidR="00F8119D">
        <w:rPr>
          <w:rFonts w:cs="Arial"/>
          <w:lang w:eastAsia="cs-CZ"/>
        </w:rPr>
        <w:t> </w:t>
      </w:r>
      <w:r w:rsidRPr="004B5E6F">
        <w:rPr>
          <w:rFonts w:cs="Arial"/>
          <w:lang w:eastAsia="cs-CZ"/>
        </w:rPr>
        <w:t>veřejných zakázkách</w:t>
      </w:r>
      <w:r>
        <w:rPr>
          <w:rFonts w:cs="Arial"/>
          <w:lang w:eastAsia="cs-CZ"/>
        </w:rPr>
        <w:t xml:space="preserve">, </w:t>
      </w:r>
      <w:r w:rsidRPr="004B5E6F">
        <w:rPr>
          <w:rFonts w:cs="Arial"/>
          <w:lang w:eastAsia="cs-CZ"/>
        </w:rPr>
        <w:t xml:space="preserve">jejichž předmětem jsou vybrané komodity dle </w:t>
      </w:r>
      <w:r w:rsidRPr="004B5E6F">
        <w:rPr>
          <w:rFonts w:cs="Arial"/>
          <w:i/>
          <w:lang w:eastAsia="cs-CZ"/>
        </w:rPr>
        <w:t xml:space="preserve">Seznamu </w:t>
      </w:r>
      <w:r w:rsidRPr="004B5E6F">
        <w:rPr>
          <w:rFonts w:cs="Arial"/>
          <w:i/>
        </w:rPr>
        <w:t>komodit, které budou pořizovány a obměňovány prostřednictvím elektronického tržiště</w:t>
      </w:r>
      <w:r w:rsidR="00F8119D">
        <w:rPr>
          <w:rFonts w:cs="Arial"/>
        </w:rPr>
        <w:t>,</w:t>
      </w:r>
      <w:r>
        <w:rPr>
          <w:rFonts w:cs="Arial"/>
        </w:rPr>
        <w:t xml:space="preserve"> </w:t>
      </w:r>
      <w:r>
        <w:rPr>
          <w:rFonts w:cs="Arial"/>
          <w:lang w:eastAsia="cs-CZ"/>
        </w:rPr>
        <w:t>v souladu s Pravidly.</w:t>
      </w:r>
      <w:r w:rsidRPr="004B5E6F">
        <w:rPr>
          <w:rFonts w:cs="Arial"/>
          <w:lang w:eastAsia="cs-CZ"/>
        </w:rPr>
        <w:t xml:space="preserve"> </w:t>
      </w:r>
    </w:p>
    <w:p w:rsidR="003974D5" w:rsidRDefault="003974D5" w:rsidP="003974D5">
      <w:pPr>
        <w:pStyle w:val="Odstavecseseznamem"/>
        <w:numPr>
          <w:ilvl w:val="0"/>
          <w:numId w:val="26"/>
        </w:numPr>
        <w:rPr>
          <w:rFonts w:cs="Arial"/>
          <w:lang w:eastAsia="cs-CZ"/>
        </w:rPr>
      </w:pPr>
      <w:r>
        <w:rPr>
          <w:rFonts w:cs="Arial"/>
          <w:lang w:eastAsia="cs-CZ"/>
        </w:rPr>
        <w:t xml:space="preserve">Stanovilo </w:t>
      </w:r>
      <w:r w:rsidR="00F8119D">
        <w:rPr>
          <w:rFonts w:cs="Arial"/>
          <w:lang w:eastAsia="cs-CZ"/>
        </w:rPr>
        <w:t xml:space="preserve">pro </w:t>
      </w:r>
      <w:r>
        <w:rPr>
          <w:rFonts w:cs="Arial"/>
          <w:lang w:eastAsia="cs-CZ"/>
        </w:rPr>
        <w:t xml:space="preserve">ÚOSS </w:t>
      </w:r>
      <w:r w:rsidR="00F8119D">
        <w:rPr>
          <w:rFonts w:cs="Arial"/>
          <w:lang w:eastAsia="cs-CZ"/>
        </w:rPr>
        <w:t xml:space="preserve">povinnost </w:t>
      </w:r>
      <w:r>
        <w:rPr>
          <w:rFonts w:cs="Arial"/>
          <w:lang w:eastAsia="cs-CZ"/>
        </w:rPr>
        <w:t>zajistit u podřízených organizací zadávání výše zmíněných VZ v souladu s</w:t>
      </w:r>
      <w:r w:rsidR="00F8119D">
        <w:rPr>
          <w:rFonts w:cs="Arial"/>
          <w:lang w:eastAsia="cs-CZ"/>
        </w:rPr>
        <w:t> </w:t>
      </w:r>
      <w:r>
        <w:rPr>
          <w:rFonts w:cs="Arial"/>
          <w:lang w:eastAsia="cs-CZ"/>
        </w:rPr>
        <w:t>Pravidly</w:t>
      </w:r>
      <w:r w:rsidR="00F8119D">
        <w:rPr>
          <w:rFonts w:cs="Arial"/>
          <w:lang w:eastAsia="cs-CZ"/>
        </w:rPr>
        <w:t>, a to</w:t>
      </w:r>
      <w:r>
        <w:rPr>
          <w:rFonts w:cs="Arial"/>
          <w:lang w:eastAsia="cs-CZ"/>
        </w:rPr>
        <w:t xml:space="preserve"> nejméně v rozsahu 50 % předpokládaných finančních prostředků vynakládaných na vymezené komodity. </w:t>
      </w:r>
    </w:p>
    <w:p w:rsidR="003974D5" w:rsidRDefault="003974D5" w:rsidP="008B6090">
      <w:pPr>
        <w:pStyle w:val="Odstavecseseznamem"/>
        <w:spacing w:after="0"/>
        <w:rPr>
          <w:rFonts w:cs="Arial"/>
          <w:lang w:eastAsia="cs-CZ"/>
        </w:rPr>
      </w:pPr>
    </w:p>
    <w:p w:rsidR="003974D5" w:rsidRDefault="003974D5" w:rsidP="008B6090">
      <w:pPr>
        <w:autoSpaceDE w:val="0"/>
        <w:autoSpaceDN w:val="0"/>
        <w:adjustRightInd w:val="0"/>
        <w:spacing w:after="0"/>
        <w:rPr>
          <w:rFonts w:cs="Arial"/>
        </w:rPr>
      </w:pPr>
      <w:r w:rsidRPr="008B6090">
        <w:rPr>
          <w:rFonts w:cs="Arial"/>
          <w:b/>
        </w:rPr>
        <w:t>Usnesení vlády ze dne 15. 6. 2011 č. 451</w:t>
      </w:r>
      <w:r w:rsidR="00F8119D" w:rsidRPr="008B6090">
        <w:rPr>
          <w:rFonts w:cs="Arial"/>
          <w:b/>
        </w:rPr>
        <w:t>,</w:t>
      </w:r>
      <w:r w:rsidRPr="00F500F2">
        <w:rPr>
          <w:rFonts w:cs="Arial"/>
          <w:b/>
          <w:i/>
        </w:rPr>
        <w:t xml:space="preserve"> o Seznamu komodit, které budou pořizovány a</w:t>
      </w:r>
      <w:r w:rsidR="00F8119D">
        <w:rPr>
          <w:rFonts w:cs="Arial"/>
          <w:b/>
          <w:i/>
        </w:rPr>
        <w:t> </w:t>
      </w:r>
      <w:r w:rsidRPr="00F500F2">
        <w:rPr>
          <w:rFonts w:cs="Arial"/>
          <w:b/>
          <w:i/>
        </w:rPr>
        <w:t xml:space="preserve">obměňovány prostřednictvím elektronického tržiště, o Vzorovém provozním řádu elektronických tržišť, o Metodickém pokynu </w:t>
      </w:r>
      <w:r w:rsidR="002C671F">
        <w:rPr>
          <w:rFonts w:cs="Arial"/>
          <w:b/>
          <w:i/>
        </w:rPr>
        <w:t>k </w:t>
      </w:r>
      <w:r w:rsidRPr="00F500F2">
        <w:rPr>
          <w:rFonts w:cs="Arial"/>
          <w:b/>
          <w:i/>
        </w:rPr>
        <w:t xml:space="preserve">vybraným chybám </w:t>
      </w:r>
      <w:r w:rsidR="002C671F">
        <w:rPr>
          <w:rFonts w:cs="Arial"/>
          <w:b/>
          <w:i/>
        </w:rPr>
        <w:t>v </w:t>
      </w:r>
      <w:r w:rsidRPr="00F500F2">
        <w:rPr>
          <w:rFonts w:cs="Arial"/>
          <w:b/>
          <w:i/>
        </w:rPr>
        <w:t>klasifikaci CPV a</w:t>
      </w:r>
      <w:r w:rsidR="00CF51AB">
        <w:rPr>
          <w:rFonts w:cs="Arial"/>
          <w:b/>
          <w:i/>
        </w:rPr>
        <w:t> </w:t>
      </w:r>
      <w:r w:rsidRPr="00F500F2">
        <w:rPr>
          <w:rFonts w:cs="Arial"/>
          <w:b/>
          <w:i/>
        </w:rPr>
        <w:t>o</w:t>
      </w:r>
      <w:r w:rsidR="00CF51AB">
        <w:rPr>
          <w:rFonts w:cs="Arial"/>
          <w:b/>
          <w:i/>
        </w:rPr>
        <w:t> </w:t>
      </w:r>
      <w:r w:rsidRPr="00F500F2">
        <w:rPr>
          <w:rFonts w:cs="Arial"/>
          <w:b/>
          <w:i/>
        </w:rPr>
        <w:t xml:space="preserve">změně usnesení vlády ze dne 10. května 2010 č. 343, </w:t>
      </w:r>
      <w:r w:rsidR="002C671F">
        <w:rPr>
          <w:rFonts w:cs="Arial"/>
          <w:b/>
          <w:i/>
        </w:rPr>
        <w:t>k </w:t>
      </w:r>
      <w:r w:rsidRPr="00F500F2">
        <w:rPr>
          <w:rFonts w:cs="Arial"/>
          <w:b/>
          <w:i/>
        </w:rPr>
        <w:t>používání elektronických tržišť subjekty veřejné správy při vynakládání finančních prostředků</w:t>
      </w:r>
    </w:p>
    <w:p w:rsidR="003974D5" w:rsidRPr="00B02416" w:rsidRDefault="003974D5" w:rsidP="003974D5">
      <w:pPr>
        <w:pStyle w:val="Odstavecseseznamem"/>
        <w:numPr>
          <w:ilvl w:val="0"/>
          <w:numId w:val="26"/>
        </w:numPr>
        <w:autoSpaceDE w:val="0"/>
        <w:autoSpaceDN w:val="0"/>
        <w:adjustRightInd w:val="0"/>
        <w:rPr>
          <w:rFonts w:cs="Arial"/>
          <w:b/>
        </w:rPr>
      </w:pPr>
      <w:r w:rsidRPr="006375F4">
        <w:rPr>
          <w:rFonts w:cs="Arial"/>
        </w:rPr>
        <w:t xml:space="preserve">Schválen </w:t>
      </w:r>
      <w:r w:rsidR="008B6090">
        <w:rPr>
          <w:rFonts w:cs="Arial"/>
          <w:i/>
        </w:rPr>
        <w:t>Seznam</w:t>
      </w:r>
      <w:r w:rsidRPr="006375F4">
        <w:rPr>
          <w:rFonts w:cs="Arial"/>
          <w:i/>
        </w:rPr>
        <w:t xml:space="preserve"> komodit, které budou pořizovány </w:t>
      </w:r>
      <w:r w:rsidR="00F8119D">
        <w:rPr>
          <w:rFonts w:cs="Arial"/>
          <w:i/>
        </w:rPr>
        <w:t xml:space="preserve">a obměňovány </w:t>
      </w:r>
      <w:r w:rsidRPr="006375F4">
        <w:rPr>
          <w:rFonts w:cs="Arial"/>
          <w:i/>
        </w:rPr>
        <w:t>prostřednictvím elektronického tržiště</w:t>
      </w:r>
      <w:r w:rsidRPr="006375F4">
        <w:rPr>
          <w:rFonts w:cs="Arial"/>
        </w:rPr>
        <w:t xml:space="preserve">, </w:t>
      </w:r>
      <w:r w:rsidRPr="006375F4">
        <w:rPr>
          <w:rFonts w:cs="Arial"/>
          <w:i/>
        </w:rPr>
        <w:t>Vzorový provozní řád elektronických tržišť</w:t>
      </w:r>
      <w:r w:rsidRPr="006375F4">
        <w:rPr>
          <w:rFonts w:cs="Arial"/>
        </w:rPr>
        <w:t xml:space="preserve"> a</w:t>
      </w:r>
      <w:r w:rsidRPr="006375F4">
        <w:rPr>
          <w:rFonts w:cs="Arial"/>
          <w:i/>
        </w:rPr>
        <w:t xml:space="preserve"> Metodický pokyn k vybraným chybám v klasifikaci CPV</w:t>
      </w:r>
      <w:r w:rsidRPr="006375F4">
        <w:rPr>
          <w:rFonts w:cs="Arial"/>
        </w:rPr>
        <w:t>.</w:t>
      </w:r>
    </w:p>
    <w:p w:rsidR="003974D5" w:rsidRPr="006375F4" w:rsidRDefault="003974D5" w:rsidP="008B6090">
      <w:pPr>
        <w:pStyle w:val="Odstavecseseznamem"/>
        <w:autoSpaceDE w:val="0"/>
        <w:autoSpaceDN w:val="0"/>
        <w:adjustRightInd w:val="0"/>
        <w:spacing w:after="0"/>
        <w:rPr>
          <w:rFonts w:cs="Arial"/>
          <w:b/>
        </w:rPr>
      </w:pPr>
    </w:p>
    <w:p w:rsidR="003974D5" w:rsidRDefault="003974D5" w:rsidP="008B6090">
      <w:pPr>
        <w:autoSpaceDE w:val="0"/>
        <w:autoSpaceDN w:val="0"/>
        <w:adjustRightInd w:val="0"/>
        <w:spacing w:after="0"/>
        <w:rPr>
          <w:rFonts w:cs="Arial"/>
        </w:rPr>
      </w:pPr>
      <w:r w:rsidRPr="008B6090">
        <w:rPr>
          <w:rFonts w:cs="Arial"/>
          <w:b/>
        </w:rPr>
        <w:t>Usnesení vlády ze dne 14. 12. 2011 č. 933</w:t>
      </w:r>
      <w:r w:rsidR="00F8119D" w:rsidRPr="008B6090">
        <w:rPr>
          <w:rFonts w:cs="Arial"/>
          <w:b/>
        </w:rPr>
        <w:t>,</w:t>
      </w:r>
      <w:r w:rsidRPr="00F500F2">
        <w:rPr>
          <w:rFonts w:cs="Arial"/>
          <w:b/>
          <w:i/>
        </w:rPr>
        <w:t xml:space="preserve"> o změně usnesení vlády ze dne 10. května 2010 č. 343, </w:t>
      </w:r>
      <w:r w:rsidR="002C671F">
        <w:rPr>
          <w:rFonts w:cs="Arial"/>
          <w:b/>
          <w:i/>
        </w:rPr>
        <w:t>k </w:t>
      </w:r>
      <w:r w:rsidRPr="00F500F2">
        <w:rPr>
          <w:rFonts w:cs="Arial"/>
          <w:b/>
          <w:i/>
        </w:rPr>
        <w:t>používání elektronických tržišť subjekty veřejné správy při vynakládání finančních prostředků</w:t>
      </w:r>
    </w:p>
    <w:p w:rsidR="003974D5" w:rsidRPr="003C1832" w:rsidRDefault="003974D5" w:rsidP="003974D5">
      <w:pPr>
        <w:pStyle w:val="Odstavecseseznamem"/>
        <w:numPr>
          <w:ilvl w:val="0"/>
          <w:numId w:val="26"/>
        </w:numPr>
        <w:rPr>
          <w:rFonts w:cs="Arial"/>
          <w:lang w:eastAsia="cs-CZ"/>
        </w:rPr>
      </w:pPr>
      <w:r w:rsidRPr="003C1832">
        <w:rPr>
          <w:rFonts w:cs="Arial"/>
        </w:rPr>
        <w:t>Zahájení provoz</w:t>
      </w:r>
      <w:r>
        <w:rPr>
          <w:rFonts w:cs="Arial"/>
        </w:rPr>
        <w:t>u</w:t>
      </w:r>
      <w:r w:rsidRPr="003C1832">
        <w:rPr>
          <w:rFonts w:cs="Arial"/>
        </w:rPr>
        <w:t xml:space="preserve"> e-tržišť ke dni 1. 4. 2012</w:t>
      </w:r>
      <w:r w:rsidR="00F8119D">
        <w:rPr>
          <w:rFonts w:cs="Arial"/>
        </w:rPr>
        <w:t>.</w:t>
      </w:r>
    </w:p>
    <w:p w:rsidR="003974D5" w:rsidRDefault="003974D5" w:rsidP="008B6090">
      <w:pPr>
        <w:pStyle w:val="Odstavecseseznamem"/>
        <w:numPr>
          <w:ilvl w:val="0"/>
          <w:numId w:val="26"/>
        </w:numPr>
        <w:spacing w:after="0"/>
        <w:rPr>
          <w:rFonts w:cs="Arial"/>
          <w:lang w:eastAsia="cs-CZ"/>
        </w:rPr>
      </w:pPr>
      <w:r w:rsidRPr="003C1832">
        <w:rPr>
          <w:rFonts w:cs="Arial"/>
        </w:rPr>
        <w:t>Zah</w:t>
      </w:r>
      <w:r>
        <w:rPr>
          <w:rFonts w:cs="Arial"/>
        </w:rPr>
        <w:t>ájení zadávání VZ</w:t>
      </w:r>
      <w:r w:rsidRPr="003C1832">
        <w:rPr>
          <w:rFonts w:cs="Arial"/>
        </w:rPr>
        <w:t xml:space="preserve"> uvede</w:t>
      </w:r>
      <w:r>
        <w:rPr>
          <w:rFonts w:cs="Arial"/>
        </w:rPr>
        <w:t>ných v</w:t>
      </w:r>
      <w:r w:rsidR="00603A0B">
        <w:rPr>
          <w:rFonts w:cs="Arial"/>
        </w:rPr>
        <w:t> usnesení vlády</w:t>
      </w:r>
      <w:r>
        <w:rPr>
          <w:rFonts w:cs="Arial"/>
        </w:rPr>
        <w:t xml:space="preserve"> </w:t>
      </w:r>
      <w:r w:rsidR="00F8119D">
        <w:rPr>
          <w:rFonts w:cs="Arial"/>
        </w:rPr>
        <w:t xml:space="preserve">ze dne </w:t>
      </w:r>
      <w:r w:rsidR="00603A0B">
        <w:rPr>
          <w:rFonts w:cs="Arial"/>
        </w:rPr>
        <w:t xml:space="preserve">10. 5. 2010 </w:t>
      </w:r>
      <w:r>
        <w:rPr>
          <w:rFonts w:cs="Arial"/>
        </w:rPr>
        <w:t>č. 343</w:t>
      </w:r>
      <w:r w:rsidRPr="003C1832">
        <w:rPr>
          <w:rFonts w:cs="Arial"/>
        </w:rPr>
        <w:t xml:space="preserve"> prostřednictvím e-tržišť od 1. 4. 2012.</w:t>
      </w:r>
    </w:p>
    <w:p w:rsidR="003974D5" w:rsidRPr="00F500F2" w:rsidRDefault="003974D5" w:rsidP="008B6090">
      <w:pPr>
        <w:autoSpaceDE w:val="0"/>
        <w:autoSpaceDN w:val="0"/>
        <w:adjustRightInd w:val="0"/>
        <w:spacing w:after="0"/>
        <w:rPr>
          <w:rFonts w:cs="Arial"/>
          <w:b/>
          <w:i/>
        </w:rPr>
      </w:pPr>
    </w:p>
    <w:p w:rsidR="003974D5" w:rsidRDefault="003974D5" w:rsidP="008B6090">
      <w:pPr>
        <w:autoSpaceDE w:val="0"/>
        <w:autoSpaceDN w:val="0"/>
        <w:adjustRightInd w:val="0"/>
        <w:spacing w:after="0"/>
        <w:rPr>
          <w:rFonts w:cs="Arial"/>
        </w:rPr>
      </w:pPr>
      <w:r w:rsidRPr="008B6090">
        <w:rPr>
          <w:rFonts w:cs="Arial"/>
          <w:b/>
        </w:rPr>
        <w:t>Usnesení vlády ze dne 28. 3. 2012 č. 222</w:t>
      </w:r>
      <w:r w:rsidR="00603A0B">
        <w:rPr>
          <w:rFonts w:cs="Arial"/>
          <w:b/>
        </w:rPr>
        <w:t>,</w:t>
      </w:r>
      <w:r w:rsidRPr="00F500F2">
        <w:rPr>
          <w:rFonts w:cs="Arial"/>
          <w:b/>
          <w:i/>
        </w:rPr>
        <w:t xml:space="preserve"> o změně usnesení vlády ze dne 10. května 2010 č. 343, </w:t>
      </w:r>
      <w:r w:rsidR="002C671F">
        <w:rPr>
          <w:rFonts w:cs="Arial"/>
          <w:b/>
          <w:i/>
        </w:rPr>
        <w:t>k </w:t>
      </w:r>
      <w:r w:rsidRPr="00F500F2">
        <w:rPr>
          <w:rFonts w:cs="Arial"/>
          <w:b/>
          <w:i/>
        </w:rPr>
        <w:t>používání elektronických tržišť subjekty veřejné správy při vynakládání finančních prostředků</w:t>
      </w:r>
    </w:p>
    <w:p w:rsidR="003974D5" w:rsidRPr="007D7692" w:rsidRDefault="003974D5" w:rsidP="003974D5">
      <w:pPr>
        <w:pStyle w:val="Odstavecseseznamem"/>
        <w:numPr>
          <w:ilvl w:val="0"/>
          <w:numId w:val="26"/>
        </w:numPr>
        <w:rPr>
          <w:rFonts w:cs="Arial"/>
          <w:lang w:eastAsia="cs-CZ"/>
        </w:rPr>
      </w:pPr>
      <w:r w:rsidRPr="007D7692">
        <w:rPr>
          <w:rFonts w:cs="Arial"/>
        </w:rPr>
        <w:t>Zahájení provoz</w:t>
      </w:r>
      <w:r>
        <w:rPr>
          <w:rFonts w:cs="Arial"/>
        </w:rPr>
        <w:t>u</w:t>
      </w:r>
      <w:r w:rsidRPr="007D7692">
        <w:rPr>
          <w:rFonts w:cs="Arial"/>
        </w:rPr>
        <w:t xml:space="preserve"> e-tržišť ke dni 1. 5. 2012</w:t>
      </w:r>
      <w:r w:rsidR="00603A0B">
        <w:rPr>
          <w:rFonts w:cs="Arial"/>
        </w:rPr>
        <w:t>.</w:t>
      </w:r>
    </w:p>
    <w:p w:rsidR="003974D5" w:rsidRDefault="003974D5" w:rsidP="003974D5">
      <w:pPr>
        <w:pStyle w:val="Odstavecseseznamem"/>
        <w:numPr>
          <w:ilvl w:val="0"/>
          <w:numId w:val="26"/>
        </w:numPr>
        <w:autoSpaceDE w:val="0"/>
        <w:autoSpaceDN w:val="0"/>
        <w:adjustRightInd w:val="0"/>
        <w:rPr>
          <w:rFonts w:cs="Arial"/>
        </w:rPr>
      </w:pPr>
      <w:r w:rsidRPr="00D501EC">
        <w:rPr>
          <w:rFonts w:cs="Arial"/>
        </w:rPr>
        <w:t>Zahájení zadávání VZ uvedených v</w:t>
      </w:r>
      <w:r w:rsidR="00603A0B">
        <w:rPr>
          <w:rFonts w:cs="Arial"/>
        </w:rPr>
        <w:t xml:space="preserve"> usnesení vlády ze dne 10. 5. 2010 </w:t>
      </w:r>
      <w:r w:rsidRPr="00D501EC">
        <w:rPr>
          <w:rFonts w:cs="Arial"/>
        </w:rPr>
        <w:t>č. 343 prostřednictvím e-tržišť od 1.</w:t>
      </w:r>
      <w:r w:rsidR="00CF51AB">
        <w:rPr>
          <w:rFonts w:cs="Arial"/>
        </w:rPr>
        <w:t> </w:t>
      </w:r>
      <w:r w:rsidRPr="00D501EC">
        <w:rPr>
          <w:rFonts w:cs="Arial"/>
        </w:rPr>
        <w:t>7.</w:t>
      </w:r>
      <w:r w:rsidR="00CF51AB">
        <w:rPr>
          <w:rFonts w:cs="Arial"/>
        </w:rPr>
        <w:t> </w:t>
      </w:r>
      <w:r w:rsidRPr="00D501EC">
        <w:rPr>
          <w:rFonts w:cs="Arial"/>
        </w:rPr>
        <w:t>2012.</w:t>
      </w:r>
    </w:p>
    <w:p w:rsidR="003974D5" w:rsidRDefault="003974D5" w:rsidP="008B6090">
      <w:pPr>
        <w:pStyle w:val="Odstavecseseznamem"/>
        <w:autoSpaceDE w:val="0"/>
        <w:autoSpaceDN w:val="0"/>
        <w:adjustRightInd w:val="0"/>
        <w:spacing w:after="0"/>
        <w:rPr>
          <w:rFonts w:cs="Arial"/>
        </w:rPr>
      </w:pPr>
    </w:p>
    <w:p w:rsidR="00CE5CEF" w:rsidRDefault="00CE5CEF" w:rsidP="008B6090">
      <w:pPr>
        <w:pStyle w:val="Odstavecseseznamem"/>
        <w:autoSpaceDE w:val="0"/>
        <w:autoSpaceDN w:val="0"/>
        <w:adjustRightInd w:val="0"/>
        <w:spacing w:after="0"/>
        <w:rPr>
          <w:rFonts w:cs="Arial"/>
        </w:rPr>
      </w:pPr>
    </w:p>
    <w:p w:rsidR="00CE5CEF" w:rsidRPr="00D501EC" w:rsidRDefault="00CE5CEF" w:rsidP="008B6090">
      <w:pPr>
        <w:pStyle w:val="Odstavecseseznamem"/>
        <w:autoSpaceDE w:val="0"/>
        <w:autoSpaceDN w:val="0"/>
        <w:adjustRightInd w:val="0"/>
        <w:spacing w:after="0"/>
        <w:rPr>
          <w:rFonts w:cs="Arial"/>
        </w:rPr>
      </w:pPr>
    </w:p>
    <w:p w:rsidR="003974D5" w:rsidRDefault="003974D5" w:rsidP="008B6090">
      <w:pPr>
        <w:autoSpaceDE w:val="0"/>
        <w:autoSpaceDN w:val="0"/>
        <w:adjustRightInd w:val="0"/>
        <w:spacing w:after="0"/>
        <w:rPr>
          <w:rFonts w:cs="Arial"/>
          <w:i/>
        </w:rPr>
      </w:pPr>
      <w:r w:rsidRPr="008B6090">
        <w:rPr>
          <w:rFonts w:cs="Arial"/>
          <w:b/>
        </w:rPr>
        <w:lastRenderedPageBreak/>
        <w:t>Usnesení vlády ze dne 18. 12. 2013 č. 981</w:t>
      </w:r>
      <w:r w:rsidR="00603A0B">
        <w:rPr>
          <w:rFonts w:cs="Arial"/>
          <w:b/>
        </w:rPr>
        <w:t>,</w:t>
      </w:r>
      <w:r w:rsidRPr="00D63056">
        <w:rPr>
          <w:rFonts w:cs="Arial"/>
          <w:b/>
          <w:i/>
        </w:rPr>
        <w:t xml:space="preserve"> o změně usnesení vlády ze dne 10. </w:t>
      </w:r>
      <w:r>
        <w:rPr>
          <w:rFonts w:cs="Arial"/>
          <w:b/>
          <w:i/>
        </w:rPr>
        <w:t>května</w:t>
      </w:r>
      <w:r w:rsidRPr="00D63056">
        <w:rPr>
          <w:rFonts w:cs="Arial"/>
          <w:b/>
          <w:i/>
        </w:rPr>
        <w:t xml:space="preserve"> 2010 č. 343, k používání elektronických tržišť subjekty veře</w:t>
      </w:r>
      <w:r>
        <w:rPr>
          <w:rFonts w:cs="Arial"/>
          <w:b/>
          <w:i/>
        </w:rPr>
        <w:t>jné správy při vynakládání fina</w:t>
      </w:r>
      <w:r w:rsidRPr="00D63056">
        <w:rPr>
          <w:rFonts w:cs="Arial"/>
          <w:b/>
          <w:i/>
        </w:rPr>
        <w:t>nč</w:t>
      </w:r>
      <w:r>
        <w:rPr>
          <w:rFonts w:cs="Arial"/>
          <w:b/>
          <w:i/>
        </w:rPr>
        <w:t>n</w:t>
      </w:r>
      <w:r w:rsidRPr="00D63056">
        <w:rPr>
          <w:rFonts w:cs="Arial"/>
          <w:b/>
          <w:i/>
        </w:rPr>
        <w:t>ích prostředků</w:t>
      </w:r>
    </w:p>
    <w:p w:rsidR="003974D5" w:rsidRPr="003974D5" w:rsidRDefault="003974D5" w:rsidP="008B6090">
      <w:pPr>
        <w:pStyle w:val="Odstavecseseznamem"/>
        <w:numPr>
          <w:ilvl w:val="0"/>
          <w:numId w:val="26"/>
        </w:numPr>
        <w:autoSpaceDE w:val="0"/>
        <w:autoSpaceDN w:val="0"/>
        <w:adjustRightInd w:val="0"/>
        <w:spacing w:after="0"/>
        <w:rPr>
          <w:rFonts w:cs="Arial"/>
        </w:rPr>
      </w:pPr>
      <w:r w:rsidRPr="00D63056">
        <w:rPr>
          <w:rFonts w:cs="Arial"/>
        </w:rPr>
        <w:t>Stanovilo povinnost pro podřízené orgány a organizace zadávat VZ v souladu s</w:t>
      </w:r>
      <w:r>
        <w:rPr>
          <w:rFonts w:cs="Arial"/>
        </w:rPr>
        <w:t> </w:t>
      </w:r>
      <w:r w:rsidRPr="00D63056">
        <w:rPr>
          <w:rFonts w:cs="Arial"/>
        </w:rPr>
        <w:t>Pra</w:t>
      </w:r>
      <w:r>
        <w:rPr>
          <w:rFonts w:cs="Arial"/>
        </w:rPr>
        <w:t xml:space="preserve">vidly </w:t>
      </w:r>
      <w:r w:rsidRPr="00D63056">
        <w:rPr>
          <w:rFonts w:cs="Arial"/>
        </w:rPr>
        <w:t xml:space="preserve">v rozsahu </w:t>
      </w:r>
      <w:r>
        <w:rPr>
          <w:rFonts w:cs="Arial"/>
        </w:rPr>
        <w:t>100 % předpokládaných fina</w:t>
      </w:r>
      <w:r w:rsidRPr="00D63056">
        <w:rPr>
          <w:rFonts w:cs="Arial"/>
        </w:rPr>
        <w:t>nč</w:t>
      </w:r>
      <w:r>
        <w:rPr>
          <w:rFonts w:cs="Arial"/>
        </w:rPr>
        <w:t>n</w:t>
      </w:r>
      <w:r w:rsidRPr="00D63056">
        <w:rPr>
          <w:rFonts w:cs="Arial"/>
        </w:rPr>
        <w:t xml:space="preserve">ích prostředků vynakládaných na vymezené komodity. </w:t>
      </w:r>
    </w:p>
    <w:p w:rsidR="003974D5" w:rsidRPr="00B02416" w:rsidRDefault="003974D5" w:rsidP="008B6090">
      <w:pPr>
        <w:autoSpaceDE w:val="0"/>
        <w:autoSpaceDN w:val="0"/>
        <w:adjustRightInd w:val="0"/>
        <w:spacing w:after="0"/>
      </w:pPr>
    </w:p>
    <w:p w:rsidR="003974D5" w:rsidRPr="005E248C" w:rsidRDefault="003974D5" w:rsidP="008B6090">
      <w:pPr>
        <w:autoSpaceDE w:val="0"/>
        <w:autoSpaceDN w:val="0"/>
        <w:adjustRightInd w:val="0"/>
        <w:spacing w:after="0"/>
        <w:rPr>
          <w:rFonts w:cs="Arial"/>
          <w:b/>
        </w:rPr>
      </w:pPr>
      <w:r w:rsidRPr="008B6090">
        <w:rPr>
          <w:rFonts w:cs="Arial"/>
          <w:b/>
        </w:rPr>
        <w:t>2. Strategické materiály</w:t>
      </w:r>
    </w:p>
    <w:p w:rsidR="00CF51AB" w:rsidRDefault="00CF51AB" w:rsidP="008B6090">
      <w:pPr>
        <w:spacing w:after="0"/>
        <w:rPr>
          <w:rFonts w:cs="Arial"/>
          <w:b/>
          <w:i/>
        </w:rPr>
      </w:pPr>
    </w:p>
    <w:p w:rsidR="003974D5" w:rsidRPr="008B6090" w:rsidRDefault="00DF700B" w:rsidP="008B6090">
      <w:pPr>
        <w:spacing w:after="0"/>
        <w:jc w:val="left"/>
        <w:rPr>
          <w:rFonts w:cs="Arial"/>
          <w:spacing w:val="-1"/>
        </w:rPr>
      </w:pPr>
      <w:r w:rsidRPr="008B6090">
        <w:rPr>
          <w:rFonts w:cs="Arial"/>
          <w:b/>
          <w:bCs/>
          <w:spacing w:val="-1"/>
          <w:szCs w:val="22"/>
        </w:rPr>
        <w:t xml:space="preserve">Sdělení Komise Radě, Evropskému parlamentu, Evropskému hospodářskému a sociálnímu výboru a Výboru regionů: </w:t>
      </w:r>
      <w:r w:rsidRPr="008B6090">
        <w:rPr>
          <w:rFonts w:cs="Arial"/>
          <w:b/>
          <w:bCs/>
          <w:i/>
          <w:spacing w:val="-1"/>
          <w:szCs w:val="22"/>
        </w:rPr>
        <w:t>Akční plán provádění právního rámce v oblasti elektronického zadávání veřejných zakázek</w:t>
      </w:r>
      <w:r w:rsidRPr="008B6090">
        <w:rPr>
          <w:rFonts w:cs="Arial"/>
          <w:b/>
          <w:bCs/>
          <w:spacing w:val="-1"/>
          <w:szCs w:val="22"/>
        </w:rPr>
        <w:t xml:space="preserve">; </w:t>
      </w:r>
      <w:proofErr w:type="gramStart"/>
      <w:r w:rsidRPr="008B6090">
        <w:rPr>
          <w:rFonts w:cs="Arial"/>
          <w:b/>
          <w:spacing w:val="-1"/>
          <w:szCs w:val="22"/>
        </w:rPr>
        <w:t>KOM(2004</w:t>
      </w:r>
      <w:proofErr w:type="gramEnd"/>
      <w:r w:rsidRPr="008B6090">
        <w:rPr>
          <w:rFonts w:cs="Arial"/>
          <w:b/>
          <w:spacing w:val="-1"/>
          <w:szCs w:val="22"/>
        </w:rPr>
        <w:t xml:space="preserve">) 841 ze dne 29. 12. 2004. </w:t>
      </w:r>
    </w:p>
    <w:p w:rsidR="00CF51AB" w:rsidRDefault="00CF51AB" w:rsidP="008B6090">
      <w:pPr>
        <w:spacing w:after="0"/>
        <w:rPr>
          <w:rFonts w:cs="Arial"/>
        </w:rPr>
      </w:pPr>
    </w:p>
    <w:p w:rsidR="003974D5" w:rsidRPr="008B6090" w:rsidRDefault="003974D5" w:rsidP="008B6090">
      <w:pPr>
        <w:spacing w:after="0"/>
        <w:rPr>
          <w:rFonts w:cs="Arial"/>
        </w:rPr>
      </w:pPr>
      <w:r>
        <w:rPr>
          <w:rFonts w:cs="Arial"/>
        </w:rPr>
        <w:t>Č</w:t>
      </w:r>
      <w:r w:rsidRPr="00C25F3B">
        <w:rPr>
          <w:rFonts w:cs="Arial"/>
        </w:rPr>
        <w:t>lenské státy EU byly tímto vyzvány ke zpracování národních plánů zavádění elektroni</w:t>
      </w:r>
      <w:r>
        <w:rPr>
          <w:rFonts w:cs="Arial"/>
        </w:rPr>
        <w:t>ckého zadávání VZ,</w:t>
      </w:r>
      <w:r w:rsidRPr="00C25F3B">
        <w:rPr>
          <w:rFonts w:cs="Arial"/>
        </w:rPr>
        <w:t xml:space="preserve"> které budou obsahovat strategii a měřitelné cíle zavádění moderních informačních a komunikačních technologií do procesu zadávání VZ a které se stanou podkladem pro </w:t>
      </w:r>
      <w:r w:rsidRPr="008B6090">
        <w:rPr>
          <w:rFonts w:cs="Arial"/>
        </w:rPr>
        <w:t>sestavení individuálních plánů významných zadavatelů.</w:t>
      </w:r>
    </w:p>
    <w:p w:rsidR="003974D5" w:rsidRPr="004E7183" w:rsidRDefault="003974D5" w:rsidP="008B6090">
      <w:pPr>
        <w:spacing w:after="0"/>
        <w:rPr>
          <w:rFonts w:cs="Arial"/>
          <w:i/>
        </w:rPr>
      </w:pPr>
    </w:p>
    <w:p w:rsidR="003974D5" w:rsidRDefault="003974D5" w:rsidP="008B6090">
      <w:pPr>
        <w:spacing w:after="0"/>
        <w:rPr>
          <w:rFonts w:cs="Arial"/>
        </w:rPr>
      </w:pPr>
      <w:r w:rsidRPr="004E7183">
        <w:rPr>
          <w:rFonts w:cs="Arial"/>
          <w:b/>
          <w:i/>
        </w:rPr>
        <w:t>Národní plán zavedení elektronického zadávání veřejných zakázek pro období let 2006 až 2010</w:t>
      </w:r>
      <w:r w:rsidR="00DF700B">
        <w:rPr>
          <w:rFonts w:cs="Arial"/>
        </w:rPr>
        <w:t xml:space="preserve"> –</w:t>
      </w:r>
      <w:r>
        <w:rPr>
          <w:rFonts w:cs="Arial"/>
        </w:rPr>
        <w:t xml:space="preserve"> schválen usnesením vlády</w:t>
      </w:r>
      <w:r w:rsidRPr="00C25F3B">
        <w:rPr>
          <w:rFonts w:cs="Arial"/>
        </w:rPr>
        <w:t xml:space="preserve"> ze dne 10. 5. 2006</w:t>
      </w:r>
      <w:r w:rsidRPr="0031592D">
        <w:rPr>
          <w:rFonts w:cs="Arial"/>
        </w:rPr>
        <w:t xml:space="preserve"> </w:t>
      </w:r>
      <w:r w:rsidRPr="00C25F3B">
        <w:rPr>
          <w:rFonts w:cs="Arial"/>
        </w:rPr>
        <w:t>č. 500</w:t>
      </w:r>
      <w:r>
        <w:rPr>
          <w:rFonts w:cs="Arial"/>
        </w:rPr>
        <w:t xml:space="preserve">. </w:t>
      </w:r>
      <w:r w:rsidRPr="00DE11F7">
        <w:rPr>
          <w:rFonts w:cs="Arial"/>
        </w:rPr>
        <w:t xml:space="preserve">Plán vychází </w:t>
      </w:r>
      <w:r w:rsidR="002C671F">
        <w:rPr>
          <w:rFonts w:cs="Arial"/>
        </w:rPr>
        <w:t>z </w:t>
      </w:r>
      <w:r w:rsidRPr="00DE11F7">
        <w:rPr>
          <w:rFonts w:cs="Arial"/>
        </w:rPr>
        <w:t xml:space="preserve">potřeby České republiky systémově řešit oblast </w:t>
      </w:r>
      <w:r w:rsidRPr="00DE11F7">
        <w:rPr>
          <w:rFonts w:cs="Arial"/>
          <w:bCs/>
        </w:rPr>
        <w:t xml:space="preserve">zavádění moderních informačních a komunikačních technologií do procesu zadávání </w:t>
      </w:r>
      <w:r>
        <w:rPr>
          <w:rFonts w:cs="Arial"/>
          <w:bCs/>
        </w:rPr>
        <w:t xml:space="preserve">VZ </w:t>
      </w:r>
      <w:r w:rsidRPr="00DE11F7">
        <w:rPr>
          <w:rFonts w:cs="Arial"/>
          <w:bCs/>
        </w:rPr>
        <w:t xml:space="preserve">a </w:t>
      </w:r>
      <w:r w:rsidRPr="00DE11F7">
        <w:rPr>
          <w:rFonts w:cs="Arial"/>
        </w:rPr>
        <w:t xml:space="preserve">popisuje cílový stav elektronického zadávání </w:t>
      </w:r>
      <w:r>
        <w:rPr>
          <w:rFonts w:cs="Arial"/>
        </w:rPr>
        <w:t xml:space="preserve">VZ </w:t>
      </w:r>
      <w:r w:rsidR="002C671F">
        <w:rPr>
          <w:rFonts w:cs="Arial"/>
        </w:rPr>
        <w:t>v </w:t>
      </w:r>
      <w:r w:rsidRPr="00DE11F7">
        <w:rPr>
          <w:rFonts w:cs="Arial"/>
        </w:rPr>
        <w:t xml:space="preserve">ČR a opatření </w:t>
      </w:r>
      <w:r w:rsidR="002C671F">
        <w:rPr>
          <w:rFonts w:cs="Arial"/>
        </w:rPr>
        <w:t>k </w:t>
      </w:r>
      <w:r w:rsidRPr="00DE11F7">
        <w:rPr>
          <w:rFonts w:cs="Arial"/>
        </w:rPr>
        <w:t>dosažení tohoto stavu pro období 2006–2010.</w:t>
      </w:r>
    </w:p>
    <w:p w:rsidR="003974D5" w:rsidRDefault="003974D5" w:rsidP="008B6090">
      <w:pPr>
        <w:spacing w:after="0"/>
        <w:rPr>
          <w:rFonts w:cs="Arial"/>
        </w:rPr>
      </w:pPr>
    </w:p>
    <w:p w:rsidR="003974D5" w:rsidRPr="00835AF2" w:rsidRDefault="003974D5" w:rsidP="008B6090">
      <w:pPr>
        <w:spacing w:after="0"/>
        <w:rPr>
          <w:rFonts w:cs="Arial"/>
          <w:b/>
          <w:i/>
        </w:rPr>
      </w:pPr>
      <w:r>
        <w:rPr>
          <w:rFonts w:cs="Arial"/>
          <w:b/>
          <w:i/>
        </w:rPr>
        <w:t>Strategie</w:t>
      </w:r>
      <w:r w:rsidRPr="005F4694">
        <w:rPr>
          <w:rFonts w:cs="Arial"/>
          <w:b/>
          <w:i/>
        </w:rPr>
        <w:t xml:space="preserve"> rozvoje služeb pro informační společnost v České republice na období </w:t>
      </w:r>
      <w:r w:rsidR="00DF700B">
        <w:rPr>
          <w:rFonts w:cs="Arial"/>
          <w:b/>
          <w:i/>
        </w:rPr>
        <w:br/>
      </w:r>
      <w:r w:rsidRPr="005F4694">
        <w:rPr>
          <w:rFonts w:cs="Arial"/>
          <w:b/>
          <w:i/>
        </w:rPr>
        <w:t>2008–2012</w:t>
      </w:r>
      <w:r>
        <w:rPr>
          <w:rFonts w:cs="Arial"/>
          <w:b/>
          <w:i/>
        </w:rPr>
        <w:t xml:space="preserve">, </w:t>
      </w:r>
      <w:r>
        <w:rPr>
          <w:rFonts w:cs="Arial"/>
        </w:rPr>
        <w:t>schválena u</w:t>
      </w:r>
      <w:r w:rsidRPr="00835AF2">
        <w:rPr>
          <w:rFonts w:cs="Arial"/>
        </w:rPr>
        <w:t>snesení</w:t>
      </w:r>
      <w:r>
        <w:rPr>
          <w:rFonts w:cs="Arial"/>
        </w:rPr>
        <w:t>m</w:t>
      </w:r>
      <w:r w:rsidRPr="00835AF2">
        <w:rPr>
          <w:rFonts w:cs="Arial"/>
        </w:rPr>
        <w:t xml:space="preserve"> v</w:t>
      </w:r>
      <w:r>
        <w:rPr>
          <w:rFonts w:cs="Arial"/>
        </w:rPr>
        <w:t>lády ze dne 9. 7. 2008 č. 854.</w:t>
      </w:r>
      <w:r>
        <w:rPr>
          <w:rFonts w:cs="Arial"/>
          <w:b/>
          <w:i/>
        </w:rPr>
        <w:t xml:space="preserve"> </w:t>
      </w:r>
      <w:r w:rsidRPr="005F4694">
        <w:rPr>
          <w:rFonts w:cs="Arial"/>
        </w:rPr>
        <w:t xml:space="preserve">Usnesením vláda uložila </w:t>
      </w:r>
      <w:r w:rsidR="00DF700B">
        <w:rPr>
          <w:rFonts w:cs="Arial"/>
        </w:rPr>
        <w:t>M</w:t>
      </w:r>
      <w:r w:rsidRPr="005F4694">
        <w:rPr>
          <w:rFonts w:cs="Arial"/>
        </w:rPr>
        <w:t>inisterstvu vnitra ČR:</w:t>
      </w:r>
    </w:p>
    <w:p w:rsidR="003974D5" w:rsidRPr="005F4694" w:rsidRDefault="003974D5" w:rsidP="003974D5">
      <w:pPr>
        <w:pStyle w:val="Odstavecseseznamem"/>
        <w:numPr>
          <w:ilvl w:val="0"/>
          <w:numId w:val="27"/>
        </w:numPr>
        <w:rPr>
          <w:rFonts w:cs="Arial"/>
          <w:b/>
          <w:i/>
        </w:rPr>
      </w:pPr>
      <w:r w:rsidRPr="005F4694">
        <w:rPr>
          <w:rFonts w:cs="Arial"/>
        </w:rPr>
        <w:t xml:space="preserve">stanovit závazné postupy pro koordinaci ICT projektů Smart Administration a </w:t>
      </w:r>
      <w:r>
        <w:rPr>
          <w:rFonts w:cs="Arial"/>
        </w:rPr>
        <w:t>předložit je vládě</w:t>
      </w:r>
      <w:r w:rsidRPr="005F4694">
        <w:rPr>
          <w:rFonts w:cs="Arial"/>
        </w:rPr>
        <w:t xml:space="preserve">, </w:t>
      </w:r>
    </w:p>
    <w:p w:rsidR="003974D5" w:rsidRPr="005F4694" w:rsidRDefault="003974D5" w:rsidP="003974D5">
      <w:pPr>
        <w:pStyle w:val="Odstavecseseznamem"/>
        <w:numPr>
          <w:ilvl w:val="0"/>
          <w:numId w:val="27"/>
        </w:numPr>
        <w:rPr>
          <w:rFonts w:cs="Arial"/>
          <w:b/>
          <w:i/>
        </w:rPr>
      </w:pPr>
      <w:r w:rsidRPr="005F4694">
        <w:rPr>
          <w:rFonts w:cs="Arial"/>
        </w:rPr>
        <w:t xml:space="preserve">zřídit a provozovat pro potřeby realizace projektů Smart </w:t>
      </w:r>
      <w:proofErr w:type="spellStart"/>
      <w:r w:rsidRPr="005F4694">
        <w:rPr>
          <w:rFonts w:cs="Arial"/>
        </w:rPr>
        <w:t>Administration</w:t>
      </w:r>
      <w:proofErr w:type="spellEnd"/>
      <w:r w:rsidRPr="005F4694">
        <w:rPr>
          <w:rFonts w:cs="Arial"/>
        </w:rPr>
        <w:t xml:space="preserve"> </w:t>
      </w:r>
      <w:r w:rsidR="00AD0D8F">
        <w:rPr>
          <w:rFonts w:cs="Arial"/>
        </w:rPr>
        <w:t>p</w:t>
      </w:r>
      <w:r w:rsidRPr="005F4694">
        <w:rPr>
          <w:rFonts w:cs="Arial"/>
        </w:rPr>
        <w:t xml:space="preserve">rogramovou kancelář pro koordinaci projektů Smart Administration, </w:t>
      </w:r>
    </w:p>
    <w:p w:rsidR="003974D5" w:rsidRPr="005F4694" w:rsidRDefault="003974D5" w:rsidP="003974D5">
      <w:pPr>
        <w:pStyle w:val="Odstavecseseznamem"/>
        <w:numPr>
          <w:ilvl w:val="0"/>
          <w:numId w:val="27"/>
        </w:numPr>
        <w:rPr>
          <w:rFonts w:cs="Arial"/>
          <w:b/>
          <w:i/>
        </w:rPr>
      </w:pPr>
      <w:r w:rsidRPr="005F4694">
        <w:rPr>
          <w:rFonts w:cs="Arial"/>
        </w:rPr>
        <w:t>zajistit technologickou provázanost realizovaných</w:t>
      </w:r>
      <w:r>
        <w:rPr>
          <w:rFonts w:cs="Arial"/>
        </w:rPr>
        <w:t xml:space="preserve"> projektů Smart </w:t>
      </w:r>
      <w:r w:rsidRPr="00EA72E5">
        <w:rPr>
          <w:rFonts w:cs="Arial"/>
        </w:rPr>
        <w:t>Administration</w:t>
      </w:r>
      <w:r>
        <w:rPr>
          <w:rFonts w:cs="Arial"/>
        </w:rPr>
        <w:t xml:space="preserve"> a </w:t>
      </w:r>
      <w:r w:rsidRPr="005F4694">
        <w:rPr>
          <w:rFonts w:cs="Arial"/>
        </w:rPr>
        <w:t xml:space="preserve">za tímto účelem zřídit a provozovat útvar </w:t>
      </w:r>
      <w:r w:rsidR="00AD0D8F">
        <w:rPr>
          <w:rFonts w:cs="Arial"/>
        </w:rPr>
        <w:t>h</w:t>
      </w:r>
      <w:r w:rsidRPr="005F4694">
        <w:rPr>
          <w:rFonts w:cs="Arial"/>
        </w:rPr>
        <w:t xml:space="preserve">lavního architekta </w:t>
      </w:r>
      <w:proofErr w:type="spellStart"/>
      <w:r w:rsidRPr="00EA72E5">
        <w:rPr>
          <w:rFonts w:cs="Arial"/>
        </w:rPr>
        <w:t>eGovernment</w:t>
      </w:r>
      <w:proofErr w:type="spellEnd"/>
      <w:r>
        <w:rPr>
          <w:rFonts w:cs="Arial"/>
        </w:rPr>
        <w:t>,</w:t>
      </w:r>
    </w:p>
    <w:p w:rsidR="003974D5" w:rsidRPr="00835AF2" w:rsidRDefault="003974D5" w:rsidP="003974D5">
      <w:pPr>
        <w:pStyle w:val="Odstavecseseznamem"/>
        <w:numPr>
          <w:ilvl w:val="0"/>
          <w:numId w:val="27"/>
        </w:numPr>
        <w:rPr>
          <w:rFonts w:cs="Arial"/>
        </w:rPr>
      </w:pPr>
      <w:r w:rsidRPr="00835AF2">
        <w:rPr>
          <w:rFonts w:cs="Arial"/>
        </w:rPr>
        <w:t xml:space="preserve">zajistit </w:t>
      </w:r>
      <w:r w:rsidR="00AD0D8F">
        <w:rPr>
          <w:rFonts w:cs="Arial"/>
        </w:rPr>
        <w:t>informace pro</w:t>
      </w:r>
      <w:r w:rsidRPr="00835AF2">
        <w:rPr>
          <w:rFonts w:cs="Arial"/>
        </w:rPr>
        <w:t xml:space="preserve"> předsed</w:t>
      </w:r>
      <w:r w:rsidR="00AD0D8F">
        <w:rPr>
          <w:rFonts w:cs="Arial"/>
        </w:rPr>
        <w:t>u</w:t>
      </w:r>
      <w:r w:rsidRPr="00835AF2">
        <w:rPr>
          <w:rFonts w:cs="Arial"/>
        </w:rPr>
        <w:t xml:space="preserve"> vlády o realizaci projektů Smart </w:t>
      </w:r>
      <w:r w:rsidRPr="00EA72E5">
        <w:rPr>
          <w:rFonts w:cs="Arial"/>
        </w:rPr>
        <w:t>Administration</w:t>
      </w:r>
      <w:r w:rsidRPr="00835AF2">
        <w:rPr>
          <w:rFonts w:cs="Arial"/>
        </w:rPr>
        <w:t xml:space="preserve"> prostřednictvím programové kanceláře, a to pravidelně jednou měsíčně.</w:t>
      </w:r>
    </w:p>
    <w:p w:rsidR="003974D5" w:rsidRPr="008B6090" w:rsidRDefault="003974D5" w:rsidP="008B6090">
      <w:pPr>
        <w:pStyle w:val="Odstavecseseznamem"/>
        <w:autoSpaceDE w:val="0"/>
        <w:autoSpaceDN w:val="0"/>
        <w:adjustRightInd w:val="0"/>
        <w:spacing w:after="0"/>
        <w:ind w:left="0"/>
        <w:jc w:val="left"/>
        <w:rPr>
          <w:rFonts w:cs="Arial"/>
          <w:b/>
          <w:bCs/>
          <w:szCs w:val="22"/>
        </w:rPr>
      </w:pPr>
    </w:p>
    <w:p w:rsidR="003974D5" w:rsidRDefault="003974D5" w:rsidP="008B6090">
      <w:pPr>
        <w:spacing w:after="0"/>
        <w:rPr>
          <w:rFonts w:cs="Arial"/>
        </w:rPr>
      </w:pPr>
      <w:r w:rsidRPr="004E7183">
        <w:rPr>
          <w:rFonts w:cs="Arial"/>
          <w:b/>
          <w:i/>
        </w:rPr>
        <w:t>Analýza individuálních strategií elektronizace zadávání veřejných zakázek zpracovaných na základě opatření J.2.2 Národního plánu</w:t>
      </w:r>
      <w:r w:rsidRPr="008270E1">
        <w:rPr>
          <w:rFonts w:cs="Arial"/>
        </w:rPr>
        <w:t xml:space="preserve"> (srpen 2009). Analýza měla přispět </w:t>
      </w:r>
      <w:r w:rsidR="002C671F">
        <w:rPr>
          <w:rFonts w:cs="Arial"/>
        </w:rPr>
        <w:t>k </w:t>
      </w:r>
      <w:r w:rsidRPr="008270E1">
        <w:rPr>
          <w:rFonts w:cs="Arial"/>
        </w:rPr>
        <w:t xml:space="preserve">urychlení rozvoje elektronizace VZ a </w:t>
      </w:r>
      <w:r w:rsidR="002C671F">
        <w:rPr>
          <w:rFonts w:cs="Arial"/>
        </w:rPr>
        <w:t>k </w:t>
      </w:r>
      <w:r w:rsidRPr="008270E1">
        <w:rPr>
          <w:rFonts w:cs="Arial"/>
        </w:rPr>
        <w:t xml:space="preserve">eliminaci nejednotnosti </w:t>
      </w:r>
      <w:r w:rsidR="002C671F">
        <w:rPr>
          <w:rFonts w:cs="Arial"/>
        </w:rPr>
        <w:t>v </w:t>
      </w:r>
      <w:r w:rsidRPr="008270E1">
        <w:rPr>
          <w:rFonts w:cs="Arial"/>
        </w:rPr>
        <w:t xml:space="preserve">přístupu jednotlivých ústředních orgánů státní správy </w:t>
      </w:r>
      <w:r w:rsidR="002C671F">
        <w:rPr>
          <w:rFonts w:cs="Arial"/>
        </w:rPr>
        <w:t>k </w:t>
      </w:r>
      <w:r w:rsidRPr="008270E1">
        <w:rPr>
          <w:rFonts w:cs="Arial"/>
        </w:rPr>
        <w:t xml:space="preserve">elektronizaci VZ a </w:t>
      </w:r>
      <w:r w:rsidR="002C671F">
        <w:rPr>
          <w:rFonts w:cs="Arial"/>
        </w:rPr>
        <w:t>k </w:t>
      </w:r>
      <w:r w:rsidRPr="008270E1">
        <w:rPr>
          <w:rFonts w:cs="Arial"/>
        </w:rPr>
        <w:t xml:space="preserve">podpoře národní infrastruktury pro elektronické zadávání VZ. </w:t>
      </w:r>
      <w:r w:rsidR="002C671F">
        <w:rPr>
          <w:rFonts w:cs="Arial"/>
        </w:rPr>
        <w:t>Z </w:t>
      </w:r>
      <w:r w:rsidRPr="008270E1">
        <w:rPr>
          <w:rFonts w:cs="Arial"/>
        </w:rPr>
        <w:t>analýzy 20 individuál</w:t>
      </w:r>
      <w:r>
        <w:rPr>
          <w:rFonts w:cs="Arial"/>
        </w:rPr>
        <w:t xml:space="preserve">ních strategií jednotlivých ÚOSS </w:t>
      </w:r>
      <w:r w:rsidRPr="008270E1">
        <w:rPr>
          <w:rFonts w:cs="Arial"/>
        </w:rPr>
        <w:t xml:space="preserve">vyplynulo, že </w:t>
      </w:r>
      <w:r w:rsidR="002C671F">
        <w:rPr>
          <w:rFonts w:cs="Arial"/>
        </w:rPr>
        <w:t>v </w:t>
      </w:r>
      <w:r w:rsidRPr="008270E1">
        <w:rPr>
          <w:rFonts w:cs="Arial"/>
        </w:rPr>
        <w:t xml:space="preserve">roce 2007 používalo atestovaný elektronických nástroj </w:t>
      </w:r>
      <w:r w:rsidR="002C671F">
        <w:rPr>
          <w:rFonts w:cs="Arial"/>
        </w:rPr>
        <w:t>v </w:t>
      </w:r>
      <w:r w:rsidRPr="008270E1">
        <w:rPr>
          <w:rFonts w:cs="Arial"/>
        </w:rPr>
        <w:t xml:space="preserve">plném provozu jen Ministerstvo obrany </w:t>
      </w:r>
      <w:r w:rsidR="00AD0D8F">
        <w:rPr>
          <w:rFonts w:cs="Arial"/>
        </w:rPr>
        <w:t>(</w:t>
      </w:r>
      <w:r w:rsidRPr="008270E1">
        <w:rPr>
          <w:rFonts w:cs="Arial"/>
        </w:rPr>
        <w:t>pro veřejné zakázky malého rozsahu</w:t>
      </w:r>
      <w:r w:rsidR="00AD0D8F">
        <w:rPr>
          <w:rFonts w:cs="Arial"/>
        </w:rPr>
        <w:t>)</w:t>
      </w:r>
      <w:r w:rsidRPr="008270E1">
        <w:rPr>
          <w:rFonts w:cs="Arial"/>
        </w:rPr>
        <w:t xml:space="preserve"> a </w:t>
      </w:r>
      <w:r w:rsidR="002C671F">
        <w:rPr>
          <w:rFonts w:cs="Arial"/>
        </w:rPr>
        <w:t>v </w:t>
      </w:r>
      <w:r w:rsidRPr="008270E1">
        <w:rPr>
          <w:rFonts w:cs="Arial"/>
        </w:rPr>
        <w:t>testovacím provozu MMR. Ostatní resorty buď byly ve fázi plánování a</w:t>
      </w:r>
      <w:r w:rsidR="00AD0D8F">
        <w:rPr>
          <w:rFonts w:cs="Arial"/>
        </w:rPr>
        <w:t> </w:t>
      </w:r>
      <w:r w:rsidRPr="008270E1">
        <w:rPr>
          <w:rFonts w:cs="Arial"/>
        </w:rPr>
        <w:t xml:space="preserve">přípravy projektů zavedení atestovaného elektronického nástroje, nebo pouze </w:t>
      </w:r>
      <w:r w:rsidR="00AD0D8F">
        <w:rPr>
          <w:rFonts w:cs="Arial"/>
        </w:rPr>
        <w:t>u</w:t>
      </w:r>
      <w:r w:rsidRPr="008270E1">
        <w:rPr>
          <w:rFonts w:cs="Arial"/>
        </w:rPr>
        <w:t>važovaly</w:t>
      </w:r>
      <w:r w:rsidR="00AD0D8F">
        <w:rPr>
          <w:rFonts w:cs="Arial"/>
        </w:rPr>
        <w:t xml:space="preserve"> o </w:t>
      </w:r>
      <w:r w:rsidRPr="008270E1">
        <w:rPr>
          <w:rFonts w:cs="Arial"/>
        </w:rPr>
        <w:t>jeho zavedení</w:t>
      </w:r>
      <w:r w:rsidR="00AD0D8F">
        <w:rPr>
          <w:rFonts w:cs="Arial"/>
        </w:rPr>
        <w:t>,</w:t>
      </w:r>
      <w:r w:rsidRPr="008270E1">
        <w:rPr>
          <w:rFonts w:cs="Arial"/>
        </w:rPr>
        <w:t xml:space="preserve"> či vůbec použití neplánovaly. Dále analýza potvrdila, že ÚOSS nevyužívají elektronické nástroje pro realizaci všech úkonů </w:t>
      </w:r>
      <w:r w:rsidR="002C671F">
        <w:rPr>
          <w:rFonts w:cs="Arial"/>
        </w:rPr>
        <w:t>v </w:t>
      </w:r>
      <w:r w:rsidRPr="008270E1">
        <w:rPr>
          <w:rFonts w:cs="Arial"/>
        </w:rPr>
        <w:t>zadávacím řízení, ale např. jen pro uveřejňování informací o VZ.</w:t>
      </w:r>
    </w:p>
    <w:p w:rsidR="003974D5" w:rsidRDefault="003974D5" w:rsidP="004A016E">
      <w:pPr>
        <w:spacing w:after="0"/>
        <w:rPr>
          <w:rFonts w:cs="Arial"/>
        </w:rPr>
      </w:pPr>
    </w:p>
    <w:p w:rsidR="003974D5" w:rsidRPr="004E7183" w:rsidRDefault="003974D5" w:rsidP="004A016E">
      <w:pPr>
        <w:spacing w:after="0"/>
        <w:rPr>
          <w:rFonts w:cs="Arial"/>
          <w:i/>
        </w:rPr>
      </w:pPr>
      <w:r w:rsidRPr="004E7183">
        <w:rPr>
          <w:rFonts w:cs="Arial"/>
          <w:b/>
          <w:i/>
        </w:rPr>
        <w:t>Zpráva o plnění Národního plánu zavedení elektronického zadávání veřejných zakázek pro období let 2006–2010 za rok 2008</w:t>
      </w:r>
      <w:r>
        <w:rPr>
          <w:rFonts w:cs="Arial"/>
        </w:rPr>
        <w:t xml:space="preserve"> </w:t>
      </w:r>
      <w:r w:rsidR="00AD0D8F">
        <w:rPr>
          <w:rFonts w:cs="Arial"/>
        </w:rPr>
        <w:t xml:space="preserve">– </w:t>
      </w:r>
      <w:r>
        <w:rPr>
          <w:rFonts w:cs="Arial"/>
        </w:rPr>
        <w:t xml:space="preserve">vláda vzala </w:t>
      </w:r>
      <w:r w:rsidR="00AD0D8F">
        <w:rPr>
          <w:rFonts w:cs="Arial"/>
        </w:rPr>
        <w:t xml:space="preserve">tuto zprávu </w:t>
      </w:r>
      <w:r>
        <w:rPr>
          <w:rFonts w:cs="Arial"/>
        </w:rPr>
        <w:t xml:space="preserve">na vědomí usnesením </w:t>
      </w:r>
      <w:r w:rsidRPr="00DB510A">
        <w:rPr>
          <w:rFonts w:cs="Arial"/>
        </w:rPr>
        <w:t>ze dne 4.</w:t>
      </w:r>
      <w:r w:rsidR="002C671F">
        <w:rPr>
          <w:rFonts w:cs="Arial"/>
        </w:rPr>
        <w:t> </w:t>
      </w:r>
      <w:r w:rsidRPr="00DB510A">
        <w:rPr>
          <w:rFonts w:cs="Arial"/>
        </w:rPr>
        <w:t>5.</w:t>
      </w:r>
      <w:r w:rsidR="002C671F">
        <w:rPr>
          <w:rFonts w:cs="Arial"/>
        </w:rPr>
        <w:t> </w:t>
      </w:r>
      <w:r w:rsidRPr="00DB510A">
        <w:rPr>
          <w:rFonts w:cs="Arial"/>
        </w:rPr>
        <w:t>2009</w:t>
      </w:r>
      <w:r w:rsidRPr="0031592D">
        <w:rPr>
          <w:rFonts w:cs="Arial"/>
        </w:rPr>
        <w:t xml:space="preserve"> </w:t>
      </w:r>
      <w:r w:rsidRPr="00DB510A">
        <w:rPr>
          <w:rFonts w:cs="Arial"/>
        </w:rPr>
        <w:t xml:space="preserve">č. 574. Ve </w:t>
      </w:r>
      <w:r w:rsidR="00AD0D8F">
        <w:rPr>
          <w:rFonts w:cs="Arial"/>
        </w:rPr>
        <w:t>z</w:t>
      </w:r>
      <w:r w:rsidRPr="00DB510A">
        <w:rPr>
          <w:rFonts w:cs="Arial"/>
        </w:rPr>
        <w:t xml:space="preserve">právě </w:t>
      </w:r>
      <w:r>
        <w:rPr>
          <w:rFonts w:cs="Arial"/>
        </w:rPr>
        <w:t xml:space="preserve">bylo </w:t>
      </w:r>
      <w:r w:rsidRPr="00DB510A">
        <w:rPr>
          <w:rFonts w:cs="Arial"/>
        </w:rPr>
        <w:t xml:space="preserve">uvedeno řešení nového opatření </w:t>
      </w:r>
      <w:proofErr w:type="gramStart"/>
      <w:r w:rsidRPr="00DB510A">
        <w:rPr>
          <w:rFonts w:cs="Arial"/>
        </w:rPr>
        <w:t xml:space="preserve">J.9 </w:t>
      </w:r>
      <w:r w:rsidRPr="004A016E">
        <w:rPr>
          <w:rFonts w:cs="Arial"/>
          <w:i/>
        </w:rPr>
        <w:t>Národního</w:t>
      </w:r>
      <w:proofErr w:type="gramEnd"/>
      <w:r w:rsidRPr="004A016E">
        <w:rPr>
          <w:rFonts w:cs="Arial"/>
          <w:i/>
        </w:rPr>
        <w:t xml:space="preserve"> plánu</w:t>
      </w:r>
      <w:r w:rsidRPr="00DB510A">
        <w:rPr>
          <w:rFonts w:cs="Arial"/>
        </w:rPr>
        <w:t xml:space="preserve">, </w:t>
      </w:r>
      <w:r w:rsidR="00AD0D8F">
        <w:rPr>
          <w:rFonts w:cs="Arial"/>
        </w:rPr>
        <w:t xml:space="preserve">přičemž </w:t>
      </w:r>
      <w:r w:rsidR="00AD0D8F">
        <w:rPr>
          <w:rFonts w:cs="Arial"/>
        </w:rPr>
        <w:lastRenderedPageBreak/>
        <w:t>cílem tohoto opatření</w:t>
      </w:r>
      <w:r w:rsidRPr="00DB510A">
        <w:rPr>
          <w:rFonts w:cs="Arial"/>
        </w:rPr>
        <w:t xml:space="preserve"> bylo zpracovat </w:t>
      </w:r>
      <w:r w:rsidR="00AD0D8F" w:rsidRPr="00D40169">
        <w:rPr>
          <w:rFonts w:cs="Arial"/>
        </w:rPr>
        <w:t>n</w:t>
      </w:r>
      <w:r w:rsidRPr="00D40169">
        <w:rPr>
          <w:rFonts w:cs="Arial"/>
        </w:rPr>
        <w:t xml:space="preserve">ávrh modelu fungování národní infrastruktury pro elektronické zadávání </w:t>
      </w:r>
      <w:r w:rsidRPr="004A016E">
        <w:rPr>
          <w:rFonts w:cs="Arial"/>
        </w:rPr>
        <w:t>veřejných zakázek (NIPEZ).</w:t>
      </w:r>
    </w:p>
    <w:p w:rsidR="00CF51AB" w:rsidRDefault="00CF51AB" w:rsidP="004A016E">
      <w:pPr>
        <w:spacing w:after="0"/>
        <w:rPr>
          <w:rFonts w:cs="Arial"/>
          <w:b/>
          <w:i/>
        </w:rPr>
      </w:pPr>
    </w:p>
    <w:p w:rsidR="003974D5" w:rsidRDefault="003974D5" w:rsidP="004A016E">
      <w:pPr>
        <w:spacing w:after="0"/>
        <w:rPr>
          <w:rFonts w:cs="Arial"/>
        </w:rPr>
      </w:pPr>
      <w:r w:rsidRPr="004E7183">
        <w:rPr>
          <w:rFonts w:cs="Arial"/>
          <w:b/>
          <w:i/>
        </w:rPr>
        <w:t>Analýza elektronických tržišť (GEM) pro veřejnou správu zajišťujících</w:t>
      </w:r>
      <w:r w:rsidR="00E72F2D">
        <w:rPr>
          <w:rFonts w:cs="Arial"/>
          <w:b/>
          <w:i/>
        </w:rPr>
        <w:t xml:space="preserve"> nákup komodit z </w:t>
      </w:r>
      <w:r w:rsidRPr="004E7183">
        <w:rPr>
          <w:rFonts w:cs="Arial"/>
          <w:b/>
          <w:i/>
        </w:rPr>
        <w:t xml:space="preserve">oblasti informačních a komunikačních technologií </w:t>
      </w:r>
      <w:r w:rsidR="002C671F">
        <w:rPr>
          <w:rFonts w:cs="Arial"/>
          <w:b/>
          <w:i/>
        </w:rPr>
        <w:t>z </w:t>
      </w:r>
      <w:r w:rsidRPr="004E7183">
        <w:rPr>
          <w:rFonts w:cs="Arial"/>
          <w:b/>
          <w:i/>
        </w:rPr>
        <w:t xml:space="preserve">pohledu ekonomického a právního </w:t>
      </w:r>
      <w:r w:rsidRPr="00966FD8">
        <w:rPr>
          <w:rFonts w:cs="Arial"/>
        </w:rPr>
        <w:t>(2009, MMR). Analýza identifikovala nedostatky při používání e-</w:t>
      </w:r>
      <w:r>
        <w:rPr>
          <w:rFonts w:cs="Arial"/>
        </w:rPr>
        <w:t xml:space="preserve">tržišť v rámci povinnosti dle </w:t>
      </w:r>
      <w:r w:rsidR="00D40169">
        <w:rPr>
          <w:rFonts w:cs="Arial"/>
        </w:rPr>
        <w:t>usnesení vlády</w:t>
      </w:r>
      <w:r>
        <w:rPr>
          <w:rFonts w:cs="Arial"/>
        </w:rPr>
        <w:t xml:space="preserve"> </w:t>
      </w:r>
      <w:r w:rsidR="00D40169">
        <w:rPr>
          <w:rFonts w:cs="Arial"/>
        </w:rPr>
        <w:t xml:space="preserve">ze dne 26. 6. 2002 </w:t>
      </w:r>
      <w:r w:rsidRPr="00835AF2">
        <w:rPr>
          <w:rFonts w:cs="Arial"/>
        </w:rPr>
        <w:t>č. 683.</w:t>
      </w:r>
    </w:p>
    <w:p w:rsidR="003974D5" w:rsidRPr="00835AF2" w:rsidRDefault="003974D5" w:rsidP="004A016E">
      <w:pPr>
        <w:spacing w:after="0"/>
        <w:rPr>
          <w:rFonts w:cs="Arial"/>
        </w:rPr>
      </w:pPr>
    </w:p>
    <w:p w:rsidR="003974D5" w:rsidRPr="00DE11F7" w:rsidRDefault="003974D5" w:rsidP="004A016E">
      <w:pPr>
        <w:spacing w:after="0"/>
        <w:rPr>
          <w:rFonts w:cs="Arial"/>
        </w:rPr>
      </w:pPr>
      <w:r w:rsidRPr="004E7183">
        <w:rPr>
          <w:rFonts w:cs="Arial"/>
          <w:b/>
          <w:i/>
        </w:rPr>
        <w:t>Strategie používání e-tržiš</w:t>
      </w:r>
      <w:r w:rsidR="00D40169">
        <w:rPr>
          <w:rFonts w:cs="Arial"/>
          <w:b/>
          <w:i/>
        </w:rPr>
        <w:t>tě</w:t>
      </w:r>
      <w:r w:rsidRPr="004E7183">
        <w:rPr>
          <w:rFonts w:cs="Arial"/>
          <w:b/>
          <w:i/>
        </w:rPr>
        <w:t xml:space="preserve"> pro veřejnou </w:t>
      </w:r>
      <w:r w:rsidRPr="00B02416">
        <w:rPr>
          <w:rFonts w:cs="Arial"/>
          <w:b/>
          <w:i/>
        </w:rPr>
        <w:t xml:space="preserve">správu </w:t>
      </w:r>
      <w:r w:rsidRPr="004A016E">
        <w:rPr>
          <w:rFonts w:cs="Arial"/>
          <w:b/>
          <w:i/>
        </w:rPr>
        <w:t xml:space="preserve">dle opatření </w:t>
      </w:r>
      <w:proofErr w:type="gramStart"/>
      <w:r w:rsidRPr="004A016E">
        <w:rPr>
          <w:rFonts w:cs="Arial"/>
          <w:b/>
          <w:i/>
        </w:rPr>
        <w:t>J.6 Národního</w:t>
      </w:r>
      <w:proofErr w:type="gramEnd"/>
      <w:r w:rsidRPr="004A016E">
        <w:rPr>
          <w:rFonts w:cs="Arial"/>
          <w:b/>
          <w:i/>
        </w:rPr>
        <w:t xml:space="preserve"> plánu</w:t>
      </w:r>
      <w:r>
        <w:rPr>
          <w:rFonts w:cs="Arial"/>
        </w:rPr>
        <w:t xml:space="preserve"> </w:t>
      </w:r>
      <w:r w:rsidR="00494596">
        <w:rPr>
          <w:rFonts w:cs="Arial"/>
        </w:rPr>
        <w:t xml:space="preserve">– </w:t>
      </w:r>
      <w:r>
        <w:rPr>
          <w:rFonts w:cs="Arial"/>
        </w:rPr>
        <w:t xml:space="preserve">byla </w:t>
      </w:r>
      <w:r w:rsidR="009F4899">
        <w:rPr>
          <w:rFonts w:cs="Arial"/>
        </w:rPr>
        <w:t xml:space="preserve">vzata na vědomí </w:t>
      </w:r>
      <w:r w:rsidR="00D40169">
        <w:rPr>
          <w:rFonts w:cs="Arial"/>
        </w:rPr>
        <w:t>usnesením vlády</w:t>
      </w:r>
      <w:r>
        <w:rPr>
          <w:rFonts w:cs="Arial"/>
        </w:rPr>
        <w:t xml:space="preserve"> </w:t>
      </w:r>
      <w:r w:rsidR="00D40169">
        <w:rPr>
          <w:rFonts w:cs="Arial"/>
        </w:rPr>
        <w:t xml:space="preserve">ze dne 10. 5. 2010 </w:t>
      </w:r>
      <w:r>
        <w:rPr>
          <w:rFonts w:cs="Arial"/>
        </w:rPr>
        <w:t xml:space="preserve">č. 343. </w:t>
      </w:r>
      <w:r w:rsidRPr="00DE11F7">
        <w:rPr>
          <w:rFonts w:cs="Arial"/>
        </w:rPr>
        <w:t>Dokument vymezuje záměry a cíle spojené s vytvořením a provozem e-tržišť.</w:t>
      </w:r>
    </w:p>
    <w:p w:rsidR="003974D5" w:rsidRPr="00B238E8" w:rsidRDefault="003974D5" w:rsidP="004A016E">
      <w:pPr>
        <w:spacing w:after="0"/>
        <w:rPr>
          <w:rFonts w:cs="Arial"/>
        </w:rPr>
      </w:pPr>
    </w:p>
    <w:p w:rsidR="003974D5" w:rsidRDefault="003974D5" w:rsidP="004A016E">
      <w:pPr>
        <w:autoSpaceDE w:val="0"/>
        <w:autoSpaceDN w:val="0"/>
        <w:adjustRightInd w:val="0"/>
        <w:spacing w:after="0"/>
        <w:rPr>
          <w:rFonts w:cs="Arial"/>
        </w:rPr>
      </w:pPr>
      <w:r w:rsidRPr="00074BE7">
        <w:rPr>
          <w:rFonts w:cs="Arial"/>
          <w:b/>
        </w:rPr>
        <w:t xml:space="preserve">Závazné minimální požadavky na technickou charakteristiku elektronických tržišť veřejné </w:t>
      </w:r>
      <w:r w:rsidRPr="00E25CD1">
        <w:rPr>
          <w:rFonts w:cs="Arial"/>
          <w:b/>
        </w:rPr>
        <w:t xml:space="preserve">správy </w:t>
      </w:r>
      <w:r w:rsidR="00D40169">
        <w:rPr>
          <w:rFonts w:cs="Arial"/>
          <w:b/>
        </w:rPr>
        <w:t>–</w:t>
      </w:r>
      <w:r w:rsidR="00E25CD1">
        <w:rPr>
          <w:rFonts w:cs="Arial"/>
          <w:b/>
        </w:rPr>
        <w:t xml:space="preserve"> </w:t>
      </w:r>
      <w:r w:rsidRPr="00E25CD1">
        <w:rPr>
          <w:rFonts w:cs="Arial"/>
          <w:b/>
        </w:rPr>
        <w:t>technická specifikace e-tržišť</w:t>
      </w:r>
    </w:p>
    <w:p w:rsidR="003974D5" w:rsidRPr="006D53CE" w:rsidRDefault="003974D5" w:rsidP="003974D5">
      <w:pPr>
        <w:pStyle w:val="Odstavecseseznamem"/>
        <w:numPr>
          <w:ilvl w:val="0"/>
          <w:numId w:val="28"/>
        </w:numPr>
        <w:autoSpaceDE w:val="0"/>
        <w:autoSpaceDN w:val="0"/>
        <w:adjustRightInd w:val="0"/>
        <w:rPr>
          <w:rFonts w:cs="Arial"/>
        </w:rPr>
      </w:pPr>
      <w:r w:rsidRPr="006375F4">
        <w:rPr>
          <w:rFonts w:cs="Arial"/>
          <w:bCs/>
          <w:iCs/>
        </w:rPr>
        <w:t>Dokument byl zpracován na zák</w:t>
      </w:r>
      <w:r>
        <w:rPr>
          <w:rFonts w:cs="Arial"/>
          <w:bCs/>
          <w:iCs/>
        </w:rPr>
        <w:t xml:space="preserve">ladě bodu III/1a </w:t>
      </w:r>
      <w:r w:rsidR="00D40169">
        <w:rPr>
          <w:rFonts w:cs="Arial"/>
          <w:bCs/>
          <w:iCs/>
        </w:rPr>
        <w:t xml:space="preserve">usnesení vlády ze dne 10. 5. 2010 </w:t>
      </w:r>
      <w:r w:rsidRPr="006375F4">
        <w:rPr>
          <w:rFonts w:cs="Arial"/>
          <w:bCs/>
          <w:iCs/>
        </w:rPr>
        <w:t>č. 343</w:t>
      </w:r>
      <w:r>
        <w:rPr>
          <w:rFonts w:cs="Arial"/>
          <w:bCs/>
          <w:iCs/>
        </w:rPr>
        <w:t xml:space="preserve">. </w:t>
      </w:r>
    </w:p>
    <w:p w:rsidR="003974D5" w:rsidRDefault="003974D5" w:rsidP="003974D5">
      <w:pPr>
        <w:pStyle w:val="Odstavecseseznamem"/>
        <w:numPr>
          <w:ilvl w:val="0"/>
          <w:numId w:val="28"/>
        </w:numPr>
        <w:autoSpaceDE w:val="0"/>
        <w:autoSpaceDN w:val="0"/>
        <w:adjustRightInd w:val="0"/>
        <w:rPr>
          <w:rFonts w:cs="Arial"/>
        </w:rPr>
      </w:pPr>
      <w:r w:rsidRPr="00AB700A">
        <w:rPr>
          <w:rFonts w:cs="Arial"/>
          <w:bCs/>
          <w:iCs/>
        </w:rPr>
        <w:t xml:space="preserve">Jedná se o popis </w:t>
      </w:r>
      <w:r w:rsidRPr="00AB700A">
        <w:rPr>
          <w:rFonts w:cs="Arial"/>
        </w:rPr>
        <w:t xml:space="preserve">požadavků na provádění úkonů v zadávacím řízení prostřednictvím </w:t>
      </w:r>
      <w:r w:rsidR="00D40169">
        <w:rPr>
          <w:rFonts w:cs="Arial"/>
        </w:rPr>
        <w:br/>
      </w:r>
      <w:r w:rsidRPr="00AB700A">
        <w:rPr>
          <w:rFonts w:cs="Arial"/>
        </w:rPr>
        <w:t>e-tržiště v elektronické podobě (procesní, systémové a softwarové požadavky), technických a technologických variant, minimálních požadavků na splnění legislativních a</w:t>
      </w:r>
      <w:r w:rsidR="00D40169">
        <w:rPr>
          <w:rFonts w:cs="Arial"/>
        </w:rPr>
        <w:t> </w:t>
      </w:r>
      <w:r w:rsidRPr="00AB700A">
        <w:rPr>
          <w:rFonts w:cs="Arial"/>
        </w:rPr>
        <w:t>dalších požadavků s přihlédnutím k aktuálně dostupným informačním a komunikačním technologiím.</w:t>
      </w:r>
    </w:p>
    <w:p w:rsidR="003974D5" w:rsidRDefault="003974D5" w:rsidP="004A016E">
      <w:pPr>
        <w:pStyle w:val="Odstavecseseznamem"/>
        <w:numPr>
          <w:ilvl w:val="0"/>
          <w:numId w:val="28"/>
        </w:numPr>
        <w:spacing w:after="0"/>
        <w:rPr>
          <w:rFonts w:cs="Arial"/>
        </w:rPr>
      </w:pPr>
      <w:r w:rsidRPr="000927AE">
        <w:rPr>
          <w:rFonts w:cs="Arial"/>
        </w:rPr>
        <w:t>Tvoří hlavní část zadávacích podmínek v koncesním řízení na vývoj a provoz jednotlivých e-tržišť při výběru provozovatelů e-tržišť</w:t>
      </w:r>
      <w:r>
        <w:rPr>
          <w:rFonts w:cs="Arial"/>
        </w:rPr>
        <w:t>, slouží pro ověřování shody e</w:t>
      </w:r>
      <w:r w:rsidRPr="000927AE">
        <w:rPr>
          <w:rFonts w:cs="Arial"/>
        </w:rPr>
        <w:t>-tržišť s požadavky koncesní smlouvy v rámci akceptačních testů před spuštěním e-tržiště do ostrého provozu před 1. 1. 2012 a v průběhu plnění koncesní smlouvy</w:t>
      </w:r>
      <w:r>
        <w:rPr>
          <w:rFonts w:cs="Arial"/>
        </w:rPr>
        <w:t xml:space="preserve"> (tj. po dobu provozu e-tržišť).</w:t>
      </w:r>
    </w:p>
    <w:p w:rsidR="003974D5" w:rsidRPr="000927AE" w:rsidRDefault="003974D5" w:rsidP="004A016E">
      <w:pPr>
        <w:pStyle w:val="Odstavecseseznamem"/>
        <w:spacing w:after="0"/>
        <w:ind w:left="0"/>
        <w:rPr>
          <w:rFonts w:cs="Arial"/>
        </w:rPr>
      </w:pPr>
    </w:p>
    <w:p w:rsidR="003974D5" w:rsidRDefault="003974D5" w:rsidP="004A016E">
      <w:pPr>
        <w:spacing w:after="0"/>
        <w:rPr>
          <w:rFonts w:cs="Arial"/>
          <w:b/>
          <w:i/>
        </w:rPr>
      </w:pPr>
      <w:r w:rsidRPr="004E7183">
        <w:rPr>
          <w:rFonts w:cs="Arial"/>
          <w:b/>
          <w:i/>
        </w:rPr>
        <w:t>Strategie elektronizace zadávání veřejných zakázek pro období let 2011 až 2015</w:t>
      </w:r>
    </w:p>
    <w:p w:rsidR="003974D5" w:rsidRPr="00033A22" w:rsidRDefault="003974D5" w:rsidP="003974D5">
      <w:pPr>
        <w:pStyle w:val="Odstavecseseznamem"/>
        <w:numPr>
          <w:ilvl w:val="0"/>
          <w:numId w:val="29"/>
        </w:numPr>
        <w:rPr>
          <w:rFonts w:cs="Arial"/>
          <w:b/>
          <w:i/>
        </w:rPr>
      </w:pPr>
      <w:r w:rsidRPr="00033A22">
        <w:rPr>
          <w:rFonts w:cs="Arial"/>
        </w:rPr>
        <w:t xml:space="preserve">Schválena </w:t>
      </w:r>
      <w:r>
        <w:rPr>
          <w:rFonts w:cs="Arial"/>
        </w:rPr>
        <w:t xml:space="preserve">usnesením vlády </w:t>
      </w:r>
      <w:r w:rsidRPr="00033A22">
        <w:rPr>
          <w:rFonts w:cs="Arial"/>
        </w:rPr>
        <w:t>ze dne 5. 1</w:t>
      </w:r>
      <w:r>
        <w:rPr>
          <w:rFonts w:cs="Arial"/>
        </w:rPr>
        <w:t>.</w:t>
      </w:r>
      <w:r w:rsidRPr="00033A22">
        <w:rPr>
          <w:rFonts w:cs="Arial"/>
        </w:rPr>
        <w:t xml:space="preserve"> 2011 č. 5</w:t>
      </w:r>
      <w:r>
        <w:rPr>
          <w:rFonts w:cs="Arial"/>
        </w:rPr>
        <w:t>.</w:t>
      </w:r>
    </w:p>
    <w:p w:rsidR="003974D5" w:rsidRDefault="003974D5" w:rsidP="004A016E">
      <w:pPr>
        <w:pStyle w:val="Odstavecseseznamem"/>
        <w:numPr>
          <w:ilvl w:val="0"/>
          <w:numId w:val="29"/>
        </w:numPr>
        <w:spacing w:after="0"/>
        <w:rPr>
          <w:rFonts w:cs="Arial"/>
        </w:rPr>
      </w:pPr>
      <w:r w:rsidRPr="007C5C7F">
        <w:rPr>
          <w:rFonts w:cs="Arial"/>
        </w:rPr>
        <w:t xml:space="preserve">Hlavní cíle </w:t>
      </w:r>
      <w:r w:rsidR="00D40169">
        <w:rPr>
          <w:rFonts w:cs="Arial"/>
        </w:rPr>
        <w:t>spočívají v tom</w:t>
      </w:r>
      <w:r>
        <w:rPr>
          <w:rFonts w:cs="Arial"/>
        </w:rPr>
        <w:t xml:space="preserve">, že </w:t>
      </w:r>
      <w:r w:rsidRPr="007C5C7F">
        <w:rPr>
          <w:rFonts w:cs="Arial"/>
        </w:rPr>
        <w:t xml:space="preserve">100 % zadavatelů bude mít do konce roku 2015 </w:t>
      </w:r>
      <w:r w:rsidR="002C671F">
        <w:rPr>
          <w:rFonts w:cs="Arial"/>
        </w:rPr>
        <w:t>k </w:t>
      </w:r>
      <w:r w:rsidRPr="007C5C7F">
        <w:rPr>
          <w:rFonts w:cs="Arial"/>
        </w:rPr>
        <w:t>dispozici elektronický nástroj/nástroje umožňující komplexní podporu celého životního cyklu veřejné zakázky a</w:t>
      </w:r>
      <w:r w:rsidR="00D40169">
        <w:rPr>
          <w:rFonts w:cs="Arial"/>
        </w:rPr>
        <w:t xml:space="preserve"> že</w:t>
      </w:r>
      <w:r w:rsidRPr="007C5C7F">
        <w:rPr>
          <w:rFonts w:cs="Arial"/>
        </w:rPr>
        <w:t xml:space="preserve"> realizací všech opatření </w:t>
      </w:r>
      <w:r>
        <w:rPr>
          <w:rFonts w:cs="Arial"/>
        </w:rPr>
        <w:t xml:space="preserve">této strategie </w:t>
      </w:r>
      <w:r w:rsidRPr="007C5C7F">
        <w:rPr>
          <w:rFonts w:cs="Arial"/>
        </w:rPr>
        <w:t>bude dosažena roční úspora 50</w:t>
      </w:r>
      <w:r w:rsidR="00D40169">
        <w:rPr>
          <w:rFonts w:cs="Arial"/>
        </w:rPr>
        <w:t> </w:t>
      </w:r>
      <w:r w:rsidRPr="007C5C7F">
        <w:rPr>
          <w:rFonts w:cs="Arial"/>
        </w:rPr>
        <w:t>mld.</w:t>
      </w:r>
      <w:r w:rsidR="00D40169">
        <w:rPr>
          <w:rFonts w:cs="Arial"/>
        </w:rPr>
        <w:t> </w:t>
      </w:r>
      <w:r w:rsidRPr="007C5C7F">
        <w:rPr>
          <w:rFonts w:cs="Arial"/>
        </w:rPr>
        <w:t xml:space="preserve">Kč </w:t>
      </w:r>
      <w:r w:rsidR="002C671F">
        <w:rPr>
          <w:rFonts w:cs="Arial"/>
        </w:rPr>
        <w:t>z </w:t>
      </w:r>
      <w:r w:rsidRPr="007C5C7F">
        <w:rPr>
          <w:rFonts w:cs="Arial"/>
        </w:rPr>
        <w:t>veřejných rozpočtů</w:t>
      </w:r>
      <w:r>
        <w:rPr>
          <w:rFonts w:cs="Arial"/>
        </w:rPr>
        <w:t xml:space="preserve">. </w:t>
      </w:r>
    </w:p>
    <w:p w:rsidR="003974D5" w:rsidRDefault="003974D5" w:rsidP="004A016E">
      <w:pPr>
        <w:pStyle w:val="Odstavecseseznamem"/>
        <w:spacing w:after="0"/>
        <w:ind w:left="0"/>
        <w:rPr>
          <w:rFonts w:cs="Arial"/>
        </w:rPr>
      </w:pPr>
    </w:p>
    <w:p w:rsidR="003974D5" w:rsidRPr="00BB1E88" w:rsidRDefault="003974D5" w:rsidP="004A016E">
      <w:pPr>
        <w:spacing w:after="0"/>
        <w:rPr>
          <w:rFonts w:cs="Arial"/>
          <w:b/>
          <w:i/>
        </w:rPr>
      </w:pPr>
      <w:r w:rsidRPr="00BB1E88">
        <w:rPr>
          <w:rFonts w:cs="Arial"/>
          <w:b/>
          <w:i/>
        </w:rPr>
        <w:t>Zpráva o fungování elektronických tržišť veřejné správy za rok 2012</w:t>
      </w:r>
    </w:p>
    <w:p w:rsidR="003974D5" w:rsidRPr="00BB1E88" w:rsidRDefault="003974D5" w:rsidP="003974D5">
      <w:pPr>
        <w:pStyle w:val="Odstavecseseznamem"/>
        <w:numPr>
          <w:ilvl w:val="0"/>
          <w:numId w:val="29"/>
        </w:numPr>
        <w:rPr>
          <w:rFonts w:cs="Arial"/>
          <w:b/>
          <w:i/>
        </w:rPr>
      </w:pPr>
      <w:r w:rsidRPr="00BB1E88">
        <w:rPr>
          <w:rFonts w:cs="Arial"/>
        </w:rPr>
        <w:t>Vzata na vědomí usnesením vlády ze dne 15. 5. 2013 č. 355.</w:t>
      </w:r>
    </w:p>
    <w:p w:rsidR="003974D5" w:rsidRPr="00BB1E88" w:rsidRDefault="003974D5" w:rsidP="003974D5">
      <w:pPr>
        <w:pStyle w:val="Odstavecseseznamem"/>
        <w:numPr>
          <w:ilvl w:val="0"/>
          <w:numId w:val="29"/>
        </w:numPr>
        <w:autoSpaceDE w:val="0"/>
        <w:autoSpaceDN w:val="0"/>
        <w:adjustRightInd w:val="0"/>
        <w:rPr>
          <w:rFonts w:cs="Arial"/>
        </w:rPr>
      </w:pPr>
      <w:r w:rsidRPr="00BB1E88">
        <w:rPr>
          <w:rFonts w:cs="Arial"/>
        </w:rPr>
        <w:t xml:space="preserve">Jejím obsahem </w:t>
      </w:r>
      <w:r w:rsidR="00A41EE2">
        <w:rPr>
          <w:rFonts w:cs="Arial"/>
        </w:rPr>
        <w:t>je</w:t>
      </w:r>
      <w:r w:rsidRPr="00BB1E88">
        <w:rPr>
          <w:rFonts w:cs="Arial"/>
        </w:rPr>
        <w:t xml:space="preserve"> především shrnutí činnosti MMR </w:t>
      </w:r>
      <w:r w:rsidR="002C671F">
        <w:rPr>
          <w:rFonts w:cs="Arial"/>
        </w:rPr>
        <w:t>v </w:t>
      </w:r>
      <w:r w:rsidRPr="00BB1E88">
        <w:rPr>
          <w:rFonts w:cs="Arial"/>
        </w:rPr>
        <w:t>oblasti správy e-tržišť veřejné správy, informace o počtu e-tržišť a identifikační údaj</w:t>
      </w:r>
      <w:r w:rsidR="00E72F2D">
        <w:rPr>
          <w:rFonts w:cs="Arial"/>
        </w:rPr>
        <w:t>e jejich provozovatelů, údaje o </w:t>
      </w:r>
      <w:r w:rsidRPr="00BB1E88">
        <w:rPr>
          <w:rFonts w:cs="Arial"/>
        </w:rPr>
        <w:t xml:space="preserve">vynaložených finančních prostředcích na pořízení nebo obnovu komodit prostřednictvím e-tržišť, přehled výjimek </w:t>
      </w:r>
      <w:r w:rsidR="002C671F">
        <w:rPr>
          <w:rFonts w:cs="Arial"/>
        </w:rPr>
        <w:t>z </w:t>
      </w:r>
      <w:r w:rsidRPr="00BB1E88">
        <w:rPr>
          <w:rFonts w:cs="Arial"/>
        </w:rPr>
        <w:t xml:space="preserve">povinnosti používat e-tržiště a návrhy na změny </w:t>
      </w:r>
      <w:r w:rsidR="002C671F">
        <w:rPr>
          <w:rFonts w:cs="Arial"/>
        </w:rPr>
        <w:t>v </w:t>
      </w:r>
      <w:r w:rsidRPr="00BB1E88">
        <w:rPr>
          <w:rFonts w:cs="Arial"/>
        </w:rPr>
        <w:t>oblasti systému e-tržišť.</w:t>
      </w:r>
    </w:p>
    <w:p w:rsidR="00954CD8" w:rsidRDefault="003974D5">
      <w:pPr>
        <w:spacing w:after="200" w:line="276" w:lineRule="auto"/>
        <w:jc w:val="left"/>
        <w:rPr>
          <w:rFonts w:cs="Arial"/>
          <w:szCs w:val="22"/>
        </w:rPr>
      </w:pPr>
      <w:r>
        <w:rPr>
          <w:rFonts w:cs="Arial"/>
          <w:szCs w:val="22"/>
        </w:rPr>
        <w:br w:type="page"/>
      </w:r>
    </w:p>
    <w:p w:rsidR="00954CD8" w:rsidRPr="003C5706" w:rsidRDefault="00954CD8" w:rsidP="00954CD8">
      <w:pPr>
        <w:jc w:val="right"/>
        <w:rPr>
          <w:rFonts w:cs="Arial"/>
          <w:b/>
          <w:szCs w:val="22"/>
        </w:rPr>
      </w:pPr>
      <w:r w:rsidRPr="003C5706">
        <w:rPr>
          <w:rFonts w:cs="Arial"/>
          <w:b/>
          <w:szCs w:val="22"/>
        </w:rPr>
        <w:lastRenderedPageBreak/>
        <w:t>Příloha č. 2</w:t>
      </w:r>
    </w:p>
    <w:p w:rsidR="00954CD8" w:rsidRPr="00954CD8" w:rsidRDefault="00954CD8" w:rsidP="00954CD8">
      <w:pPr>
        <w:pStyle w:val="Nadpis2"/>
        <w:rPr>
          <w:b w:val="0"/>
        </w:rPr>
      </w:pPr>
      <w:bookmarkStart w:id="3" w:name="_Toc373227783"/>
      <w:r w:rsidRPr="00954CD8">
        <w:t>Přehled zakázek a koncesních smluv</w:t>
      </w:r>
      <w:r>
        <w:t xml:space="preserve"> </w:t>
      </w:r>
      <w:r w:rsidRPr="00954CD8">
        <w:t>na přípravu</w:t>
      </w:r>
      <w:r w:rsidR="003C5706">
        <w:t xml:space="preserve"> a</w:t>
      </w:r>
      <w:r w:rsidRPr="00954CD8">
        <w:t xml:space="preserve"> realizaci modulu e-tržišť </w:t>
      </w:r>
      <w:bookmarkEnd w:id="3"/>
      <w:r w:rsidRPr="00954CD8">
        <w:t>a vzdělávání jejich uživatelů</w:t>
      </w:r>
    </w:p>
    <w:tbl>
      <w:tblPr>
        <w:tblW w:w="9513" w:type="dxa"/>
        <w:tblInd w:w="55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66"/>
        <w:gridCol w:w="4819"/>
        <w:gridCol w:w="1276"/>
        <w:gridCol w:w="1276"/>
        <w:gridCol w:w="1276"/>
      </w:tblGrid>
      <w:tr w:rsidR="00954CD8" w:rsidRPr="00B6654E" w:rsidTr="009070BF">
        <w:trPr>
          <w:trHeight w:val="531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double" w:sz="6" w:space="0" w:color="auto"/>
              <w:right w:val="single" w:sz="4" w:space="0" w:color="auto"/>
            </w:tcBorders>
            <w:vAlign w:val="center"/>
          </w:tcPr>
          <w:p w:rsidR="00954CD8" w:rsidRPr="007F7A4C" w:rsidRDefault="00954CD8" w:rsidP="00137D7A">
            <w:pPr>
              <w:spacing w:after="0"/>
              <w:jc w:val="center"/>
              <w:rPr>
                <w:rFonts w:cs="Arial"/>
                <w:b/>
                <w:color w:val="000000"/>
                <w:sz w:val="20"/>
                <w:szCs w:val="20"/>
                <w:lang w:eastAsia="cs-CZ"/>
              </w:rPr>
            </w:pPr>
            <w:r w:rsidRPr="007F7A4C">
              <w:rPr>
                <w:rFonts w:cs="Arial"/>
                <w:b/>
                <w:color w:val="000000"/>
                <w:sz w:val="20"/>
                <w:szCs w:val="20"/>
                <w:lang w:eastAsia="cs-CZ"/>
              </w:rPr>
              <w:t>Pořadí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double" w:sz="6" w:space="0" w:color="auto"/>
              <w:right w:val="single" w:sz="4" w:space="0" w:color="auto"/>
            </w:tcBorders>
            <w:vAlign w:val="center"/>
            <w:hideMark/>
          </w:tcPr>
          <w:p w:rsidR="00954CD8" w:rsidRPr="007F7A4C" w:rsidRDefault="00954CD8" w:rsidP="00137D7A">
            <w:pPr>
              <w:spacing w:after="0"/>
              <w:jc w:val="center"/>
              <w:rPr>
                <w:rFonts w:cs="Arial"/>
                <w:b/>
                <w:color w:val="000000"/>
                <w:sz w:val="20"/>
                <w:szCs w:val="20"/>
                <w:lang w:eastAsia="cs-CZ"/>
              </w:rPr>
            </w:pPr>
            <w:r w:rsidRPr="007F7A4C">
              <w:rPr>
                <w:rFonts w:cs="Arial"/>
                <w:b/>
                <w:color w:val="000000"/>
                <w:sz w:val="20"/>
                <w:szCs w:val="20"/>
                <w:lang w:eastAsia="cs-CZ"/>
              </w:rPr>
              <w:t>Název zakázky (číslo smlouvy v CES)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double" w:sz="6" w:space="0" w:color="auto"/>
              <w:right w:val="single" w:sz="4" w:space="0" w:color="auto"/>
            </w:tcBorders>
            <w:vAlign w:val="center"/>
            <w:hideMark/>
          </w:tcPr>
          <w:p w:rsidR="00954CD8" w:rsidRPr="007F7A4C" w:rsidRDefault="00954CD8" w:rsidP="00137D7A">
            <w:pPr>
              <w:spacing w:after="0"/>
              <w:jc w:val="center"/>
              <w:rPr>
                <w:rFonts w:cs="Arial"/>
                <w:b/>
                <w:color w:val="000000"/>
                <w:sz w:val="20"/>
                <w:szCs w:val="20"/>
                <w:lang w:eastAsia="cs-CZ"/>
              </w:rPr>
            </w:pPr>
            <w:r w:rsidRPr="007F7A4C">
              <w:rPr>
                <w:rFonts w:cs="Arial"/>
                <w:b/>
                <w:color w:val="000000"/>
                <w:sz w:val="20"/>
                <w:szCs w:val="20"/>
                <w:lang w:eastAsia="cs-CZ"/>
              </w:rPr>
              <w:t xml:space="preserve">Částka </w:t>
            </w:r>
            <w:r w:rsidR="002C671F">
              <w:rPr>
                <w:rFonts w:cs="Arial"/>
                <w:b/>
                <w:color w:val="000000"/>
                <w:sz w:val="20"/>
                <w:szCs w:val="20"/>
                <w:lang w:eastAsia="cs-CZ"/>
              </w:rPr>
              <w:t>s </w:t>
            </w:r>
            <w:r w:rsidRPr="007F7A4C">
              <w:rPr>
                <w:rFonts w:cs="Arial"/>
                <w:b/>
                <w:color w:val="000000"/>
                <w:sz w:val="20"/>
                <w:szCs w:val="20"/>
                <w:lang w:eastAsia="cs-CZ"/>
              </w:rPr>
              <w:t>DPH v Kč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double" w:sz="6" w:space="0" w:color="auto"/>
              <w:right w:val="single" w:sz="4" w:space="0" w:color="auto"/>
            </w:tcBorders>
            <w:vAlign w:val="center"/>
            <w:hideMark/>
          </w:tcPr>
          <w:p w:rsidR="00954CD8" w:rsidRPr="007F7A4C" w:rsidRDefault="00954CD8" w:rsidP="00137D7A">
            <w:pPr>
              <w:spacing w:after="0"/>
              <w:jc w:val="center"/>
              <w:rPr>
                <w:rFonts w:cs="Arial"/>
                <w:b/>
                <w:color w:val="000000"/>
                <w:sz w:val="20"/>
                <w:szCs w:val="20"/>
                <w:lang w:eastAsia="cs-CZ"/>
              </w:rPr>
            </w:pPr>
            <w:r w:rsidRPr="007F7A4C">
              <w:rPr>
                <w:rFonts w:cs="Arial"/>
                <w:b/>
                <w:color w:val="000000"/>
                <w:sz w:val="20"/>
                <w:szCs w:val="20"/>
                <w:lang w:eastAsia="cs-CZ"/>
              </w:rPr>
              <w:t>Podpis smlouvy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double" w:sz="6" w:space="0" w:color="auto"/>
              <w:right w:val="single" w:sz="4" w:space="0" w:color="auto"/>
            </w:tcBorders>
            <w:vAlign w:val="center"/>
          </w:tcPr>
          <w:p w:rsidR="00954CD8" w:rsidRPr="007F7A4C" w:rsidRDefault="00954CD8" w:rsidP="009070BF">
            <w:pPr>
              <w:spacing w:after="0"/>
              <w:jc w:val="center"/>
              <w:rPr>
                <w:rFonts w:cs="Arial"/>
                <w:b/>
                <w:color w:val="000000"/>
                <w:sz w:val="20"/>
                <w:szCs w:val="20"/>
                <w:lang w:eastAsia="cs-CZ"/>
              </w:rPr>
            </w:pPr>
            <w:r w:rsidRPr="007F7A4C">
              <w:rPr>
                <w:rFonts w:cs="Arial"/>
                <w:b/>
                <w:color w:val="000000"/>
                <w:sz w:val="20"/>
                <w:szCs w:val="20"/>
                <w:lang w:eastAsia="cs-CZ"/>
              </w:rPr>
              <w:t>Zdroj financování</w:t>
            </w:r>
          </w:p>
        </w:tc>
      </w:tr>
      <w:tr w:rsidR="00954CD8" w:rsidRPr="00B6654E" w:rsidTr="00137D7A">
        <w:trPr>
          <w:trHeight w:val="515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4CD8" w:rsidRPr="00DD36BC" w:rsidRDefault="00954CD8" w:rsidP="00137D7A">
            <w:pPr>
              <w:spacing w:after="0"/>
              <w:jc w:val="center"/>
              <w:rPr>
                <w:rFonts w:cs="Arial"/>
                <w:color w:val="000000"/>
                <w:lang w:eastAsia="cs-CZ"/>
              </w:rPr>
            </w:pPr>
            <w:r w:rsidRPr="00DD36BC">
              <w:rPr>
                <w:rFonts w:cs="Arial"/>
                <w:color w:val="000000"/>
                <w:lang w:eastAsia="cs-CZ"/>
              </w:rPr>
              <w:t>1.</w:t>
            </w:r>
          </w:p>
        </w:tc>
        <w:tc>
          <w:tcPr>
            <w:tcW w:w="4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4CD8" w:rsidRPr="00DD36BC" w:rsidRDefault="00954CD8" w:rsidP="003C5706">
            <w:pPr>
              <w:spacing w:after="0"/>
              <w:jc w:val="left"/>
              <w:rPr>
                <w:rFonts w:cs="Arial"/>
                <w:color w:val="000000"/>
                <w:sz w:val="20"/>
                <w:szCs w:val="20"/>
                <w:lang w:eastAsia="cs-CZ"/>
              </w:rPr>
            </w:pPr>
            <w:r w:rsidRPr="00DD36BC">
              <w:rPr>
                <w:rFonts w:cs="Arial"/>
                <w:color w:val="000000"/>
                <w:sz w:val="20"/>
                <w:szCs w:val="20"/>
                <w:lang w:eastAsia="cs-CZ"/>
              </w:rPr>
              <w:t>Zpracování kategorizace a standardizace komodit vhodných pro zadávání prostřednictvím e-tržišť (4652)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4CD8" w:rsidRPr="00165992" w:rsidRDefault="00954CD8" w:rsidP="00137D7A">
            <w:pPr>
              <w:spacing w:after="0"/>
              <w:jc w:val="right"/>
              <w:rPr>
                <w:rFonts w:cs="Arial"/>
                <w:color w:val="000000"/>
                <w:sz w:val="20"/>
                <w:szCs w:val="20"/>
                <w:lang w:eastAsia="cs-CZ"/>
              </w:rPr>
            </w:pPr>
            <w:r w:rsidRPr="00165992">
              <w:rPr>
                <w:rFonts w:cs="Arial"/>
                <w:color w:val="000000"/>
                <w:sz w:val="20"/>
                <w:szCs w:val="20"/>
                <w:lang w:eastAsia="cs-CZ"/>
              </w:rPr>
              <w:t>1 188 000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4CD8" w:rsidRPr="00165992" w:rsidRDefault="00954CD8" w:rsidP="00137D7A">
            <w:pPr>
              <w:spacing w:after="0"/>
              <w:jc w:val="right"/>
              <w:rPr>
                <w:rFonts w:cs="Arial"/>
                <w:color w:val="000000"/>
                <w:sz w:val="20"/>
                <w:szCs w:val="20"/>
                <w:lang w:eastAsia="cs-CZ"/>
              </w:rPr>
            </w:pPr>
            <w:r w:rsidRPr="00165992">
              <w:rPr>
                <w:rFonts w:cs="Arial"/>
                <w:color w:val="000000"/>
                <w:sz w:val="20"/>
                <w:szCs w:val="20"/>
                <w:lang w:eastAsia="cs-CZ"/>
              </w:rPr>
              <w:t>19. 4. 2010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54CD8" w:rsidRPr="00165992" w:rsidRDefault="00954CD8" w:rsidP="003C5706">
            <w:pPr>
              <w:spacing w:after="0"/>
              <w:ind w:left="213" w:right="-70"/>
              <w:jc w:val="left"/>
              <w:rPr>
                <w:rFonts w:cs="Arial"/>
                <w:color w:val="000000"/>
                <w:sz w:val="20"/>
                <w:szCs w:val="20"/>
                <w:lang w:eastAsia="cs-CZ"/>
              </w:rPr>
            </w:pPr>
            <w:r w:rsidRPr="00165992">
              <w:rPr>
                <w:rFonts w:cs="Arial"/>
                <w:color w:val="000000"/>
                <w:sz w:val="20"/>
                <w:szCs w:val="20"/>
                <w:lang w:eastAsia="cs-CZ"/>
              </w:rPr>
              <w:t>IOP</w:t>
            </w:r>
            <w:r>
              <w:rPr>
                <w:rFonts w:cs="Arial"/>
                <w:color w:val="000000"/>
                <w:sz w:val="20"/>
                <w:szCs w:val="20"/>
                <w:lang w:eastAsia="cs-CZ"/>
              </w:rPr>
              <w:t>*</w:t>
            </w:r>
          </w:p>
        </w:tc>
      </w:tr>
      <w:tr w:rsidR="00954CD8" w:rsidRPr="00B6654E" w:rsidTr="003B1C69">
        <w:trPr>
          <w:trHeight w:val="406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4CD8" w:rsidRPr="00DD36BC" w:rsidRDefault="00954CD8" w:rsidP="00137D7A">
            <w:pPr>
              <w:spacing w:after="0"/>
              <w:jc w:val="center"/>
              <w:rPr>
                <w:rFonts w:cs="Arial"/>
                <w:color w:val="000000"/>
                <w:lang w:eastAsia="cs-CZ"/>
              </w:rPr>
            </w:pPr>
            <w:r w:rsidRPr="00DD36BC">
              <w:rPr>
                <w:rFonts w:cs="Arial"/>
                <w:color w:val="000000"/>
                <w:lang w:eastAsia="cs-CZ"/>
              </w:rPr>
              <w:t>2.</w:t>
            </w:r>
          </w:p>
        </w:tc>
        <w:tc>
          <w:tcPr>
            <w:tcW w:w="4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4CD8" w:rsidRPr="00DD36BC" w:rsidRDefault="00954CD8" w:rsidP="003C5706">
            <w:pPr>
              <w:spacing w:after="0"/>
              <w:jc w:val="left"/>
              <w:rPr>
                <w:rFonts w:cs="Arial"/>
                <w:color w:val="000000"/>
                <w:sz w:val="20"/>
                <w:szCs w:val="20"/>
                <w:lang w:eastAsia="cs-CZ"/>
              </w:rPr>
            </w:pPr>
            <w:r w:rsidRPr="00DD36BC">
              <w:rPr>
                <w:rFonts w:cs="Arial"/>
                <w:color w:val="000000"/>
                <w:sz w:val="20"/>
                <w:szCs w:val="20"/>
                <w:lang w:eastAsia="cs-CZ"/>
              </w:rPr>
              <w:t>Zpracování technické specifikace pro e-tržiště (4671)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4CD8" w:rsidRPr="00165992" w:rsidRDefault="00954CD8" w:rsidP="00137D7A">
            <w:pPr>
              <w:spacing w:after="0"/>
              <w:jc w:val="right"/>
              <w:rPr>
                <w:rFonts w:cs="Arial"/>
                <w:color w:val="000000"/>
                <w:sz w:val="20"/>
                <w:szCs w:val="20"/>
                <w:lang w:eastAsia="cs-CZ"/>
              </w:rPr>
            </w:pPr>
            <w:r w:rsidRPr="00165992">
              <w:rPr>
                <w:rFonts w:cs="Arial"/>
                <w:color w:val="000000"/>
                <w:sz w:val="20"/>
                <w:szCs w:val="20"/>
                <w:lang w:eastAsia="cs-CZ"/>
              </w:rPr>
              <w:t>3 540 000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4CD8" w:rsidRPr="00165992" w:rsidRDefault="00954CD8" w:rsidP="00137D7A">
            <w:pPr>
              <w:spacing w:after="0"/>
              <w:jc w:val="right"/>
              <w:rPr>
                <w:rFonts w:cs="Arial"/>
                <w:color w:val="000000"/>
                <w:sz w:val="20"/>
                <w:szCs w:val="20"/>
                <w:lang w:eastAsia="cs-CZ"/>
              </w:rPr>
            </w:pPr>
            <w:r w:rsidRPr="00165992">
              <w:rPr>
                <w:rFonts w:cs="Arial"/>
                <w:color w:val="000000"/>
                <w:sz w:val="20"/>
                <w:szCs w:val="20"/>
                <w:lang w:eastAsia="cs-CZ"/>
              </w:rPr>
              <w:t>25. 5. 2010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54CD8" w:rsidRPr="00165992" w:rsidRDefault="00954CD8" w:rsidP="003C5706">
            <w:pPr>
              <w:spacing w:after="0"/>
              <w:ind w:left="213" w:right="-70"/>
              <w:jc w:val="left"/>
              <w:rPr>
                <w:rFonts w:cs="Arial"/>
                <w:color w:val="000000"/>
                <w:sz w:val="20"/>
                <w:szCs w:val="20"/>
                <w:lang w:eastAsia="cs-CZ"/>
              </w:rPr>
            </w:pPr>
            <w:r w:rsidRPr="00165992">
              <w:rPr>
                <w:rFonts w:cs="Arial"/>
                <w:color w:val="000000"/>
                <w:sz w:val="20"/>
                <w:szCs w:val="20"/>
                <w:lang w:eastAsia="cs-CZ"/>
              </w:rPr>
              <w:t>IOP</w:t>
            </w:r>
          </w:p>
        </w:tc>
      </w:tr>
      <w:tr w:rsidR="00954CD8" w:rsidRPr="00B6654E" w:rsidTr="00137D7A">
        <w:trPr>
          <w:trHeight w:val="515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4CD8" w:rsidRPr="00DD36BC" w:rsidRDefault="00954CD8" w:rsidP="00137D7A">
            <w:pPr>
              <w:spacing w:after="0"/>
              <w:jc w:val="center"/>
              <w:rPr>
                <w:rFonts w:cs="Arial"/>
                <w:color w:val="000000"/>
                <w:lang w:eastAsia="cs-CZ"/>
              </w:rPr>
            </w:pPr>
            <w:r w:rsidRPr="00DD36BC">
              <w:rPr>
                <w:rFonts w:cs="Arial"/>
                <w:color w:val="000000"/>
                <w:lang w:eastAsia="cs-CZ"/>
              </w:rPr>
              <w:t>3.</w:t>
            </w:r>
          </w:p>
        </w:tc>
        <w:tc>
          <w:tcPr>
            <w:tcW w:w="4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4CD8" w:rsidRPr="00DD36BC" w:rsidRDefault="00954CD8" w:rsidP="003C5706">
            <w:pPr>
              <w:spacing w:after="0"/>
              <w:jc w:val="left"/>
              <w:rPr>
                <w:rFonts w:cs="Arial"/>
                <w:color w:val="000000"/>
                <w:sz w:val="20"/>
                <w:szCs w:val="20"/>
                <w:lang w:eastAsia="cs-CZ"/>
              </w:rPr>
            </w:pPr>
            <w:r w:rsidRPr="00DD36BC">
              <w:rPr>
                <w:rFonts w:cs="Arial"/>
                <w:color w:val="000000"/>
                <w:sz w:val="20"/>
                <w:szCs w:val="20"/>
                <w:lang w:eastAsia="cs-CZ"/>
              </w:rPr>
              <w:t>Příprava podkladů zadávacích podmínek pro výběr provozovatelů e-tržišť (4699)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54CD8" w:rsidRPr="00165992" w:rsidRDefault="00954CD8" w:rsidP="00137D7A">
            <w:pPr>
              <w:spacing w:after="0"/>
              <w:jc w:val="right"/>
              <w:rPr>
                <w:rFonts w:cs="Arial"/>
                <w:color w:val="000000"/>
                <w:sz w:val="20"/>
                <w:szCs w:val="20"/>
                <w:lang w:eastAsia="cs-CZ"/>
              </w:rPr>
            </w:pPr>
            <w:r w:rsidRPr="00165992">
              <w:rPr>
                <w:rFonts w:cs="Arial"/>
                <w:color w:val="000000"/>
                <w:sz w:val="20"/>
                <w:szCs w:val="20"/>
                <w:lang w:eastAsia="cs-CZ"/>
              </w:rPr>
              <w:t>2 040 000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54CD8" w:rsidRPr="00165992" w:rsidRDefault="00954CD8" w:rsidP="00137D7A">
            <w:pPr>
              <w:spacing w:after="0"/>
              <w:jc w:val="right"/>
              <w:rPr>
                <w:rFonts w:cs="Arial"/>
                <w:color w:val="000000"/>
                <w:sz w:val="20"/>
                <w:szCs w:val="20"/>
                <w:lang w:eastAsia="cs-CZ"/>
              </w:rPr>
            </w:pPr>
            <w:r w:rsidRPr="00165992">
              <w:rPr>
                <w:rFonts w:cs="Arial"/>
                <w:color w:val="000000"/>
                <w:sz w:val="20"/>
                <w:szCs w:val="20"/>
                <w:lang w:eastAsia="cs-CZ"/>
              </w:rPr>
              <w:t>20. 8. 2010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54CD8" w:rsidRPr="00165992" w:rsidRDefault="00954CD8" w:rsidP="003C5706">
            <w:pPr>
              <w:spacing w:after="0"/>
              <w:ind w:left="213" w:right="-70"/>
              <w:jc w:val="left"/>
              <w:rPr>
                <w:rFonts w:cs="Arial"/>
                <w:color w:val="000000"/>
                <w:sz w:val="20"/>
                <w:szCs w:val="20"/>
                <w:lang w:eastAsia="cs-CZ"/>
              </w:rPr>
            </w:pPr>
            <w:r w:rsidRPr="00165992">
              <w:rPr>
                <w:rFonts w:cs="Arial"/>
                <w:color w:val="000000"/>
                <w:sz w:val="20"/>
                <w:szCs w:val="20"/>
                <w:lang w:eastAsia="cs-CZ"/>
              </w:rPr>
              <w:t>IOP</w:t>
            </w:r>
          </w:p>
        </w:tc>
      </w:tr>
      <w:tr w:rsidR="00954CD8" w:rsidRPr="00B6654E" w:rsidTr="003B1C69">
        <w:trPr>
          <w:trHeight w:val="335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4CD8" w:rsidRPr="00DD36BC" w:rsidRDefault="00954CD8" w:rsidP="00137D7A">
            <w:pPr>
              <w:spacing w:after="0"/>
              <w:jc w:val="center"/>
              <w:rPr>
                <w:rFonts w:cs="Arial"/>
              </w:rPr>
            </w:pPr>
            <w:r w:rsidRPr="00DD36BC">
              <w:rPr>
                <w:rFonts w:cs="Arial"/>
              </w:rPr>
              <w:t>4.</w:t>
            </w:r>
          </w:p>
        </w:tc>
        <w:tc>
          <w:tcPr>
            <w:tcW w:w="4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4CD8" w:rsidRPr="00DD36BC" w:rsidRDefault="00954CD8" w:rsidP="003C5706">
            <w:pPr>
              <w:spacing w:after="0"/>
              <w:jc w:val="left"/>
              <w:rPr>
                <w:rFonts w:cs="Arial"/>
                <w:color w:val="000000"/>
                <w:sz w:val="20"/>
                <w:szCs w:val="20"/>
                <w:lang w:eastAsia="cs-CZ"/>
              </w:rPr>
            </w:pPr>
            <w:r w:rsidRPr="00DD36BC">
              <w:rPr>
                <w:rFonts w:cs="Arial"/>
                <w:sz w:val="20"/>
                <w:szCs w:val="20"/>
              </w:rPr>
              <w:t>Mandátní smlouva (4797)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54CD8" w:rsidRPr="00165992" w:rsidRDefault="00954CD8" w:rsidP="00137D7A">
            <w:pPr>
              <w:spacing w:after="0"/>
              <w:jc w:val="right"/>
              <w:rPr>
                <w:rFonts w:cs="Arial"/>
                <w:color w:val="000000"/>
                <w:sz w:val="20"/>
                <w:szCs w:val="20"/>
                <w:lang w:eastAsia="cs-CZ"/>
              </w:rPr>
            </w:pPr>
            <w:r w:rsidRPr="00165992">
              <w:rPr>
                <w:rFonts w:cs="Arial"/>
                <w:sz w:val="20"/>
                <w:szCs w:val="20"/>
              </w:rPr>
              <w:t>588 000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54CD8" w:rsidRPr="00165992" w:rsidRDefault="00954CD8" w:rsidP="00137D7A">
            <w:pPr>
              <w:spacing w:after="0"/>
              <w:jc w:val="right"/>
              <w:rPr>
                <w:rFonts w:cs="Arial"/>
                <w:color w:val="000000"/>
                <w:sz w:val="20"/>
                <w:szCs w:val="20"/>
                <w:lang w:eastAsia="cs-CZ"/>
              </w:rPr>
            </w:pPr>
            <w:r w:rsidRPr="00165992">
              <w:rPr>
                <w:rFonts w:cs="Arial"/>
                <w:color w:val="000000"/>
                <w:sz w:val="20"/>
                <w:szCs w:val="20"/>
                <w:lang w:eastAsia="cs-CZ"/>
              </w:rPr>
              <w:t>22. 2. 2011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54CD8" w:rsidRPr="00165992" w:rsidRDefault="00954CD8" w:rsidP="003C5706">
            <w:pPr>
              <w:spacing w:after="0"/>
              <w:ind w:left="213" w:right="-70"/>
              <w:jc w:val="left"/>
              <w:rPr>
                <w:rFonts w:cs="Arial"/>
                <w:color w:val="000000"/>
                <w:sz w:val="20"/>
                <w:szCs w:val="20"/>
                <w:lang w:eastAsia="cs-CZ"/>
              </w:rPr>
            </w:pPr>
            <w:r w:rsidRPr="00165992">
              <w:rPr>
                <w:rFonts w:cs="Arial"/>
                <w:color w:val="000000"/>
                <w:sz w:val="20"/>
                <w:szCs w:val="20"/>
                <w:lang w:eastAsia="cs-CZ"/>
              </w:rPr>
              <w:t>SR</w:t>
            </w:r>
            <w:r>
              <w:rPr>
                <w:rFonts w:cs="Arial"/>
                <w:color w:val="000000"/>
                <w:sz w:val="20"/>
                <w:szCs w:val="20"/>
                <w:lang w:eastAsia="cs-CZ"/>
              </w:rPr>
              <w:t>**</w:t>
            </w:r>
          </w:p>
        </w:tc>
      </w:tr>
      <w:tr w:rsidR="00954CD8" w:rsidRPr="00B6654E" w:rsidTr="00137D7A">
        <w:trPr>
          <w:trHeight w:val="772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4CD8" w:rsidRPr="00DD36BC" w:rsidRDefault="00954CD8" w:rsidP="00137D7A">
            <w:pPr>
              <w:spacing w:after="0"/>
              <w:jc w:val="center"/>
              <w:rPr>
                <w:rFonts w:cs="Arial"/>
                <w:color w:val="000000"/>
                <w:lang w:eastAsia="cs-CZ"/>
              </w:rPr>
            </w:pPr>
            <w:r w:rsidRPr="00DD36BC">
              <w:rPr>
                <w:rFonts w:cs="Arial"/>
                <w:color w:val="000000"/>
                <w:lang w:eastAsia="cs-CZ"/>
              </w:rPr>
              <w:t>5.</w:t>
            </w:r>
          </w:p>
        </w:tc>
        <w:tc>
          <w:tcPr>
            <w:tcW w:w="4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4CD8" w:rsidRPr="00DD36BC" w:rsidRDefault="00954CD8" w:rsidP="003C5706">
            <w:pPr>
              <w:spacing w:after="0"/>
              <w:jc w:val="left"/>
              <w:rPr>
                <w:rFonts w:cs="Arial"/>
                <w:color w:val="000000"/>
                <w:sz w:val="20"/>
                <w:szCs w:val="20"/>
                <w:lang w:eastAsia="cs-CZ"/>
              </w:rPr>
            </w:pPr>
            <w:r w:rsidRPr="00DD36BC">
              <w:rPr>
                <w:rFonts w:cs="Arial"/>
                <w:color w:val="000000"/>
                <w:sz w:val="20"/>
                <w:szCs w:val="20"/>
                <w:lang w:eastAsia="cs-CZ"/>
              </w:rPr>
              <w:t xml:space="preserve">Příprava legislativy </w:t>
            </w:r>
            <w:r w:rsidR="002C671F">
              <w:rPr>
                <w:rFonts w:cs="Arial"/>
                <w:color w:val="000000"/>
                <w:sz w:val="20"/>
                <w:szCs w:val="20"/>
                <w:lang w:eastAsia="cs-CZ"/>
              </w:rPr>
              <w:t>v </w:t>
            </w:r>
            <w:r w:rsidRPr="00DD36BC">
              <w:rPr>
                <w:rFonts w:cs="Arial"/>
                <w:color w:val="000000"/>
                <w:sz w:val="20"/>
                <w:szCs w:val="20"/>
                <w:lang w:eastAsia="cs-CZ"/>
              </w:rPr>
              <w:t xml:space="preserve">souvislosti </w:t>
            </w:r>
            <w:r w:rsidR="002C671F">
              <w:rPr>
                <w:rFonts w:cs="Arial"/>
                <w:color w:val="000000"/>
                <w:sz w:val="20"/>
                <w:szCs w:val="20"/>
                <w:lang w:eastAsia="cs-CZ"/>
              </w:rPr>
              <w:t>s </w:t>
            </w:r>
            <w:r w:rsidRPr="00DD36BC">
              <w:rPr>
                <w:rFonts w:cs="Arial"/>
                <w:color w:val="000000"/>
                <w:sz w:val="20"/>
                <w:szCs w:val="20"/>
                <w:lang w:eastAsia="cs-CZ"/>
              </w:rPr>
              <w:t>e-tržišti, národním elektronickým nástrojem, případně dalšími moduly a</w:t>
            </w:r>
            <w:r w:rsidR="003C5706">
              <w:rPr>
                <w:rFonts w:cs="Arial"/>
                <w:color w:val="000000"/>
                <w:sz w:val="20"/>
                <w:szCs w:val="20"/>
                <w:lang w:eastAsia="cs-CZ"/>
              </w:rPr>
              <w:t> </w:t>
            </w:r>
            <w:r w:rsidRPr="00DD36BC">
              <w:rPr>
                <w:rFonts w:cs="Arial"/>
                <w:color w:val="000000"/>
                <w:sz w:val="20"/>
                <w:szCs w:val="20"/>
                <w:lang w:eastAsia="cs-CZ"/>
              </w:rPr>
              <w:t>částmi NIPEZ (4818)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54CD8" w:rsidRPr="00165992" w:rsidRDefault="00954CD8" w:rsidP="00137D7A">
            <w:pPr>
              <w:spacing w:after="0"/>
              <w:jc w:val="right"/>
              <w:rPr>
                <w:rFonts w:cs="Arial"/>
                <w:color w:val="000000"/>
                <w:sz w:val="20"/>
                <w:szCs w:val="20"/>
                <w:lang w:eastAsia="cs-CZ"/>
              </w:rPr>
            </w:pPr>
            <w:r w:rsidRPr="00165992">
              <w:rPr>
                <w:rFonts w:cs="Arial"/>
                <w:color w:val="000000"/>
                <w:sz w:val="20"/>
                <w:szCs w:val="20"/>
                <w:lang w:eastAsia="cs-CZ"/>
              </w:rPr>
              <w:t>3 120 000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54CD8" w:rsidRPr="00165992" w:rsidRDefault="00954CD8" w:rsidP="00137D7A">
            <w:pPr>
              <w:spacing w:after="0"/>
              <w:jc w:val="right"/>
              <w:rPr>
                <w:rFonts w:cs="Arial"/>
                <w:color w:val="000000"/>
                <w:sz w:val="20"/>
                <w:szCs w:val="20"/>
                <w:lang w:eastAsia="cs-CZ"/>
              </w:rPr>
            </w:pPr>
            <w:r w:rsidRPr="00165992">
              <w:rPr>
                <w:rFonts w:cs="Arial"/>
                <w:color w:val="000000"/>
                <w:sz w:val="20"/>
                <w:szCs w:val="20"/>
                <w:lang w:eastAsia="cs-CZ"/>
              </w:rPr>
              <w:t>26. 4. 2011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54CD8" w:rsidRPr="00165992" w:rsidRDefault="00954CD8" w:rsidP="003C5706">
            <w:pPr>
              <w:spacing w:after="0"/>
              <w:ind w:left="213" w:right="-70"/>
              <w:jc w:val="left"/>
              <w:rPr>
                <w:rFonts w:cs="Arial"/>
                <w:color w:val="000000"/>
                <w:sz w:val="20"/>
                <w:szCs w:val="20"/>
                <w:lang w:eastAsia="cs-CZ"/>
              </w:rPr>
            </w:pPr>
            <w:r w:rsidRPr="00165992">
              <w:rPr>
                <w:rFonts w:cs="Arial"/>
                <w:color w:val="000000"/>
                <w:sz w:val="20"/>
                <w:szCs w:val="20"/>
                <w:lang w:eastAsia="cs-CZ"/>
              </w:rPr>
              <w:t>IOP</w:t>
            </w:r>
          </w:p>
        </w:tc>
      </w:tr>
      <w:tr w:rsidR="00954CD8" w:rsidRPr="00B6654E" w:rsidTr="003B1C69">
        <w:trPr>
          <w:trHeight w:val="465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4CD8" w:rsidRPr="00DD36BC" w:rsidRDefault="00954CD8" w:rsidP="00137D7A">
            <w:pPr>
              <w:spacing w:after="0"/>
              <w:jc w:val="center"/>
              <w:rPr>
                <w:rFonts w:cs="Arial"/>
                <w:color w:val="000000"/>
                <w:lang w:eastAsia="cs-CZ"/>
              </w:rPr>
            </w:pPr>
            <w:r w:rsidRPr="00DD36BC">
              <w:rPr>
                <w:rFonts w:cs="Arial"/>
                <w:color w:val="000000"/>
                <w:lang w:eastAsia="cs-CZ"/>
              </w:rPr>
              <w:t>6.</w:t>
            </w:r>
          </w:p>
        </w:tc>
        <w:tc>
          <w:tcPr>
            <w:tcW w:w="4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4CD8" w:rsidRPr="00DD36BC" w:rsidRDefault="00954CD8" w:rsidP="003C5706">
            <w:pPr>
              <w:spacing w:after="0"/>
              <w:jc w:val="left"/>
              <w:rPr>
                <w:rFonts w:cs="Arial"/>
                <w:color w:val="000000"/>
                <w:sz w:val="20"/>
                <w:szCs w:val="20"/>
                <w:lang w:eastAsia="cs-CZ"/>
              </w:rPr>
            </w:pPr>
            <w:r w:rsidRPr="00DD36BC">
              <w:rPr>
                <w:rFonts w:cs="Arial"/>
                <w:color w:val="000000"/>
                <w:sz w:val="20"/>
                <w:szCs w:val="20"/>
                <w:lang w:eastAsia="cs-CZ"/>
              </w:rPr>
              <w:t>Vytvoření podrobné koncepce systému vzdělávání (4821)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54CD8" w:rsidRPr="00165992" w:rsidRDefault="00954CD8" w:rsidP="00137D7A">
            <w:pPr>
              <w:spacing w:after="0"/>
              <w:jc w:val="right"/>
              <w:rPr>
                <w:rFonts w:cs="Arial"/>
                <w:color w:val="000000"/>
                <w:sz w:val="20"/>
                <w:szCs w:val="20"/>
                <w:lang w:eastAsia="cs-CZ"/>
              </w:rPr>
            </w:pPr>
            <w:r w:rsidRPr="00165992">
              <w:rPr>
                <w:rFonts w:cs="Arial"/>
                <w:color w:val="000000"/>
                <w:sz w:val="20"/>
                <w:szCs w:val="20"/>
                <w:lang w:eastAsia="cs-CZ"/>
              </w:rPr>
              <w:t>948 000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54CD8" w:rsidRPr="00165992" w:rsidRDefault="00954CD8" w:rsidP="00137D7A">
            <w:pPr>
              <w:spacing w:after="0"/>
              <w:jc w:val="right"/>
              <w:rPr>
                <w:rFonts w:cs="Arial"/>
                <w:color w:val="000000"/>
                <w:sz w:val="20"/>
                <w:szCs w:val="20"/>
                <w:lang w:eastAsia="cs-CZ"/>
              </w:rPr>
            </w:pPr>
            <w:r w:rsidRPr="00165992">
              <w:rPr>
                <w:rFonts w:cs="Arial"/>
                <w:color w:val="000000"/>
                <w:sz w:val="20"/>
                <w:szCs w:val="20"/>
                <w:lang w:eastAsia="cs-CZ"/>
              </w:rPr>
              <w:t>16. 5. 2011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54CD8" w:rsidRPr="00165992" w:rsidRDefault="00954CD8" w:rsidP="003C5706">
            <w:pPr>
              <w:spacing w:after="0"/>
              <w:ind w:left="213" w:right="-70"/>
              <w:jc w:val="left"/>
              <w:rPr>
                <w:rFonts w:cs="Arial"/>
                <w:color w:val="000000"/>
                <w:sz w:val="20"/>
                <w:szCs w:val="20"/>
                <w:lang w:eastAsia="cs-CZ"/>
              </w:rPr>
            </w:pPr>
            <w:r w:rsidRPr="00165992">
              <w:rPr>
                <w:rFonts w:cs="Arial"/>
                <w:color w:val="000000"/>
                <w:sz w:val="20"/>
                <w:szCs w:val="20"/>
                <w:lang w:eastAsia="cs-CZ"/>
              </w:rPr>
              <w:t>OP LZZ</w:t>
            </w:r>
            <w:r w:rsidR="003C5706">
              <w:rPr>
                <w:rFonts w:cs="Arial"/>
                <w:color w:val="000000"/>
                <w:sz w:val="20"/>
                <w:szCs w:val="20"/>
                <w:lang w:eastAsia="cs-CZ"/>
              </w:rPr>
              <w:t>***</w:t>
            </w:r>
          </w:p>
        </w:tc>
      </w:tr>
      <w:tr w:rsidR="00954CD8" w:rsidRPr="00B6654E" w:rsidTr="00137D7A">
        <w:trPr>
          <w:trHeight w:val="515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4CD8" w:rsidRPr="00DD36BC" w:rsidRDefault="00954CD8" w:rsidP="00137D7A">
            <w:pPr>
              <w:spacing w:after="0"/>
              <w:jc w:val="center"/>
              <w:rPr>
                <w:rFonts w:cs="Arial"/>
                <w:color w:val="000000"/>
                <w:lang w:eastAsia="cs-CZ"/>
              </w:rPr>
            </w:pPr>
            <w:r w:rsidRPr="00DD36BC">
              <w:rPr>
                <w:rFonts w:cs="Arial"/>
                <w:color w:val="000000"/>
                <w:lang w:eastAsia="cs-CZ"/>
              </w:rPr>
              <w:t>7.</w:t>
            </w:r>
          </w:p>
        </w:tc>
        <w:tc>
          <w:tcPr>
            <w:tcW w:w="4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4CD8" w:rsidRPr="00DD36BC" w:rsidRDefault="00954CD8" w:rsidP="003C5706">
            <w:pPr>
              <w:spacing w:after="0"/>
              <w:jc w:val="left"/>
              <w:rPr>
                <w:rFonts w:cs="Arial"/>
                <w:color w:val="000000"/>
                <w:sz w:val="20"/>
                <w:szCs w:val="20"/>
                <w:lang w:eastAsia="cs-CZ"/>
              </w:rPr>
            </w:pPr>
            <w:r w:rsidRPr="00DD36BC">
              <w:rPr>
                <w:rFonts w:cs="Arial"/>
                <w:color w:val="000000"/>
                <w:sz w:val="20"/>
                <w:szCs w:val="20"/>
                <w:lang w:eastAsia="cs-CZ"/>
              </w:rPr>
              <w:t>Zpracování kategorizace a standardizace pro ostatní komodity (4888)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54CD8" w:rsidRPr="00165992" w:rsidRDefault="00954CD8" w:rsidP="00137D7A">
            <w:pPr>
              <w:spacing w:after="0"/>
              <w:jc w:val="right"/>
              <w:rPr>
                <w:rFonts w:cs="Arial"/>
                <w:color w:val="000000"/>
                <w:sz w:val="20"/>
                <w:szCs w:val="20"/>
                <w:lang w:eastAsia="cs-CZ"/>
              </w:rPr>
            </w:pPr>
            <w:r w:rsidRPr="00165992">
              <w:rPr>
                <w:rFonts w:cs="Arial"/>
                <w:color w:val="000000"/>
                <w:sz w:val="20"/>
                <w:szCs w:val="20"/>
                <w:lang w:eastAsia="cs-CZ"/>
              </w:rPr>
              <w:t>15 480 000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54CD8" w:rsidRPr="00165992" w:rsidRDefault="00954CD8" w:rsidP="00137D7A">
            <w:pPr>
              <w:spacing w:after="0"/>
              <w:jc w:val="right"/>
              <w:rPr>
                <w:rFonts w:cs="Arial"/>
                <w:color w:val="000000"/>
                <w:sz w:val="20"/>
                <w:szCs w:val="20"/>
                <w:lang w:eastAsia="cs-CZ"/>
              </w:rPr>
            </w:pPr>
            <w:r w:rsidRPr="00165992">
              <w:rPr>
                <w:rFonts w:cs="Arial"/>
                <w:color w:val="000000"/>
                <w:sz w:val="20"/>
                <w:szCs w:val="20"/>
                <w:lang w:eastAsia="cs-CZ"/>
              </w:rPr>
              <w:t>11. 10. 2011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54CD8" w:rsidRPr="00165992" w:rsidRDefault="00954CD8" w:rsidP="003C5706">
            <w:pPr>
              <w:spacing w:after="0"/>
              <w:ind w:left="213" w:right="-70"/>
              <w:jc w:val="left"/>
              <w:rPr>
                <w:rFonts w:cs="Arial"/>
                <w:color w:val="000000"/>
                <w:sz w:val="20"/>
                <w:szCs w:val="20"/>
                <w:lang w:eastAsia="cs-CZ"/>
              </w:rPr>
            </w:pPr>
            <w:r w:rsidRPr="00165992">
              <w:rPr>
                <w:rFonts w:cs="Arial"/>
                <w:color w:val="000000"/>
                <w:sz w:val="20"/>
                <w:szCs w:val="20"/>
                <w:lang w:eastAsia="cs-CZ"/>
              </w:rPr>
              <w:t>IOP</w:t>
            </w:r>
          </w:p>
        </w:tc>
      </w:tr>
      <w:tr w:rsidR="00954CD8" w:rsidRPr="00B6654E" w:rsidTr="00137D7A">
        <w:trPr>
          <w:trHeight w:val="515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4CD8" w:rsidRPr="00DD36BC" w:rsidRDefault="00954CD8" w:rsidP="00137D7A">
            <w:pPr>
              <w:spacing w:after="0"/>
              <w:jc w:val="center"/>
              <w:rPr>
                <w:rFonts w:cs="Arial"/>
                <w:color w:val="000000"/>
                <w:lang w:eastAsia="cs-CZ"/>
              </w:rPr>
            </w:pPr>
            <w:r w:rsidRPr="00DD36BC">
              <w:rPr>
                <w:rFonts w:cs="Arial"/>
                <w:color w:val="000000"/>
                <w:lang w:eastAsia="cs-CZ"/>
              </w:rPr>
              <w:t>8.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4CD8" w:rsidRPr="00DD36BC" w:rsidRDefault="00954CD8" w:rsidP="003C5706">
            <w:pPr>
              <w:spacing w:after="0"/>
              <w:jc w:val="left"/>
              <w:rPr>
                <w:rFonts w:cs="Arial"/>
                <w:color w:val="000000"/>
                <w:sz w:val="20"/>
                <w:szCs w:val="20"/>
                <w:lang w:eastAsia="cs-CZ"/>
              </w:rPr>
            </w:pPr>
            <w:r w:rsidRPr="00DD36BC">
              <w:rPr>
                <w:rFonts w:cs="Arial"/>
                <w:color w:val="000000"/>
                <w:sz w:val="20"/>
                <w:szCs w:val="20"/>
                <w:lang w:eastAsia="cs-CZ"/>
              </w:rPr>
              <w:t>Realizace vzdělávacích kurzů pro uživatele nového systému e-tržišť (4897)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54CD8" w:rsidRPr="00165992" w:rsidRDefault="00954CD8" w:rsidP="00137D7A">
            <w:pPr>
              <w:spacing w:after="0"/>
              <w:jc w:val="right"/>
              <w:rPr>
                <w:rFonts w:cs="Arial"/>
                <w:color w:val="000000"/>
                <w:sz w:val="20"/>
                <w:szCs w:val="20"/>
                <w:lang w:eastAsia="cs-CZ"/>
              </w:rPr>
            </w:pPr>
            <w:r w:rsidRPr="00165992">
              <w:rPr>
                <w:rFonts w:cs="Arial"/>
                <w:color w:val="000000"/>
                <w:sz w:val="20"/>
                <w:szCs w:val="20"/>
                <w:lang w:eastAsia="cs-CZ"/>
              </w:rPr>
              <w:t>4 591 778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54CD8" w:rsidRPr="00165992" w:rsidRDefault="00954CD8" w:rsidP="00137D7A">
            <w:pPr>
              <w:spacing w:after="0"/>
              <w:jc w:val="right"/>
              <w:rPr>
                <w:rFonts w:cs="Arial"/>
                <w:color w:val="000000"/>
                <w:sz w:val="20"/>
                <w:szCs w:val="20"/>
                <w:lang w:eastAsia="cs-CZ"/>
              </w:rPr>
            </w:pPr>
            <w:r w:rsidRPr="00165992">
              <w:rPr>
                <w:rFonts w:cs="Arial"/>
                <w:color w:val="000000"/>
                <w:sz w:val="20"/>
                <w:szCs w:val="20"/>
                <w:lang w:eastAsia="cs-CZ"/>
              </w:rPr>
              <w:t>22. 11. 2011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54CD8" w:rsidRPr="00165992" w:rsidRDefault="00954CD8" w:rsidP="003C5706">
            <w:pPr>
              <w:spacing w:after="0"/>
              <w:ind w:left="213" w:right="-70"/>
              <w:jc w:val="left"/>
              <w:rPr>
                <w:rFonts w:cs="Arial"/>
                <w:color w:val="000000"/>
                <w:sz w:val="20"/>
                <w:szCs w:val="20"/>
                <w:lang w:eastAsia="cs-CZ"/>
              </w:rPr>
            </w:pPr>
            <w:r w:rsidRPr="00165992">
              <w:rPr>
                <w:rFonts w:cs="Arial"/>
                <w:color w:val="000000"/>
                <w:sz w:val="20"/>
                <w:szCs w:val="20"/>
                <w:lang w:eastAsia="cs-CZ"/>
              </w:rPr>
              <w:t>OP LZZ</w:t>
            </w:r>
          </w:p>
        </w:tc>
      </w:tr>
      <w:tr w:rsidR="00954CD8" w:rsidRPr="00B6654E" w:rsidTr="00137D7A">
        <w:trPr>
          <w:trHeight w:val="515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4CD8" w:rsidRPr="00DD36BC" w:rsidRDefault="00954CD8" w:rsidP="00137D7A">
            <w:pPr>
              <w:spacing w:after="0"/>
              <w:jc w:val="center"/>
              <w:rPr>
                <w:rFonts w:cs="Arial"/>
                <w:color w:val="000000"/>
                <w:lang w:eastAsia="cs-CZ"/>
              </w:rPr>
            </w:pPr>
            <w:r w:rsidRPr="00DD36BC">
              <w:rPr>
                <w:rFonts w:cs="Arial"/>
                <w:color w:val="000000"/>
                <w:lang w:eastAsia="cs-CZ"/>
              </w:rPr>
              <w:t>9</w:t>
            </w:r>
            <w:r w:rsidR="003C5706">
              <w:rPr>
                <w:rFonts w:cs="Arial"/>
                <w:color w:val="000000"/>
                <w:lang w:eastAsia="cs-CZ"/>
              </w:rPr>
              <w:t>.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4CD8" w:rsidRPr="00DD36BC" w:rsidRDefault="00954CD8" w:rsidP="003C5706">
            <w:pPr>
              <w:spacing w:after="0"/>
              <w:jc w:val="left"/>
              <w:rPr>
                <w:rFonts w:cs="Arial"/>
                <w:color w:val="000000"/>
                <w:sz w:val="20"/>
                <w:szCs w:val="20"/>
                <w:lang w:eastAsia="cs-CZ"/>
              </w:rPr>
            </w:pPr>
            <w:r w:rsidRPr="00DD36BC">
              <w:rPr>
                <w:rFonts w:cs="Arial"/>
                <w:color w:val="000000"/>
                <w:sz w:val="20"/>
                <w:szCs w:val="20"/>
                <w:lang w:eastAsia="cs-CZ"/>
              </w:rPr>
              <w:t xml:space="preserve">Ověření shody elektronického tržiště pro subjekty veřejné správy </w:t>
            </w:r>
            <w:r w:rsidR="002C671F">
              <w:rPr>
                <w:rFonts w:cs="Arial"/>
                <w:color w:val="000000"/>
                <w:sz w:val="20"/>
                <w:szCs w:val="20"/>
                <w:lang w:eastAsia="cs-CZ"/>
              </w:rPr>
              <w:t>s </w:t>
            </w:r>
            <w:r w:rsidRPr="00DD36BC">
              <w:rPr>
                <w:rFonts w:cs="Arial"/>
                <w:color w:val="000000"/>
                <w:sz w:val="20"/>
                <w:szCs w:val="20"/>
                <w:lang w:eastAsia="cs-CZ"/>
              </w:rPr>
              <w:t>Technickou specifikací před jeho zprovozněním (4983)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54CD8" w:rsidRPr="00165992" w:rsidRDefault="00954CD8" w:rsidP="00137D7A">
            <w:pPr>
              <w:spacing w:after="0"/>
              <w:jc w:val="right"/>
              <w:rPr>
                <w:rFonts w:cs="Arial"/>
                <w:color w:val="000000"/>
                <w:sz w:val="20"/>
                <w:szCs w:val="20"/>
                <w:lang w:eastAsia="cs-CZ"/>
              </w:rPr>
            </w:pPr>
            <w:r w:rsidRPr="00165992">
              <w:rPr>
                <w:rFonts w:cs="Arial"/>
                <w:color w:val="000000"/>
                <w:sz w:val="20"/>
                <w:szCs w:val="20"/>
                <w:lang w:eastAsia="cs-CZ"/>
              </w:rPr>
              <w:t>2 700 000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54CD8" w:rsidRPr="00165992" w:rsidRDefault="00954CD8" w:rsidP="00137D7A">
            <w:pPr>
              <w:spacing w:after="0"/>
              <w:jc w:val="right"/>
              <w:rPr>
                <w:rFonts w:cs="Arial"/>
                <w:color w:val="000000"/>
                <w:sz w:val="20"/>
                <w:szCs w:val="20"/>
                <w:lang w:eastAsia="cs-CZ"/>
              </w:rPr>
            </w:pPr>
            <w:r w:rsidRPr="00165992">
              <w:rPr>
                <w:rFonts w:cs="Arial"/>
                <w:color w:val="000000"/>
                <w:sz w:val="20"/>
                <w:szCs w:val="20"/>
                <w:lang w:eastAsia="cs-CZ"/>
              </w:rPr>
              <w:t>27. 2. 2012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54CD8" w:rsidRPr="00165992" w:rsidRDefault="00954CD8" w:rsidP="003C5706">
            <w:pPr>
              <w:spacing w:after="0"/>
              <w:ind w:left="213" w:right="-70"/>
              <w:jc w:val="left"/>
              <w:rPr>
                <w:rFonts w:cs="Arial"/>
                <w:color w:val="000000"/>
                <w:sz w:val="20"/>
                <w:szCs w:val="20"/>
                <w:lang w:eastAsia="cs-CZ"/>
              </w:rPr>
            </w:pPr>
            <w:r w:rsidRPr="00165992">
              <w:rPr>
                <w:rFonts w:cs="Arial"/>
                <w:color w:val="000000"/>
                <w:sz w:val="20"/>
                <w:szCs w:val="20"/>
                <w:lang w:eastAsia="cs-CZ"/>
              </w:rPr>
              <w:t>SR</w:t>
            </w:r>
          </w:p>
        </w:tc>
      </w:tr>
      <w:tr w:rsidR="00954CD8" w:rsidRPr="00B6654E" w:rsidTr="00137D7A">
        <w:trPr>
          <w:trHeight w:val="515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4CD8" w:rsidRPr="00DD36BC" w:rsidRDefault="00954CD8" w:rsidP="00137D7A">
            <w:pPr>
              <w:spacing w:after="0"/>
              <w:jc w:val="center"/>
              <w:rPr>
                <w:rFonts w:cs="Arial"/>
              </w:rPr>
            </w:pPr>
            <w:r w:rsidRPr="00DD36BC">
              <w:rPr>
                <w:rFonts w:cs="Arial"/>
              </w:rPr>
              <w:t>10.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4CD8" w:rsidRPr="00DD36BC" w:rsidRDefault="00954CD8" w:rsidP="003C5706">
            <w:pPr>
              <w:spacing w:after="0"/>
              <w:jc w:val="left"/>
              <w:rPr>
                <w:rFonts w:cs="Arial"/>
                <w:color w:val="000000"/>
                <w:sz w:val="20"/>
                <w:szCs w:val="20"/>
                <w:lang w:eastAsia="cs-CZ"/>
              </w:rPr>
            </w:pPr>
            <w:r w:rsidRPr="00DD36BC">
              <w:rPr>
                <w:rFonts w:cs="Arial"/>
                <w:sz w:val="20"/>
                <w:szCs w:val="20"/>
              </w:rPr>
              <w:t>Elektronická tržiště – revize a úprava klíčových dokumentů a koncesních vztahů v návaznosti na novelu zákona o veřejných zakázkách (CES 5004)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54CD8" w:rsidRPr="00165992" w:rsidRDefault="00954CD8" w:rsidP="00137D7A">
            <w:pPr>
              <w:spacing w:after="0"/>
              <w:jc w:val="right"/>
              <w:rPr>
                <w:rFonts w:cs="Arial"/>
                <w:color w:val="000000"/>
                <w:sz w:val="20"/>
                <w:szCs w:val="20"/>
                <w:lang w:eastAsia="cs-CZ"/>
              </w:rPr>
            </w:pPr>
            <w:r w:rsidRPr="00165992">
              <w:rPr>
                <w:rFonts w:cs="Arial"/>
                <w:sz w:val="20"/>
                <w:szCs w:val="20"/>
              </w:rPr>
              <w:t>573 600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54CD8" w:rsidRPr="00165992" w:rsidRDefault="00954CD8" w:rsidP="00137D7A">
            <w:pPr>
              <w:spacing w:after="0"/>
              <w:jc w:val="right"/>
              <w:rPr>
                <w:rFonts w:cs="Arial"/>
                <w:color w:val="000000"/>
                <w:sz w:val="20"/>
                <w:szCs w:val="20"/>
                <w:lang w:eastAsia="cs-CZ"/>
              </w:rPr>
            </w:pPr>
            <w:r w:rsidRPr="00165992">
              <w:rPr>
                <w:rFonts w:cs="Arial"/>
                <w:sz w:val="20"/>
                <w:szCs w:val="20"/>
              </w:rPr>
              <w:t>5. 4. 2012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54CD8" w:rsidRPr="00165992" w:rsidRDefault="00954CD8" w:rsidP="003C5706">
            <w:pPr>
              <w:spacing w:after="0"/>
              <w:ind w:left="213" w:right="-70"/>
              <w:jc w:val="left"/>
              <w:rPr>
                <w:rFonts w:cs="Arial"/>
                <w:sz w:val="20"/>
                <w:szCs w:val="20"/>
              </w:rPr>
            </w:pPr>
            <w:r w:rsidRPr="00165992">
              <w:rPr>
                <w:rFonts w:cs="Arial"/>
                <w:sz w:val="20"/>
                <w:szCs w:val="20"/>
              </w:rPr>
              <w:t>SR</w:t>
            </w:r>
          </w:p>
        </w:tc>
      </w:tr>
      <w:tr w:rsidR="00954CD8" w:rsidRPr="00B6654E" w:rsidTr="00137D7A">
        <w:trPr>
          <w:trHeight w:val="515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4CD8" w:rsidRPr="00DD36BC" w:rsidRDefault="00954CD8" w:rsidP="00137D7A">
            <w:pPr>
              <w:spacing w:after="0"/>
              <w:jc w:val="center"/>
              <w:rPr>
                <w:rFonts w:cs="Arial"/>
                <w:color w:val="000000"/>
                <w:lang w:eastAsia="cs-CZ"/>
              </w:rPr>
            </w:pPr>
            <w:r w:rsidRPr="00DD36BC">
              <w:rPr>
                <w:rFonts w:cs="Arial"/>
                <w:color w:val="000000"/>
                <w:lang w:eastAsia="cs-CZ"/>
              </w:rPr>
              <w:t>11.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4CD8" w:rsidRPr="00DD36BC" w:rsidRDefault="00954CD8" w:rsidP="00E01CA3">
            <w:pPr>
              <w:spacing w:after="0"/>
              <w:jc w:val="left"/>
              <w:rPr>
                <w:rFonts w:cs="Arial"/>
                <w:color w:val="000000"/>
                <w:sz w:val="20"/>
                <w:szCs w:val="20"/>
                <w:lang w:eastAsia="cs-CZ"/>
              </w:rPr>
            </w:pPr>
            <w:r w:rsidRPr="00DD36BC">
              <w:rPr>
                <w:rFonts w:cs="Arial"/>
                <w:color w:val="000000"/>
                <w:sz w:val="20"/>
                <w:szCs w:val="20"/>
                <w:lang w:eastAsia="cs-CZ"/>
              </w:rPr>
              <w:t xml:space="preserve">Externí </w:t>
            </w:r>
            <w:proofErr w:type="gramStart"/>
            <w:r w:rsidRPr="00DD36BC">
              <w:rPr>
                <w:rFonts w:cs="Arial"/>
                <w:color w:val="000000"/>
                <w:sz w:val="20"/>
                <w:szCs w:val="20"/>
                <w:lang w:eastAsia="cs-CZ"/>
              </w:rPr>
              <w:t xml:space="preserve">audit </w:t>
            </w:r>
            <w:r w:rsidR="00E01CA3">
              <w:rPr>
                <w:rFonts w:cs="Arial"/>
                <w:color w:val="000000"/>
                <w:sz w:val="20"/>
                <w:szCs w:val="20"/>
                <w:lang w:eastAsia="cs-CZ"/>
              </w:rPr>
              <w:t xml:space="preserve"> „</w:t>
            </w:r>
            <w:r w:rsidRPr="00DD36BC">
              <w:rPr>
                <w:rFonts w:cs="Arial"/>
                <w:color w:val="000000"/>
                <w:sz w:val="20"/>
                <w:szCs w:val="20"/>
                <w:lang w:eastAsia="cs-CZ"/>
              </w:rPr>
              <w:t>Vzdělávání</w:t>
            </w:r>
            <w:proofErr w:type="gramEnd"/>
            <w:r w:rsidRPr="00DD36BC">
              <w:rPr>
                <w:rFonts w:cs="Arial"/>
                <w:color w:val="000000"/>
                <w:sz w:val="20"/>
                <w:szCs w:val="20"/>
                <w:lang w:eastAsia="cs-CZ"/>
              </w:rPr>
              <w:t xml:space="preserve"> uživatelů e-tržišť</w:t>
            </w:r>
            <w:r w:rsidR="00E01CA3">
              <w:rPr>
                <w:rFonts w:cs="Arial"/>
                <w:color w:val="000000"/>
                <w:sz w:val="20"/>
                <w:szCs w:val="20"/>
                <w:lang w:eastAsia="cs-CZ"/>
              </w:rPr>
              <w:t>“</w:t>
            </w:r>
            <w:r w:rsidRPr="00DD36BC">
              <w:rPr>
                <w:rFonts w:cs="Arial"/>
                <w:color w:val="000000"/>
                <w:sz w:val="20"/>
                <w:szCs w:val="20"/>
                <w:lang w:eastAsia="cs-CZ"/>
              </w:rPr>
              <w:t xml:space="preserve"> (objednávka č. 2390_2012-32)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54CD8" w:rsidRPr="00165992" w:rsidRDefault="00954CD8" w:rsidP="00137D7A">
            <w:pPr>
              <w:spacing w:after="0"/>
              <w:jc w:val="right"/>
              <w:rPr>
                <w:rFonts w:cs="Arial"/>
                <w:color w:val="000000"/>
                <w:sz w:val="20"/>
                <w:szCs w:val="20"/>
                <w:lang w:eastAsia="cs-CZ"/>
              </w:rPr>
            </w:pPr>
            <w:r w:rsidRPr="00165992">
              <w:rPr>
                <w:rFonts w:cs="Arial"/>
                <w:color w:val="000000"/>
                <w:sz w:val="20"/>
                <w:szCs w:val="20"/>
                <w:lang w:eastAsia="cs-CZ"/>
              </w:rPr>
              <w:t>79 800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54CD8" w:rsidRPr="00165992" w:rsidRDefault="00954CD8" w:rsidP="00137D7A">
            <w:pPr>
              <w:spacing w:after="0"/>
              <w:jc w:val="right"/>
              <w:rPr>
                <w:rFonts w:cs="Arial"/>
                <w:color w:val="000000"/>
                <w:sz w:val="20"/>
                <w:szCs w:val="20"/>
                <w:lang w:eastAsia="cs-CZ"/>
              </w:rPr>
            </w:pPr>
            <w:r w:rsidRPr="00165992">
              <w:rPr>
                <w:rFonts w:cs="Arial"/>
                <w:color w:val="000000"/>
                <w:sz w:val="20"/>
                <w:szCs w:val="20"/>
                <w:lang w:eastAsia="cs-CZ"/>
              </w:rPr>
              <w:t>2. 10. 2012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54CD8" w:rsidRPr="00165992" w:rsidRDefault="00954CD8" w:rsidP="003C5706">
            <w:pPr>
              <w:spacing w:after="0"/>
              <w:ind w:left="213" w:right="-70"/>
              <w:jc w:val="left"/>
              <w:rPr>
                <w:rFonts w:cs="Arial"/>
                <w:color w:val="000000"/>
                <w:sz w:val="20"/>
                <w:szCs w:val="20"/>
                <w:lang w:eastAsia="cs-CZ"/>
              </w:rPr>
            </w:pPr>
            <w:r w:rsidRPr="00165992">
              <w:rPr>
                <w:rFonts w:cs="Arial"/>
                <w:color w:val="000000"/>
                <w:sz w:val="20"/>
                <w:szCs w:val="20"/>
                <w:lang w:eastAsia="cs-CZ"/>
              </w:rPr>
              <w:t>OP LZZ</w:t>
            </w:r>
          </w:p>
        </w:tc>
      </w:tr>
      <w:tr w:rsidR="00954CD8" w:rsidRPr="00B6654E" w:rsidTr="00137D7A">
        <w:trPr>
          <w:trHeight w:val="515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4CD8" w:rsidRPr="00DD36BC" w:rsidRDefault="00954CD8" w:rsidP="00137D7A">
            <w:pPr>
              <w:spacing w:after="0"/>
              <w:jc w:val="center"/>
              <w:rPr>
                <w:rFonts w:cs="Arial"/>
                <w:color w:val="000000"/>
                <w:lang w:eastAsia="cs-CZ"/>
              </w:rPr>
            </w:pPr>
            <w:r w:rsidRPr="00DD36BC">
              <w:rPr>
                <w:rFonts w:cs="Arial"/>
                <w:color w:val="000000"/>
                <w:lang w:eastAsia="cs-CZ"/>
              </w:rPr>
              <w:t>12.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4CD8" w:rsidRPr="00DD36BC" w:rsidRDefault="00954CD8" w:rsidP="003C5706">
            <w:pPr>
              <w:spacing w:after="0"/>
              <w:jc w:val="left"/>
              <w:rPr>
                <w:rFonts w:cs="Arial"/>
                <w:color w:val="000000"/>
                <w:sz w:val="20"/>
                <w:szCs w:val="20"/>
                <w:lang w:eastAsia="cs-CZ"/>
              </w:rPr>
            </w:pPr>
            <w:r w:rsidRPr="00DD36BC">
              <w:rPr>
                <w:rFonts w:cs="Arial"/>
                <w:color w:val="000000"/>
                <w:sz w:val="20"/>
                <w:szCs w:val="20"/>
                <w:lang w:eastAsia="cs-CZ"/>
              </w:rPr>
              <w:t xml:space="preserve">Realizace vzdělávacích kurzů pro uživatele nového systému e-tržišť </w:t>
            </w:r>
            <w:r w:rsidR="003C5706">
              <w:rPr>
                <w:rFonts w:cs="Arial"/>
                <w:color w:val="000000"/>
                <w:sz w:val="20"/>
                <w:szCs w:val="20"/>
                <w:lang w:eastAsia="cs-CZ"/>
              </w:rPr>
              <w:t>–</w:t>
            </w:r>
            <w:r w:rsidRPr="00DD36BC">
              <w:rPr>
                <w:rFonts w:cs="Arial"/>
                <w:color w:val="000000"/>
                <w:sz w:val="20"/>
                <w:szCs w:val="20"/>
                <w:lang w:eastAsia="cs-CZ"/>
              </w:rPr>
              <w:t xml:space="preserve"> rozšířené (výstup je dodatek ke smlouvě) </w:t>
            </w:r>
            <w:r w:rsidR="003C5706">
              <w:rPr>
                <w:rFonts w:cs="Arial"/>
                <w:color w:val="000000"/>
                <w:sz w:val="20"/>
                <w:szCs w:val="20"/>
                <w:lang w:eastAsia="cs-CZ"/>
              </w:rPr>
              <w:t>–</w:t>
            </w:r>
            <w:r w:rsidRPr="00DD36BC">
              <w:rPr>
                <w:rFonts w:cs="Arial"/>
                <w:color w:val="000000"/>
                <w:sz w:val="20"/>
                <w:szCs w:val="20"/>
                <w:lang w:eastAsia="cs-CZ"/>
              </w:rPr>
              <w:t xml:space="preserve"> navýšení ceny</w:t>
            </w:r>
            <w:r w:rsidRPr="00DD36BC">
              <w:rPr>
                <w:rStyle w:val="Znakapoznpodarou"/>
                <w:rFonts w:cs="Arial"/>
                <w:color w:val="000000"/>
                <w:sz w:val="20"/>
                <w:szCs w:val="20"/>
                <w:lang w:eastAsia="cs-CZ"/>
              </w:rPr>
              <w:footnoteReference w:id="27"/>
            </w:r>
            <w:r w:rsidR="003C5706">
              <w:rPr>
                <w:rFonts w:cs="Arial"/>
                <w:color w:val="000000"/>
                <w:sz w:val="20"/>
                <w:szCs w:val="20"/>
                <w:lang w:eastAsia="cs-CZ"/>
              </w:rPr>
              <w:t xml:space="preserve"> </w:t>
            </w:r>
            <w:r w:rsidRPr="00DD36BC">
              <w:rPr>
                <w:rFonts w:cs="Arial"/>
                <w:color w:val="000000"/>
                <w:sz w:val="20"/>
                <w:szCs w:val="20"/>
                <w:lang w:eastAsia="cs-CZ"/>
              </w:rPr>
              <w:t>na 5 491 778,40 Kč (4897_1)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54CD8" w:rsidRPr="00165992" w:rsidRDefault="00954CD8" w:rsidP="00137D7A">
            <w:pPr>
              <w:spacing w:after="0"/>
              <w:jc w:val="right"/>
              <w:rPr>
                <w:rFonts w:cs="Arial"/>
                <w:color w:val="000000"/>
                <w:sz w:val="20"/>
                <w:szCs w:val="20"/>
                <w:lang w:eastAsia="cs-CZ"/>
              </w:rPr>
            </w:pPr>
            <w:r w:rsidRPr="00165992">
              <w:rPr>
                <w:rFonts w:cs="Arial"/>
                <w:color w:val="000000"/>
                <w:sz w:val="20"/>
                <w:szCs w:val="20"/>
                <w:lang w:eastAsia="cs-CZ"/>
              </w:rPr>
              <w:t>900 000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54CD8" w:rsidRPr="00165992" w:rsidRDefault="00954CD8" w:rsidP="00137D7A">
            <w:pPr>
              <w:spacing w:after="0"/>
              <w:jc w:val="right"/>
              <w:rPr>
                <w:rFonts w:cs="Arial"/>
                <w:color w:val="000000"/>
                <w:sz w:val="20"/>
                <w:szCs w:val="20"/>
                <w:lang w:eastAsia="cs-CZ"/>
              </w:rPr>
            </w:pPr>
            <w:r w:rsidRPr="00165992">
              <w:rPr>
                <w:rFonts w:cs="Arial"/>
                <w:color w:val="000000"/>
                <w:sz w:val="20"/>
                <w:szCs w:val="20"/>
                <w:lang w:eastAsia="cs-CZ"/>
              </w:rPr>
              <w:t>27. 8. 2012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54CD8" w:rsidRPr="00EC10AE" w:rsidRDefault="00954CD8" w:rsidP="003C5706">
            <w:pPr>
              <w:spacing w:after="0"/>
              <w:ind w:left="213" w:right="-70"/>
              <w:jc w:val="left"/>
              <w:rPr>
                <w:rFonts w:cs="Arial"/>
                <w:color w:val="000000"/>
                <w:sz w:val="20"/>
                <w:szCs w:val="20"/>
                <w:lang w:eastAsia="cs-CZ"/>
              </w:rPr>
            </w:pPr>
            <w:r w:rsidRPr="00EC10AE">
              <w:rPr>
                <w:rFonts w:cs="Arial"/>
                <w:color w:val="000000"/>
                <w:sz w:val="20"/>
                <w:szCs w:val="20"/>
                <w:lang w:eastAsia="cs-CZ"/>
              </w:rPr>
              <w:t>OP LZZ</w:t>
            </w:r>
          </w:p>
        </w:tc>
      </w:tr>
      <w:tr w:rsidR="00954CD8" w:rsidRPr="00B6654E" w:rsidTr="00137D7A">
        <w:trPr>
          <w:trHeight w:val="515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4CD8" w:rsidRPr="00DD36BC" w:rsidRDefault="00954CD8" w:rsidP="00137D7A">
            <w:pPr>
              <w:spacing w:after="0"/>
              <w:jc w:val="center"/>
              <w:rPr>
                <w:rFonts w:cs="Arial"/>
              </w:rPr>
            </w:pPr>
            <w:r w:rsidRPr="00DD36BC">
              <w:rPr>
                <w:rFonts w:cs="Arial"/>
              </w:rPr>
              <w:t>13.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4CD8" w:rsidRPr="00DD36BC" w:rsidRDefault="002E1287" w:rsidP="002E1287">
            <w:pPr>
              <w:spacing w:after="0"/>
              <w:jc w:val="left"/>
              <w:rPr>
                <w:rFonts w:cs="Arial"/>
                <w:color w:val="000000"/>
                <w:sz w:val="20"/>
                <w:szCs w:val="20"/>
                <w:lang w:eastAsia="cs-CZ"/>
              </w:rPr>
            </w:pPr>
            <w:r>
              <w:rPr>
                <w:rFonts w:cs="Arial"/>
                <w:sz w:val="20"/>
                <w:szCs w:val="20"/>
              </w:rPr>
              <w:t xml:space="preserve">Smlouva </w:t>
            </w:r>
            <w:r w:rsidR="00954CD8" w:rsidRPr="00DD36BC">
              <w:rPr>
                <w:rFonts w:cs="Arial"/>
                <w:sz w:val="20"/>
                <w:szCs w:val="20"/>
              </w:rPr>
              <w:t>o dílo „Podpora činností správce e-tržiště při provozu dle usnesení vlády č. 343/2010“ (5134)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54CD8" w:rsidRPr="00165992" w:rsidRDefault="00954CD8" w:rsidP="00137D7A">
            <w:pPr>
              <w:spacing w:after="0"/>
              <w:jc w:val="right"/>
              <w:rPr>
                <w:rFonts w:cs="Arial"/>
                <w:color w:val="000000"/>
                <w:sz w:val="20"/>
                <w:szCs w:val="20"/>
                <w:lang w:eastAsia="cs-CZ"/>
              </w:rPr>
            </w:pPr>
            <w:r w:rsidRPr="00165992">
              <w:rPr>
                <w:rFonts w:cs="Arial"/>
                <w:sz w:val="20"/>
                <w:szCs w:val="20"/>
              </w:rPr>
              <w:t>1 137 400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54CD8" w:rsidRPr="00165992" w:rsidRDefault="00954CD8" w:rsidP="00137D7A">
            <w:pPr>
              <w:spacing w:after="0"/>
              <w:jc w:val="right"/>
              <w:rPr>
                <w:rFonts w:cs="Arial"/>
                <w:color w:val="000000"/>
                <w:sz w:val="20"/>
                <w:szCs w:val="20"/>
                <w:lang w:eastAsia="cs-CZ"/>
              </w:rPr>
            </w:pPr>
            <w:r w:rsidRPr="00165992">
              <w:rPr>
                <w:rFonts w:cs="Arial"/>
                <w:color w:val="000000"/>
                <w:sz w:val="20"/>
                <w:szCs w:val="20"/>
                <w:lang w:eastAsia="cs-CZ"/>
              </w:rPr>
              <w:t>7. 5. 2013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54CD8" w:rsidRPr="00EC10AE" w:rsidRDefault="00954CD8" w:rsidP="003C5706">
            <w:pPr>
              <w:spacing w:after="0"/>
              <w:ind w:left="213" w:right="-70"/>
              <w:jc w:val="left"/>
              <w:rPr>
                <w:rFonts w:cs="Arial"/>
                <w:color w:val="000000"/>
                <w:sz w:val="20"/>
                <w:szCs w:val="20"/>
                <w:lang w:eastAsia="cs-CZ"/>
              </w:rPr>
            </w:pPr>
            <w:r w:rsidRPr="00EC10AE">
              <w:rPr>
                <w:rFonts w:cs="Arial"/>
                <w:color w:val="000000"/>
                <w:sz w:val="20"/>
                <w:szCs w:val="20"/>
                <w:lang w:eastAsia="cs-CZ"/>
              </w:rPr>
              <w:t>SR</w:t>
            </w:r>
          </w:p>
        </w:tc>
      </w:tr>
      <w:tr w:rsidR="00954CD8" w:rsidRPr="00B6654E" w:rsidTr="003B1C69">
        <w:trPr>
          <w:trHeight w:val="591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4CD8" w:rsidRDefault="00954CD8" w:rsidP="00137D7A">
            <w:pPr>
              <w:spacing w:after="0"/>
              <w:jc w:val="center"/>
              <w:rPr>
                <w:rFonts w:cs="Arial"/>
              </w:rPr>
            </w:pPr>
            <w:r>
              <w:rPr>
                <w:rFonts w:cs="Arial"/>
              </w:rPr>
              <w:t>14.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4CD8" w:rsidRPr="00EC10AE" w:rsidRDefault="00954CD8" w:rsidP="003C5706">
            <w:pPr>
              <w:spacing w:after="0"/>
              <w:jc w:val="left"/>
              <w:rPr>
                <w:rFonts w:cs="Arial"/>
                <w:sz w:val="20"/>
                <w:szCs w:val="20"/>
              </w:rPr>
            </w:pPr>
            <w:r w:rsidRPr="00EC10AE">
              <w:rPr>
                <w:rFonts w:cs="Arial"/>
                <w:sz w:val="20"/>
                <w:szCs w:val="20"/>
              </w:rPr>
              <w:t>Koncesní smlouvy (CES 4876, 4877, 4878, 4879</w:t>
            </w:r>
            <w:r w:rsidR="003C5706">
              <w:rPr>
                <w:rFonts w:cs="Arial"/>
                <w:sz w:val="20"/>
                <w:szCs w:val="20"/>
              </w:rPr>
              <w:t>,</w:t>
            </w:r>
            <w:r w:rsidRPr="00EC10AE">
              <w:rPr>
                <w:rFonts w:cs="Arial"/>
                <w:sz w:val="20"/>
                <w:szCs w:val="20"/>
              </w:rPr>
              <w:t xml:space="preserve"> 4880)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54CD8" w:rsidRPr="00EC10AE" w:rsidRDefault="00954CD8" w:rsidP="00137D7A">
            <w:pPr>
              <w:spacing w:after="0"/>
              <w:jc w:val="center"/>
              <w:rPr>
                <w:rFonts w:cs="Arial"/>
                <w:sz w:val="20"/>
                <w:szCs w:val="20"/>
              </w:rPr>
            </w:pPr>
            <w:r w:rsidRPr="00EC10AE">
              <w:rPr>
                <w:rFonts w:cs="Arial"/>
                <w:sz w:val="20"/>
                <w:szCs w:val="20"/>
              </w:rPr>
              <w:t>výkonové zpoplatnění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54CD8" w:rsidRPr="00EC10AE" w:rsidRDefault="00954CD8" w:rsidP="00137D7A">
            <w:pPr>
              <w:spacing w:after="0"/>
              <w:jc w:val="right"/>
              <w:rPr>
                <w:rFonts w:cs="Arial"/>
                <w:color w:val="000000"/>
                <w:sz w:val="20"/>
                <w:szCs w:val="20"/>
                <w:lang w:eastAsia="cs-CZ"/>
              </w:rPr>
            </w:pPr>
            <w:r>
              <w:rPr>
                <w:rFonts w:cs="Arial"/>
                <w:color w:val="000000"/>
                <w:sz w:val="20"/>
                <w:szCs w:val="20"/>
                <w:lang w:eastAsia="cs-CZ"/>
              </w:rPr>
              <w:t>30. 9. 2011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54CD8" w:rsidRPr="00EC10AE" w:rsidRDefault="00954CD8" w:rsidP="003C5706">
            <w:pPr>
              <w:spacing w:after="0"/>
              <w:ind w:left="213" w:right="-70"/>
              <w:jc w:val="left"/>
              <w:rPr>
                <w:rFonts w:cs="Arial"/>
                <w:color w:val="000000"/>
                <w:sz w:val="20"/>
                <w:szCs w:val="20"/>
                <w:lang w:eastAsia="cs-CZ"/>
              </w:rPr>
            </w:pPr>
            <w:r w:rsidRPr="00EC10AE">
              <w:rPr>
                <w:rFonts w:cs="Arial"/>
                <w:color w:val="000000"/>
                <w:sz w:val="20"/>
                <w:szCs w:val="20"/>
                <w:lang w:eastAsia="cs-CZ"/>
              </w:rPr>
              <w:t>SR</w:t>
            </w:r>
          </w:p>
        </w:tc>
      </w:tr>
      <w:tr w:rsidR="00954CD8" w:rsidRPr="00B6654E" w:rsidTr="003B1C69">
        <w:trPr>
          <w:trHeight w:val="389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4CD8" w:rsidRDefault="00954CD8" w:rsidP="00137D7A">
            <w:pPr>
              <w:spacing w:after="0"/>
              <w:jc w:val="center"/>
              <w:rPr>
                <w:rFonts w:cs="Arial"/>
              </w:rPr>
            </w:pPr>
            <w:r>
              <w:rPr>
                <w:rFonts w:cs="Arial"/>
              </w:rPr>
              <w:t>15.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4CD8" w:rsidRPr="00EC10AE" w:rsidRDefault="00954CD8" w:rsidP="003C5706">
            <w:pPr>
              <w:spacing w:after="0"/>
              <w:jc w:val="left"/>
              <w:rPr>
                <w:rFonts w:cs="Arial"/>
                <w:sz w:val="20"/>
                <w:szCs w:val="20"/>
              </w:rPr>
            </w:pPr>
            <w:r w:rsidRPr="00EC10AE">
              <w:rPr>
                <w:rFonts w:cs="Arial"/>
                <w:sz w:val="20"/>
                <w:szCs w:val="20"/>
              </w:rPr>
              <w:t xml:space="preserve">Koncesní smlouvy </w:t>
            </w:r>
            <w:r w:rsidR="003C5706">
              <w:rPr>
                <w:rFonts w:cs="Arial"/>
                <w:sz w:val="20"/>
                <w:szCs w:val="20"/>
              </w:rPr>
              <w:t>–</w:t>
            </w:r>
            <w:r w:rsidRPr="00EC10AE">
              <w:rPr>
                <w:rFonts w:cs="Arial"/>
                <w:sz w:val="20"/>
                <w:szCs w:val="20"/>
              </w:rPr>
              <w:t xml:space="preserve"> </w:t>
            </w:r>
            <w:r w:rsidR="003C5706">
              <w:rPr>
                <w:rFonts w:cs="Arial"/>
                <w:sz w:val="20"/>
                <w:szCs w:val="20"/>
              </w:rPr>
              <w:t>d</w:t>
            </w:r>
            <w:r w:rsidRPr="00EC10AE">
              <w:rPr>
                <w:rFonts w:cs="Arial"/>
                <w:sz w:val="20"/>
                <w:szCs w:val="20"/>
              </w:rPr>
              <w:t>odatek č. 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54CD8" w:rsidRPr="00EC10AE" w:rsidRDefault="00954CD8" w:rsidP="00137D7A">
            <w:pPr>
              <w:spacing w:after="0"/>
              <w:jc w:val="center"/>
              <w:rPr>
                <w:rFonts w:cs="Arial"/>
                <w:sz w:val="20"/>
                <w:szCs w:val="20"/>
              </w:rPr>
            </w:pPr>
            <w:r w:rsidRPr="00EC10AE">
              <w:rPr>
                <w:rFonts w:cs="Arial"/>
                <w:sz w:val="20"/>
                <w:szCs w:val="20"/>
              </w:rPr>
              <w:t>výkonové zpoplatnění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54CD8" w:rsidRPr="00EC10AE" w:rsidRDefault="00954CD8" w:rsidP="00137D7A">
            <w:pPr>
              <w:spacing w:after="0"/>
              <w:jc w:val="right"/>
              <w:rPr>
                <w:rFonts w:cs="Arial"/>
                <w:color w:val="000000"/>
                <w:sz w:val="20"/>
                <w:szCs w:val="20"/>
                <w:lang w:eastAsia="cs-CZ"/>
              </w:rPr>
            </w:pPr>
            <w:r w:rsidRPr="00EC10AE">
              <w:rPr>
                <w:rFonts w:cs="Arial"/>
                <w:color w:val="000000"/>
                <w:sz w:val="20"/>
                <w:szCs w:val="20"/>
                <w:lang w:eastAsia="cs-CZ"/>
              </w:rPr>
              <w:t>1. 5. 2012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54CD8" w:rsidRPr="00EC10AE" w:rsidRDefault="00954CD8" w:rsidP="003C5706">
            <w:pPr>
              <w:spacing w:after="0"/>
              <w:ind w:left="213" w:right="-70"/>
              <w:jc w:val="left"/>
              <w:rPr>
                <w:rFonts w:cs="Arial"/>
                <w:color w:val="000000"/>
                <w:sz w:val="20"/>
                <w:szCs w:val="20"/>
                <w:lang w:eastAsia="cs-CZ"/>
              </w:rPr>
            </w:pPr>
            <w:r w:rsidRPr="00EC10AE">
              <w:rPr>
                <w:rFonts w:cs="Arial"/>
                <w:color w:val="000000"/>
                <w:sz w:val="20"/>
                <w:szCs w:val="20"/>
                <w:lang w:eastAsia="cs-CZ"/>
              </w:rPr>
              <w:t>SR</w:t>
            </w:r>
          </w:p>
        </w:tc>
      </w:tr>
      <w:tr w:rsidR="00954CD8" w:rsidRPr="00B6654E" w:rsidTr="003B1C69">
        <w:trPr>
          <w:trHeight w:val="380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4CD8" w:rsidRDefault="00954CD8" w:rsidP="00137D7A">
            <w:pPr>
              <w:spacing w:after="0"/>
              <w:jc w:val="center"/>
              <w:rPr>
                <w:rFonts w:cs="Arial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4CD8" w:rsidRDefault="00954CD8" w:rsidP="00137D7A">
            <w:pPr>
              <w:spacing w:after="0"/>
              <w:rPr>
                <w:rFonts w:cs="Arial"/>
                <w:b/>
                <w:sz w:val="20"/>
                <w:szCs w:val="20"/>
              </w:rPr>
            </w:pPr>
            <w:r w:rsidRPr="00165992">
              <w:rPr>
                <w:rFonts w:cs="Arial"/>
                <w:b/>
                <w:sz w:val="20"/>
                <w:szCs w:val="20"/>
              </w:rPr>
              <w:t>Celkem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54CD8" w:rsidRPr="00165992" w:rsidRDefault="00954CD8" w:rsidP="00137D7A">
            <w:pPr>
              <w:spacing w:after="0"/>
              <w:jc w:val="right"/>
              <w:rPr>
                <w:rFonts w:cs="Arial"/>
                <w:b/>
                <w:sz w:val="20"/>
                <w:szCs w:val="20"/>
              </w:rPr>
            </w:pPr>
            <w:r w:rsidRPr="00165992">
              <w:rPr>
                <w:rFonts w:cs="Arial"/>
                <w:b/>
                <w:sz w:val="20"/>
                <w:szCs w:val="20"/>
              </w:rPr>
              <w:t>36 886 578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54CD8" w:rsidRPr="00165992" w:rsidRDefault="00954CD8" w:rsidP="00137D7A">
            <w:pPr>
              <w:spacing w:after="0"/>
              <w:jc w:val="right"/>
              <w:rPr>
                <w:rFonts w:cs="Arial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54CD8" w:rsidRPr="00165992" w:rsidRDefault="00954CD8" w:rsidP="00137D7A">
            <w:pPr>
              <w:spacing w:after="0"/>
              <w:jc w:val="right"/>
              <w:rPr>
                <w:rFonts w:cs="Arial"/>
                <w:color w:val="000000"/>
                <w:sz w:val="20"/>
                <w:szCs w:val="20"/>
                <w:lang w:eastAsia="cs-CZ"/>
              </w:rPr>
            </w:pPr>
          </w:p>
        </w:tc>
      </w:tr>
    </w:tbl>
    <w:p w:rsidR="00954CD8" w:rsidRPr="00E72F2D" w:rsidRDefault="00954CD8" w:rsidP="00954CD8">
      <w:pPr>
        <w:spacing w:after="0"/>
        <w:rPr>
          <w:rFonts w:cs="Arial"/>
          <w:sz w:val="18"/>
          <w:szCs w:val="18"/>
        </w:rPr>
      </w:pPr>
      <w:r w:rsidRPr="00E72F2D">
        <w:rPr>
          <w:rFonts w:cs="Arial"/>
          <w:b/>
          <w:sz w:val="18"/>
          <w:szCs w:val="18"/>
        </w:rPr>
        <w:t>Pozn.:</w:t>
      </w:r>
      <w:r w:rsidRPr="00E72F2D">
        <w:rPr>
          <w:rFonts w:cs="Arial"/>
          <w:sz w:val="18"/>
          <w:szCs w:val="18"/>
        </w:rPr>
        <w:t xml:space="preserve"> </w:t>
      </w:r>
      <w:r w:rsidRPr="00E72F2D">
        <w:rPr>
          <w:rFonts w:cs="Arial"/>
          <w:sz w:val="18"/>
          <w:szCs w:val="18"/>
        </w:rPr>
        <w:tab/>
        <w:t xml:space="preserve">CES – </w:t>
      </w:r>
      <w:r w:rsidR="003C5706">
        <w:rPr>
          <w:rFonts w:cs="Arial"/>
          <w:sz w:val="18"/>
          <w:szCs w:val="18"/>
        </w:rPr>
        <w:t>c</w:t>
      </w:r>
      <w:r w:rsidRPr="00E72F2D">
        <w:rPr>
          <w:rFonts w:cs="Arial"/>
          <w:sz w:val="18"/>
          <w:szCs w:val="18"/>
        </w:rPr>
        <w:t xml:space="preserve">entrální evidence smluv MMR, ve které jsou smlouvy označeny čísly, jak je uvedeno v závorkách. </w:t>
      </w:r>
    </w:p>
    <w:p w:rsidR="00954CD8" w:rsidRPr="00E72F2D" w:rsidRDefault="00954CD8" w:rsidP="002E1287">
      <w:pPr>
        <w:spacing w:after="0"/>
        <w:ind w:left="284" w:hanging="284"/>
        <w:rPr>
          <w:sz w:val="18"/>
          <w:szCs w:val="18"/>
        </w:rPr>
      </w:pPr>
      <w:r w:rsidRPr="00E72F2D">
        <w:rPr>
          <w:sz w:val="18"/>
          <w:szCs w:val="18"/>
        </w:rPr>
        <w:t>*</w:t>
      </w:r>
      <w:r w:rsidR="00CF51AB">
        <w:rPr>
          <w:sz w:val="18"/>
          <w:szCs w:val="18"/>
        </w:rPr>
        <w:t xml:space="preserve"> </w:t>
      </w:r>
      <w:r w:rsidR="00CF51AB">
        <w:rPr>
          <w:sz w:val="18"/>
          <w:szCs w:val="18"/>
        </w:rPr>
        <w:tab/>
      </w:r>
      <w:r w:rsidRPr="00E72F2D">
        <w:rPr>
          <w:sz w:val="18"/>
          <w:szCs w:val="18"/>
        </w:rPr>
        <w:t xml:space="preserve">IOP – </w:t>
      </w:r>
      <w:r w:rsidRPr="002E1287">
        <w:rPr>
          <w:i/>
          <w:sz w:val="18"/>
          <w:szCs w:val="18"/>
        </w:rPr>
        <w:t>Integrovaný operační program</w:t>
      </w:r>
      <w:r w:rsidR="00E72F2D">
        <w:rPr>
          <w:sz w:val="18"/>
          <w:szCs w:val="18"/>
        </w:rPr>
        <w:t>.</w:t>
      </w:r>
    </w:p>
    <w:p w:rsidR="00954CD8" w:rsidRPr="00E72F2D" w:rsidRDefault="00954CD8" w:rsidP="002E1287">
      <w:pPr>
        <w:spacing w:after="0"/>
        <w:ind w:left="284" w:hanging="284"/>
        <w:rPr>
          <w:sz w:val="18"/>
          <w:szCs w:val="18"/>
        </w:rPr>
      </w:pPr>
      <w:r w:rsidRPr="00E72F2D">
        <w:rPr>
          <w:sz w:val="18"/>
          <w:szCs w:val="18"/>
        </w:rPr>
        <w:t xml:space="preserve">** </w:t>
      </w:r>
      <w:r w:rsidR="00CF51AB">
        <w:rPr>
          <w:sz w:val="18"/>
          <w:szCs w:val="18"/>
        </w:rPr>
        <w:tab/>
      </w:r>
      <w:r w:rsidRPr="00E72F2D">
        <w:rPr>
          <w:sz w:val="18"/>
          <w:szCs w:val="18"/>
        </w:rPr>
        <w:t xml:space="preserve">SR – </w:t>
      </w:r>
      <w:r w:rsidR="003C5706">
        <w:rPr>
          <w:sz w:val="18"/>
          <w:szCs w:val="18"/>
        </w:rPr>
        <w:t>s</w:t>
      </w:r>
      <w:r w:rsidRPr="00E72F2D">
        <w:rPr>
          <w:sz w:val="18"/>
          <w:szCs w:val="18"/>
        </w:rPr>
        <w:t>tátní rozpočet</w:t>
      </w:r>
      <w:r w:rsidR="00E72F2D">
        <w:rPr>
          <w:sz w:val="18"/>
          <w:szCs w:val="18"/>
        </w:rPr>
        <w:t>.</w:t>
      </w:r>
    </w:p>
    <w:p w:rsidR="00137D7A" w:rsidRPr="00E72F2D" w:rsidRDefault="00954CD8" w:rsidP="002E1287">
      <w:pPr>
        <w:spacing w:after="0"/>
        <w:ind w:left="284" w:hanging="284"/>
        <w:jc w:val="left"/>
        <w:rPr>
          <w:sz w:val="18"/>
          <w:szCs w:val="18"/>
        </w:rPr>
        <w:sectPr w:rsidR="00137D7A" w:rsidRPr="00E72F2D" w:rsidSect="002E089B">
          <w:footerReference w:type="default" r:id="rId13"/>
          <w:pgSz w:w="12240" w:h="15840"/>
          <w:pgMar w:top="1417" w:right="1417" w:bottom="1417" w:left="1417" w:header="708" w:footer="708" w:gutter="0"/>
          <w:cols w:space="708"/>
          <w:titlePg/>
          <w:docGrid w:linePitch="299"/>
        </w:sectPr>
      </w:pPr>
      <w:r w:rsidRPr="00E72F2D">
        <w:rPr>
          <w:sz w:val="18"/>
          <w:szCs w:val="18"/>
        </w:rPr>
        <w:t xml:space="preserve">*** </w:t>
      </w:r>
      <w:r w:rsidR="00CF51AB">
        <w:rPr>
          <w:sz w:val="18"/>
          <w:szCs w:val="18"/>
        </w:rPr>
        <w:tab/>
      </w:r>
      <w:r w:rsidRPr="00E72F2D">
        <w:rPr>
          <w:sz w:val="18"/>
          <w:szCs w:val="18"/>
        </w:rPr>
        <w:t xml:space="preserve">OP LZZ – </w:t>
      </w:r>
      <w:r w:rsidR="003C5706">
        <w:rPr>
          <w:sz w:val="18"/>
          <w:szCs w:val="18"/>
        </w:rPr>
        <w:t>o</w:t>
      </w:r>
      <w:r w:rsidRPr="00E72F2D">
        <w:rPr>
          <w:sz w:val="18"/>
          <w:szCs w:val="18"/>
        </w:rPr>
        <w:t>perační progr</w:t>
      </w:r>
      <w:r w:rsidR="00137D7A" w:rsidRPr="00E72F2D">
        <w:rPr>
          <w:sz w:val="18"/>
          <w:szCs w:val="18"/>
        </w:rPr>
        <w:t xml:space="preserve">am </w:t>
      </w:r>
      <w:r w:rsidR="003C5706" w:rsidRPr="002E1287">
        <w:rPr>
          <w:i/>
          <w:sz w:val="18"/>
          <w:szCs w:val="18"/>
        </w:rPr>
        <w:t>L</w:t>
      </w:r>
      <w:r w:rsidR="00137D7A" w:rsidRPr="002E1287">
        <w:rPr>
          <w:i/>
          <w:sz w:val="18"/>
          <w:szCs w:val="18"/>
        </w:rPr>
        <w:t>idské zdroje a zaměstnanos</w:t>
      </w:r>
      <w:r w:rsidR="00DD4F54" w:rsidRPr="002E1287">
        <w:rPr>
          <w:i/>
          <w:sz w:val="18"/>
          <w:szCs w:val="18"/>
        </w:rPr>
        <w:t>t</w:t>
      </w:r>
      <w:r w:rsidR="00E72F2D">
        <w:rPr>
          <w:sz w:val="18"/>
          <w:szCs w:val="18"/>
        </w:rPr>
        <w:t>.</w:t>
      </w:r>
    </w:p>
    <w:p w:rsidR="00954CD8" w:rsidRPr="00CE05BE" w:rsidRDefault="00954CD8" w:rsidP="00137D7A">
      <w:pPr>
        <w:jc w:val="right"/>
        <w:rPr>
          <w:rFonts w:cs="Arial"/>
          <w:b/>
          <w:szCs w:val="22"/>
        </w:rPr>
      </w:pPr>
      <w:r w:rsidRPr="00CE05BE">
        <w:rPr>
          <w:rFonts w:cs="Arial"/>
          <w:b/>
          <w:szCs w:val="22"/>
        </w:rPr>
        <w:lastRenderedPageBreak/>
        <w:t>Příloha č. 3</w:t>
      </w:r>
    </w:p>
    <w:p w:rsidR="00CF51AB" w:rsidRDefault="00CF51AB" w:rsidP="00051C72">
      <w:pPr>
        <w:rPr>
          <w:rFonts w:cs="Arial"/>
          <w:b/>
          <w:szCs w:val="22"/>
        </w:rPr>
      </w:pPr>
    </w:p>
    <w:p w:rsidR="00137D7A" w:rsidRDefault="00137D7A" w:rsidP="00CE05BE">
      <w:pPr>
        <w:spacing w:after="0"/>
        <w:rPr>
          <w:rFonts w:cs="Arial"/>
          <w:b/>
          <w:szCs w:val="22"/>
        </w:rPr>
      </w:pPr>
      <w:r w:rsidRPr="000D0B69">
        <w:rPr>
          <w:rFonts w:cs="Arial"/>
          <w:b/>
          <w:szCs w:val="22"/>
        </w:rPr>
        <w:t>Výsledky dotazníkového šetření mezi dodavateli registrovanými na e-tržištích NIPEZ</w:t>
      </w:r>
    </w:p>
    <w:p w:rsidR="00CF51AB" w:rsidRPr="000D0B69" w:rsidRDefault="00CF51AB" w:rsidP="00CE05BE">
      <w:pPr>
        <w:spacing w:after="0"/>
        <w:rPr>
          <w:rFonts w:cs="Arial"/>
          <w:b/>
          <w:szCs w:val="22"/>
        </w:rPr>
      </w:pPr>
    </w:p>
    <w:p w:rsidR="00137D7A" w:rsidRDefault="00137D7A" w:rsidP="00CE05BE">
      <w:pPr>
        <w:spacing w:after="0"/>
        <w:rPr>
          <w:rFonts w:cs="Arial"/>
          <w:szCs w:val="22"/>
        </w:rPr>
      </w:pPr>
      <w:r w:rsidRPr="006A3EAF">
        <w:rPr>
          <w:rFonts w:cs="Arial"/>
          <w:szCs w:val="22"/>
        </w:rPr>
        <w:t>Pro účast v dotazníkovém šetření byli vybráni dodavatelé z </w:t>
      </w:r>
      <w:proofErr w:type="spellStart"/>
      <w:r w:rsidRPr="006A3EAF">
        <w:rPr>
          <w:rFonts w:cs="Arial"/>
          <w:szCs w:val="22"/>
        </w:rPr>
        <w:t>datasetu</w:t>
      </w:r>
      <w:proofErr w:type="spellEnd"/>
      <w:r w:rsidRPr="006A3EAF">
        <w:rPr>
          <w:rFonts w:cs="Arial"/>
          <w:szCs w:val="22"/>
        </w:rPr>
        <w:t xml:space="preserve"> </w:t>
      </w:r>
      <w:proofErr w:type="spellStart"/>
      <w:r w:rsidRPr="006A3EAF">
        <w:rPr>
          <w:rFonts w:cs="Arial"/>
          <w:szCs w:val="22"/>
        </w:rPr>
        <w:t>VZ</w:t>
      </w:r>
      <w:proofErr w:type="spellEnd"/>
      <w:r w:rsidRPr="006A3EAF">
        <w:rPr>
          <w:rFonts w:cs="Arial"/>
          <w:szCs w:val="22"/>
        </w:rPr>
        <w:t xml:space="preserve"> </w:t>
      </w:r>
      <w:r>
        <w:rPr>
          <w:rFonts w:cs="Arial"/>
          <w:szCs w:val="22"/>
        </w:rPr>
        <w:t xml:space="preserve">za první rok provozu </w:t>
      </w:r>
      <w:r w:rsidR="00494596">
        <w:rPr>
          <w:rFonts w:cs="Arial"/>
          <w:szCs w:val="22"/>
        </w:rPr>
        <w:br/>
      </w:r>
      <w:r>
        <w:rPr>
          <w:rFonts w:cs="Arial"/>
          <w:szCs w:val="22"/>
        </w:rPr>
        <w:t>e-tržišť, tj.</w:t>
      </w:r>
      <w:r w:rsidR="00593BBA">
        <w:rPr>
          <w:rFonts w:cs="Arial"/>
          <w:szCs w:val="22"/>
        </w:rPr>
        <w:t xml:space="preserve"> za</w:t>
      </w:r>
      <w:r>
        <w:rPr>
          <w:rFonts w:cs="Arial"/>
          <w:szCs w:val="22"/>
        </w:rPr>
        <w:t xml:space="preserve"> o</w:t>
      </w:r>
      <w:r w:rsidRPr="006A3EAF">
        <w:rPr>
          <w:rFonts w:cs="Arial"/>
          <w:szCs w:val="22"/>
        </w:rPr>
        <w:t xml:space="preserve">bdobí </w:t>
      </w:r>
      <w:r w:rsidR="00593BBA">
        <w:rPr>
          <w:rFonts w:cs="Arial"/>
          <w:szCs w:val="22"/>
        </w:rPr>
        <w:t xml:space="preserve">od </w:t>
      </w:r>
      <w:r w:rsidRPr="006A3EAF">
        <w:rPr>
          <w:rFonts w:cs="Arial"/>
          <w:szCs w:val="22"/>
        </w:rPr>
        <w:t xml:space="preserve">1. 7. 2012 </w:t>
      </w:r>
      <w:r w:rsidR="00593BBA">
        <w:rPr>
          <w:rFonts w:cs="Arial"/>
          <w:szCs w:val="22"/>
        </w:rPr>
        <w:t>do</w:t>
      </w:r>
      <w:r w:rsidRPr="006A3EAF">
        <w:rPr>
          <w:rFonts w:cs="Arial"/>
          <w:szCs w:val="22"/>
        </w:rPr>
        <w:t xml:space="preserve"> 30. 6. 2013</w:t>
      </w:r>
      <w:r>
        <w:rPr>
          <w:rFonts w:cs="Arial"/>
          <w:szCs w:val="22"/>
        </w:rPr>
        <w:t>.</w:t>
      </w:r>
    </w:p>
    <w:p w:rsidR="00CF51AB" w:rsidRDefault="00CF51AB" w:rsidP="00CE05BE">
      <w:pPr>
        <w:spacing w:after="0"/>
        <w:rPr>
          <w:rFonts w:cs="Arial"/>
          <w:szCs w:val="22"/>
        </w:rPr>
      </w:pPr>
    </w:p>
    <w:p w:rsidR="00137D7A" w:rsidRDefault="00137D7A" w:rsidP="00CE05BE">
      <w:pPr>
        <w:spacing w:after="0"/>
        <w:rPr>
          <w:rFonts w:cs="Arial"/>
          <w:szCs w:val="22"/>
        </w:rPr>
      </w:pPr>
      <w:r w:rsidRPr="006A3EAF">
        <w:rPr>
          <w:rFonts w:cs="Arial"/>
          <w:szCs w:val="22"/>
        </w:rPr>
        <w:t>Dotazníkové šetření bylo zahájeno dne 5.</w:t>
      </w:r>
      <w:r>
        <w:rPr>
          <w:rFonts w:cs="Arial"/>
          <w:szCs w:val="22"/>
        </w:rPr>
        <w:t xml:space="preserve"> </w:t>
      </w:r>
      <w:r w:rsidRPr="006A3EAF">
        <w:rPr>
          <w:rFonts w:cs="Arial"/>
          <w:szCs w:val="22"/>
        </w:rPr>
        <w:t>11.</w:t>
      </w:r>
      <w:r>
        <w:rPr>
          <w:rFonts w:cs="Arial"/>
          <w:szCs w:val="22"/>
        </w:rPr>
        <w:t xml:space="preserve"> </w:t>
      </w:r>
      <w:r w:rsidRPr="006A3EAF">
        <w:rPr>
          <w:rFonts w:cs="Arial"/>
          <w:szCs w:val="22"/>
        </w:rPr>
        <w:t>2013 a osloveno bylo prostřednictvím e</w:t>
      </w:r>
      <w:r>
        <w:rPr>
          <w:rFonts w:cs="Arial"/>
          <w:szCs w:val="22"/>
        </w:rPr>
        <w:t>-</w:t>
      </w:r>
      <w:r w:rsidRPr="006A3EAF">
        <w:rPr>
          <w:rFonts w:cs="Arial"/>
          <w:szCs w:val="22"/>
        </w:rPr>
        <w:t>mailu 2</w:t>
      </w:r>
      <w:r>
        <w:rPr>
          <w:rFonts w:cs="Arial"/>
          <w:szCs w:val="22"/>
        </w:rPr>
        <w:t> </w:t>
      </w:r>
      <w:r w:rsidRPr="006A3EAF">
        <w:rPr>
          <w:rFonts w:cs="Arial"/>
          <w:szCs w:val="22"/>
        </w:rPr>
        <w:t>026 dodavatelů. E</w:t>
      </w:r>
      <w:r>
        <w:rPr>
          <w:rFonts w:cs="Arial"/>
          <w:szCs w:val="22"/>
        </w:rPr>
        <w:t>-</w:t>
      </w:r>
      <w:r w:rsidRPr="006A3EAF">
        <w:rPr>
          <w:rFonts w:cs="Arial"/>
          <w:szCs w:val="22"/>
        </w:rPr>
        <w:t>mail byl úspěšně doručen 1</w:t>
      </w:r>
      <w:r>
        <w:rPr>
          <w:rFonts w:cs="Arial"/>
          <w:szCs w:val="22"/>
        </w:rPr>
        <w:t xml:space="preserve"> </w:t>
      </w:r>
      <w:r w:rsidRPr="006A3EAF">
        <w:rPr>
          <w:rFonts w:cs="Arial"/>
          <w:szCs w:val="22"/>
        </w:rPr>
        <w:t xml:space="preserve">948 </w:t>
      </w:r>
      <w:r w:rsidR="002C671F">
        <w:rPr>
          <w:rFonts w:cs="Arial"/>
          <w:szCs w:val="22"/>
        </w:rPr>
        <w:t>z </w:t>
      </w:r>
      <w:r w:rsidRPr="006A3EAF">
        <w:rPr>
          <w:rFonts w:cs="Arial"/>
          <w:szCs w:val="22"/>
        </w:rPr>
        <w:t xml:space="preserve">nich. Ve stanoveném termínu přišlo </w:t>
      </w:r>
      <w:r w:rsidRPr="00E63A0E">
        <w:rPr>
          <w:rFonts w:cs="Arial"/>
          <w:szCs w:val="22"/>
        </w:rPr>
        <w:t>588</w:t>
      </w:r>
      <w:r w:rsidR="00CF51AB">
        <w:rPr>
          <w:rFonts w:cs="Arial"/>
          <w:szCs w:val="22"/>
        </w:rPr>
        <w:t> </w:t>
      </w:r>
      <w:r w:rsidRPr="006A3EAF">
        <w:rPr>
          <w:rFonts w:cs="Arial"/>
          <w:szCs w:val="22"/>
        </w:rPr>
        <w:t>vyplněných dotazníků</w:t>
      </w:r>
      <w:r w:rsidR="00593BBA">
        <w:rPr>
          <w:rFonts w:cs="Arial"/>
          <w:szCs w:val="22"/>
        </w:rPr>
        <w:t>,</w:t>
      </w:r>
      <w:r w:rsidRPr="006A3EAF">
        <w:rPr>
          <w:rFonts w:cs="Arial"/>
          <w:szCs w:val="22"/>
        </w:rPr>
        <w:t xml:space="preserve"> návratnost tak činila 30,2 %. </w:t>
      </w:r>
    </w:p>
    <w:p w:rsidR="00CF51AB" w:rsidRPr="006A3EAF" w:rsidRDefault="00CF51AB" w:rsidP="00CE05BE">
      <w:pPr>
        <w:spacing w:after="0"/>
        <w:rPr>
          <w:rFonts w:cs="Arial"/>
          <w:szCs w:val="22"/>
        </w:rPr>
      </w:pPr>
    </w:p>
    <w:p w:rsidR="00137D7A" w:rsidRDefault="002F157B" w:rsidP="00CE05BE">
      <w:pPr>
        <w:spacing w:after="0"/>
        <w:rPr>
          <w:rFonts w:cs="Arial"/>
          <w:szCs w:val="22"/>
        </w:rPr>
      </w:pPr>
      <w:r>
        <w:rPr>
          <w:noProof/>
          <w:lang w:eastAsia="cs-CZ"/>
        </w:rPr>
        <w:drawing>
          <wp:anchor distT="0" distB="0" distL="114300" distR="114300" simplePos="0" relativeHeight="251661312" behindDoc="0" locked="0" layoutInCell="1" allowOverlap="1" wp14:anchorId="4DAB16D3" wp14:editId="37978DA5">
            <wp:simplePos x="0" y="0"/>
            <wp:positionH relativeFrom="column">
              <wp:posOffset>1326570</wp:posOffset>
            </wp:positionH>
            <wp:positionV relativeFrom="paragraph">
              <wp:posOffset>477078</wp:posOffset>
            </wp:positionV>
            <wp:extent cx="325801" cy="198783"/>
            <wp:effectExtent l="0" t="0" r="0" b="0"/>
            <wp:wrapNone/>
            <wp:docPr id="27" name="Obrázek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5755" cy="1987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37D7A">
        <w:rPr>
          <w:rFonts w:cs="Arial"/>
          <w:szCs w:val="22"/>
        </w:rPr>
        <w:t xml:space="preserve">Informace </w:t>
      </w:r>
      <w:r w:rsidR="002C671F">
        <w:rPr>
          <w:rFonts w:cs="Arial"/>
          <w:szCs w:val="22"/>
        </w:rPr>
        <w:t>k </w:t>
      </w:r>
      <w:r w:rsidR="00137D7A">
        <w:rPr>
          <w:rFonts w:cs="Arial"/>
          <w:szCs w:val="22"/>
        </w:rPr>
        <w:t xml:space="preserve">výběru respondentů jsou uvedeny v samostatné kapitole </w:t>
      </w:r>
      <w:r w:rsidR="00593BBA">
        <w:rPr>
          <w:rFonts w:cs="Arial"/>
          <w:szCs w:val="22"/>
        </w:rPr>
        <w:t>o</w:t>
      </w:r>
      <w:r w:rsidR="00137D7A">
        <w:rPr>
          <w:rFonts w:cs="Arial"/>
          <w:szCs w:val="22"/>
        </w:rPr>
        <w:t xml:space="preserve"> výsled</w:t>
      </w:r>
      <w:r w:rsidR="00593BBA">
        <w:rPr>
          <w:rFonts w:cs="Arial"/>
          <w:szCs w:val="22"/>
        </w:rPr>
        <w:t>cích</w:t>
      </w:r>
      <w:r w:rsidR="00137D7A">
        <w:rPr>
          <w:rFonts w:cs="Arial"/>
          <w:szCs w:val="22"/>
        </w:rPr>
        <w:t xml:space="preserve"> dotazníkového šetření. Respondenti byli rozděleni do tří skupin, které jsou v grafech barevně rozlišeny:</w:t>
      </w:r>
    </w:p>
    <w:p w:rsidR="00137D7A" w:rsidRDefault="002F157B" w:rsidP="00051C72">
      <w:pPr>
        <w:spacing w:after="0"/>
        <w:ind w:left="708"/>
        <w:rPr>
          <w:rFonts w:cs="Arial"/>
          <w:szCs w:val="22"/>
        </w:rPr>
      </w:pPr>
      <w:r>
        <w:rPr>
          <w:noProof/>
          <w:lang w:eastAsia="cs-CZ"/>
        </w:rPr>
        <w:drawing>
          <wp:anchor distT="0" distB="0" distL="114300" distR="114300" simplePos="0" relativeHeight="251662336" behindDoc="0" locked="0" layoutInCell="1" allowOverlap="1" wp14:anchorId="6C63A1D8" wp14:editId="4544CC50">
            <wp:simplePos x="0" y="0"/>
            <wp:positionH relativeFrom="column">
              <wp:posOffset>1298993</wp:posOffset>
            </wp:positionH>
            <wp:positionV relativeFrom="paragraph">
              <wp:posOffset>157586</wp:posOffset>
            </wp:positionV>
            <wp:extent cx="354132" cy="137290"/>
            <wp:effectExtent l="0" t="0" r="8255" b="0"/>
            <wp:wrapNone/>
            <wp:docPr id="28" name="Obrázek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54020" cy="13724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37D7A" w:rsidRPr="00C77CE2">
        <w:rPr>
          <w:rFonts w:cs="Arial"/>
          <w:b/>
          <w:szCs w:val="22"/>
        </w:rPr>
        <w:t>1.</w:t>
      </w:r>
      <w:r w:rsidR="00137D7A">
        <w:rPr>
          <w:rFonts w:cs="Arial"/>
          <w:szCs w:val="22"/>
        </w:rPr>
        <w:t xml:space="preserve"> </w:t>
      </w:r>
      <w:proofErr w:type="gramStart"/>
      <w:r w:rsidR="00593BBA">
        <w:rPr>
          <w:rFonts w:cs="Arial"/>
          <w:color w:val="548DD4" w:themeColor="text2" w:themeTint="99"/>
          <w:szCs w:val="22"/>
        </w:rPr>
        <w:t>d</w:t>
      </w:r>
      <w:r w:rsidR="00137D7A" w:rsidRPr="009F5065">
        <w:rPr>
          <w:rFonts w:cs="Arial"/>
          <w:color w:val="548DD4" w:themeColor="text2" w:themeTint="99"/>
          <w:szCs w:val="22"/>
        </w:rPr>
        <w:t>odavatelé</w:t>
      </w:r>
      <w:r w:rsidR="00137D7A">
        <w:rPr>
          <w:rFonts w:cs="Arial"/>
          <w:color w:val="4F81BD" w:themeColor="accent1"/>
          <w:szCs w:val="22"/>
        </w:rPr>
        <w:t xml:space="preserve">     (</w:t>
      </w:r>
      <w:r w:rsidR="00137D7A">
        <w:rPr>
          <w:rFonts w:cs="Arial"/>
          <w:szCs w:val="22"/>
        </w:rPr>
        <w:t xml:space="preserve">   , kteří</w:t>
      </w:r>
      <w:proofErr w:type="gramEnd"/>
      <w:r w:rsidR="00137D7A" w:rsidRPr="006A3EAF">
        <w:rPr>
          <w:rFonts w:cs="Arial"/>
          <w:szCs w:val="22"/>
        </w:rPr>
        <w:t xml:space="preserve"> vysoutěžili jednu VZ</w:t>
      </w:r>
      <w:r w:rsidR="00137D7A">
        <w:rPr>
          <w:rFonts w:cs="Arial"/>
          <w:szCs w:val="22"/>
        </w:rPr>
        <w:t xml:space="preserve">, </w:t>
      </w:r>
    </w:p>
    <w:p w:rsidR="00137D7A" w:rsidRDefault="00137D7A" w:rsidP="00051C72">
      <w:pPr>
        <w:spacing w:after="0"/>
        <w:ind w:left="708"/>
        <w:rPr>
          <w:rFonts w:cs="Arial"/>
          <w:szCs w:val="22"/>
        </w:rPr>
      </w:pPr>
      <w:r w:rsidRPr="00C77CE2">
        <w:rPr>
          <w:rFonts w:cs="Arial"/>
          <w:b/>
          <w:szCs w:val="22"/>
        </w:rPr>
        <w:t>2.</w:t>
      </w:r>
      <w:r>
        <w:rPr>
          <w:rFonts w:cs="Arial"/>
          <w:szCs w:val="22"/>
        </w:rPr>
        <w:t xml:space="preserve"> </w:t>
      </w:r>
      <w:proofErr w:type="gramStart"/>
      <w:r w:rsidR="00593BBA">
        <w:rPr>
          <w:rFonts w:cs="Arial"/>
          <w:color w:val="943634" w:themeColor="accent2" w:themeShade="BF"/>
          <w:szCs w:val="22"/>
        </w:rPr>
        <w:t>d</w:t>
      </w:r>
      <w:r w:rsidRPr="009F5065">
        <w:rPr>
          <w:rFonts w:cs="Arial"/>
          <w:color w:val="943634" w:themeColor="accent2" w:themeShade="BF"/>
          <w:szCs w:val="22"/>
        </w:rPr>
        <w:t>odavatelé</w:t>
      </w:r>
      <w:r>
        <w:rPr>
          <w:rFonts w:cs="Arial"/>
          <w:color w:val="FF0000"/>
          <w:szCs w:val="22"/>
        </w:rPr>
        <w:t xml:space="preserve">         </w:t>
      </w:r>
      <w:r>
        <w:rPr>
          <w:rFonts w:cs="Arial"/>
          <w:szCs w:val="22"/>
        </w:rPr>
        <w:t>,</w:t>
      </w:r>
      <w:r w:rsidRPr="006A3EAF">
        <w:rPr>
          <w:rFonts w:cs="Arial"/>
          <w:szCs w:val="22"/>
        </w:rPr>
        <w:t xml:space="preserve"> kteří</w:t>
      </w:r>
      <w:proofErr w:type="gramEnd"/>
      <w:r w:rsidRPr="006A3EAF">
        <w:rPr>
          <w:rFonts w:cs="Arial"/>
          <w:szCs w:val="22"/>
        </w:rPr>
        <w:t xml:space="preserve"> </w:t>
      </w:r>
      <w:proofErr w:type="spellStart"/>
      <w:r w:rsidRPr="006A3EAF">
        <w:rPr>
          <w:rFonts w:cs="Arial"/>
          <w:szCs w:val="22"/>
        </w:rPr>
        <w:t>vysoutěžili</w:t>
      </w:r>
      <w:proofErr w:type="spellEnd"/>
      <w:r w:rsidRPr="006A3EAF">
        <w:rPr>
          <w:rFonts w:cs="Arial"/>
          <w:szCs w:val="22"/>
        </w:rPr>
        <w:t xml:space="preserve"> 2 až 9 VZ</w:t>
      </w:r>
      <w:r w:rsidR="00593BBA">
        <w:rPr>
          <w:rFonts w:cs="Arial"/>
          <w:szCs w:val="22"/>
        </w:rPr>
        <w:t>,</w:t>
      </w:r>
      <w:r>
        <w:rPr>
          <w:rFonts w:cs="Arial"/>
          <w:szCs w:val="22"/>
        </w:rPr>
        <w:t xml:space="preserve"> </w:t>
      </w:r>
      <w:bookmarkStart w:id="4" w:name="_GoBack"/>
      <w:bookmarkEnd w:id="4"/>
    </w:p>
    <w:p w:rsidR="00137D7A" w:rsidRPr="006A3EAF" w:rsidRDefault="00137D7A" w:rsidP="00CE05BE">
      <w:pPr>
        <w:spacing w:after="0"/>
        <w:ind w:left="708"/>
        <w:rPr>
          <w:rFonts w:cs="Arial"/>
          <w:szCs w:val="22"/>
        </w:rPr>
      </w:pPr>
      <w:r w:rsidRPr="00C77CE2">
        <w:rPr>
          <w:rFonts w:cs="Arial"/>
          <w:b/>
          <w:szCs w:val="22"/>
        </w:rPr>
        <w:t>3.</w:t>
      </w:r>
      <w:r>
        <w:rPr>
          <w:rFonts w:cs="Arial"/>
          <w:szCs w:val="22"/>
        </w:rPr>
        <w:t xml:space="preserve"> </w:t>
      </w:r>
      <w:r w:rsidR="00593BBA">
        <w:rPr>
          <w:rFonts w:cs="Arial"/>
          <w:color w:val="76923C" w:themeColor="accent3" w:themeShade="BF"/>
          <w:szCs w:val="22"/>
        </w:rPr>
        <w:t>d</w:t>
      </w:r>
      <w:r w:rsidRPr="009F5065">
        <w:rPr>
          <w:rFonts w:cs="Arial"/>
          <w:color w:val="76923C" w:themeColor="accent3" w:themeShade="BF"/>
          <w:szCs w:val="22"/>
        </w:rPr>
        <w:t>odavatelé</w:t>
      </w:r>
      <w:r>
        <w:rPr>
          <w:rFonts w:cs="Arial"/>
          <w:color w:val="00B050"/>
          <w:szCs w:val="22"/>
        </w:rPr>
        <w:t xml:space="preserve"> </w:t>
      </w:r>
      <w:r>
        <w:rPr>
          <w:noProof/>
          <w:lang w:eastAsia="cs-CZ"/>
        </w:rPr>
        <w:drawing>
          <wp:inline distT="0" distB="0" distL="0" distR="0" wp14:anchorId="70833A83" wp14:editId="7568B331">
            <wp:extent cx="327043" cy="147995"/>
            <wp:effectExtent l="0" t="0" r="0" b="4445"/>
            <wp:docPr id="3" name="Obráze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325361" cy="1472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6A3EAF">
        <w:rPr>
          <w:rFonts w:cs="Arial"/>
          <w:szCs w:val="22"/>
        </w:rPr>
        <w:t>, kteří</w:t>
      </w:r>
      <w:r>
        <w:rPr>
          <w:rFonts w:cs="Arial"/>
          <w:szCs w:val="22"/>
        </w:rPr>
        <w:t> </w:t>
      </w:r>
      <w:proofErr w:type="spellStart"/>
      <w:r w:rsidRPr="006A3EAF">
        <w:rPr>
          <w:rFonts w:cs="Arial"/>
          <w:szCs w:val="22"/>
        </w:rPr>
        <w:t>vysoutěžili</w:t>
      </w:r>
      <w:proofErr w:type="spellEnd"/>
      <w:r w:rsidRPr="006A3EAF">
        <w:rPr>
          <w:rFonts w:cs="Arial"/>
          <w:szCs w:val="22"/>
        </w:rPr>
        <w:t xml:space="preserve"> 10 a více VZ</w:t>
      </w:r>
      <w:r w:rsidR="00593BBA">
        <w:rPr>
          <w:rFonts w:cs="Arial"/>
          <w:szCs w:val="22"/>
        </w:rPr>
        <w:t>.</w:t>
      </w:r>
      <w:r w:rsidRPr="006A3EAF">
        <w:rPr>
          <w:rFonts w:cs="Arial"/>
          <w:szCs w:val="22"/>
        </w:rPr>
        <w:t xml:space="preserve"> </w:t>
      </w:r>
    </w:p>
    <w:p w:rsidR="00CF51AB" w:rsidRDefault="00CF51AB" w:rsidP="00CE05BE">
      <w:pPr>
        <w:spacing w:after="0"/>
        <w:rPr>
          <w:rFonts w:cs="Arial"/>
          <w:szCs w:val="22"/>
        </w:rPr>
      </w:pPr>
    </w:p>
    <w:p w:rsidR="00137D7A" w:rsidRDefault="00137D7A" w:rsidP="00CE05BE">
      <w:pPr>
        <w:spacing w:after="0"/>
        <w:rPr>
          <w:rFonts w:cs="Arial"/>
          <w:szCs w:val="22"/>
        </w:rPr>
      </w:pPr>
      <w:r w:rsidRPr="006A3EAF">
        <w:rPr>
          <w:rFonts w:cs="Arial"/>
          <w:szCs w:val="22"/>
        </w:rPr>
        <w:t xml:space="preserve">Dotazník obsahoval 6 hlavních otázek a jednu doplňující. Otázky </w:t>
      </w:r>
      <w:r>
        <w:rPr>
          <w:rFonts w:cs="Arial"/>
          <w:szCs w:val="22"/>
        </w:rPr>
        <w:t xml:space="preserve">se </w:t>
      </w:r>
      <w:r w:rsidRPr="006A3EAF">
        <w:rPr>
          <w:rFonts w:cs="Arial"/>
          <w:szCs w:val="22"/>
        </w:rPr>
        <w:t>týkal</w:t>
      </w:r>
      <w:r>
        <w:rPr>
          <w:rFonts w:cs="Arial"/>
          <w:szCs w:val="22"/>
        </w:rPr>
        <w:t>y</w:t>
      </w:r>
      <w:r w:rsidRPr="006A3EAF">
        <w:rPr>
          <w:rFonts w:cs="Arial"/>
          <w:szCs w:val="22"/>
        </w:rPr>
        <w:t xml:space="preserve"> </w:t>
      </w:r>
      <w:r>
        <w:rPr>
          <w:rFonts w:cs="Arial"/>
          <w:szCs w:val="22"/>
        </w:rPr>
        <w:t xml:space="preserve">informovanosti, </w:t>
      </w:r>
      <w:r w:rsidRPr="006A3EAF">
        <w:rPr>
          <w:rFonts w:cs="Arial"/>
          <w:szCs w:val="22"/>
        </w:rPr>
        <w:t>důvod</w:t>
      </w:r>
      <w:r>
        <w:rPr>
          <w:rFonts w:cs="Arial"/>
          <w:szCs w:val="22"/>
        </w:rPr>
        <w:t>ů</w:t>
      </w:r>
      <w:r w:rsidR="00593BBA">
        <w:rPr>
          <w:rFonts w:cs="Arial"/>
          <w:szCs w:val="22"/>
        </w:rPr>
        <w:t>, proč se dodavatelé</w:t>
      </w:r>
      <w:r w:rsidRPr="006A3EAF">
        <w:rPr>
          <w:rFonts w:cs="Arial"/>
          <w:szCs w:val="22"/>
        </w:rPr>
        <w:t xml:space="preserve"> neregistr</w:t>
      </w:r>
      <w:r w:rsidR="00593BBA">
        <w:rPr>
          <w:rFonts w:cs="Arial"/>
          <w:szCs w:val="22"/>
        </w:rPr>
        <w:t>ovali</w:t>
      </w:r>
      <w:r w:rsidRPr="006A3EAF">
        <w:rPr>
          <w:rFonts w:cs="Arial"/>
          <w:szCs w:val="22"/>
        </w:rPr>
        <w:t xml:space="preserve"> na</w:t>
      </w:r>
      <w:r w:rsidR="00593BBA">
        <w:rPr>
          <w:rFonts w:cs="Arial"/>
          <w:szCs w:val="22"/>
        </w:rPr>
        <w:t xml:space="preserve"> </w:t>
      </w:r>
      <w:r w:rsidRPr="006A3EAF">
        <w:rPr>
          <w:rFonts w:cs="Arial"/>
          <w:szCs w:val="22"/>
        </w:rPr>
        <w:t>všech provozovaných e-tržištích</w:t>
      </w:r>
      <w:r w:rsidR="00593BBA">
        <w:rPr>
          <w:rFonts w:cs="Arial"/>
          <w:szCs w:val="22"/>
        </w:rPr>
        <w:t>,</w:t>
      </w:r>
      <w:r w:rsidR="00E72F2D">
        <w:rPr>
          <w:rFonts w:cs="Arial"/>
          <w:szCs w:val="22"/>
        </w:rPr>
        <w:t xml:space="preserve"> </w:t>
      </w:r>
      <w:r w:rsidR="00593BBA">
        <w:rPr>
          <w:rFonts w:cs="Arial"/>
          <w:szCs w:val="22"/>
        </w:rPr>
        <w:t>či</w:t>
      </w:r>
      <w:r w:rsidR="00E72F2D">
        <w:rPr>
          <w:rFonts w:cs="Arial"/>
          <w:szCs w:val="22"/>
        </w:rPr>
        <w:t xml:space="preserve"> zkušeností s </w:t>
      </w:r>
      <w:r w:rsidRPr="006A3EAF">
        <w:rPr>
          <w:rFonts w:cs="Arial"/>
          <w:szCs w:val="22"/>
        </w:rPr>
        <w:t>využíváním e-tržiště.</w:t>
      </w:r>
    </w:p>
    <w:p w:rsidR="00051C72" w:rsidRPr="00CE05BE" w:rsidRDefault="00051C72" w:rsidP="00CE05BE">
      <w:pPr>
        <w:spacing w:after="0"/>
        <w:rPr>
          <w:rFonts w:cs="Arial"/>
          <w:sz w:val="24"/>
        </w:rPr>
      </w:pPr>
    </w:p>
    <w:p w:rsidR="00137D7A" w:rsidRDefault="00137D7A" w:rsidP="00CE05BE">
      <w:pPr>
        <w:spacing w:after="0"/>
        <w:rPr>
          <w:b/>
          <w:sz w:val="24"/>
        </w:rPr>
      </w:pPr>
      <w:r w:rsidRPr="00CE05BE">
        <w:rPr>
          <w:b/>
          <w:sz w:val="24"/>
        </w:rPr>
        <w:t>Vyhodnocení odpovědí:</w:t>
      </w:r>
    </w:p>
    <w:p w:rsidR="00593BBA" w:rsidRPr="00CE05BE" w:rsidRDefault="00593BBA" w:rsidP="00CE05BE">
      <w:pPr>
        <w:spacing w:after="0"/>
        <w:rPr>
          <w:b/>
          <w:sz w:val="24"/>
        </w:rPr>
      </w:pPr>
    </w:p>
    <w:p w:rsidR="00137D7A" w:rsidRPr="006A3EAF" w:rsidRDefault="00137D7A" w:rsidP="00CE05BE">
      <w:pPr>
        <w:pStyle w:val="Nadpis1"/>
        <w:numPr>
          <w:ilvl w:val="0"/>
          <w:numId w:val="25"/>
        </w:numPr>
        <w:spacing w:before="0" w:after="0"/>
        <w:ind w:left="284" w:hanging="284"/>
      </w:pPr>
      <w:r w:rsidRPr="006A3EAF">
        <w:t>Uveďte zdroj informace, na jejímž základě jste se rozhodli zaregistrovat</w:t>
      </w:r>
      <w:r w:rsidR="00593BBA">
        <w:t xml:space="preserve"> se</w:t>
      </w:r>
      <w:r w:rsidRPr="006A3EAF">
        <w:t xml:space="preserve"> na e-tržišti.</w:t>
      </w:r>
    </w:p>
    <w:p w:rsidR="00CF51AB" w:rsidRDefault="00CF51AB" w:rsidP="00CE05BE">
      <w:pPr>
        <w:spacing w:after="0"/>
        <w:rPr>
          <w:rFonts w:cs="Arial"/>
          <w:szCs w:val="22"/>
        </w:rPr>
      </w:pPr>
    </w:p>
    <w:p w:rsidR="00137D7A" w:rsidRPr="006A3EAF" w:rsidRDefault="00137D7A" w:rsidP="00051C72">
      <w:pPr>
        <w:rPr>
          <w:rFonts w:cs="Arial"/>
          <w:szCs w:val="22"/>
        </w:rPr>
      </w:pPr>
      <w:r w:rsidRPr="00BB5CBE">
        <w:rPr>
          <w:rFonts w:cs="Arial"/>
          <w:szCs w:val="22"/>
        </w:rPr>
        <w:t>Rozhodující</w:t>
      </w:r>
      <w:r w:rsidR="00593BBA">
        <w:rPr>
          <w:rFonts w:cs="Arial"/>
          <w:szCs w:val="22"/>
        </w:rPr>
        <w:t>m</w:t>
      </w:r>
      <w:r w:rsidRPr="00BB5CBE">
        <w:rPr>
          <w:rFonts w:cs="Arial"/>
          <w:szCs w:val="22"/>
        </w:rPr>
        <w:t xml:space="preserve"> </w:t>
      </w:r>
      <w:r w:rsidR="00593BBA">
        <w:rPr>
          <w:rFonts w:cs="Arial"/>
          <w:szCs w:val="22"/>
        </w:rPr>
        <w:t>impulzem</w:t>
      </w:r>
      <w:r w:rsidRPr="00BB5CBE">
        <w:rPr>
          <w:rFonts w:cs="Arial"/>
          <w:szCs w:val="22"/>
        </w:rPr>
        <w:t xml:space="preserve"> pro </w:t>
      </w:r>
      <w:r w:rsidR="00593BBA">
        <w:rPr>
          <w:rFonts w:cs="Arial"/>
          <w:szCs w:val="22"/>
        </w:rPr>
        <w:t>registr</w:t>
      </w:r>
      <w:r w:rsidR="00686C0B">
        <w:rPr>
          <w:rFonts w:cs="Arial"/>
          <w:szCs w:val="22"/>
        </w:rPr>
        <w:t xml:space="preserve">aci </w:t>
      </w:r>
      <w:r w:rsidRPr="00BB5CBE">
        <w:rPr>
          <w:rFonts w:cs="Arial"/>
          <w:szCs w:val="22"/>
        </w:rPr>
        <w:t xml:space="preserve">na e-tržišti bylo </w:t>
      </w:r>
      <w:r w:rsidR="00593BBA">
        <w:rPr>
          <w:rFonts w:cs="Arial"/>
          <w:szCs w:val="22"/>
        </w:rPr>
        <w:t xml:space="preserve">u dodavatelů </w:t>
      </w:r>
      <w:r w:rsidRPr="00BB5CBE">
        <w:rPr>
          <w:rFonts w:cs="Arial"/>
          <w:szCs w:val="22"/>
        </w:rPr>
        <w:t xml:space="preserve">zejména využití možnosti </w:t>
      </w:r>
      <w:proofErr w:type="spellStart"/>
      <w:r w:rsidRPr="00BB5CBE">
        <w:rPr>
          <w:rFonts w:cs="Arial"/>
          <w:szCs w:val="22"/>
        </w:rPr>
        <w:t>předregistrace</w:t>
      </w:r>
      <w:proofErr w:type="spellEnd"/>
      <w:r w:rsidRPr="00BB5CBE">
        <w:rPr>
          <w:rFonts w:cs="Arial"/>
          <w:szCs w:val="22"/>
        </w:rPr>
        <w:t xml:space="preserve"> zadavatelem (uvedlo 41 % dodavatelů). Tím, že MMR nastavilo tuto možnost, usnadnilo zadavatelům pokračovat </w:t>
      </w:r>
      <w:r w:rsidR="002C671F">
        <w:rPr>
          <w:rFonts w:cs="Arial"/>
          <w:szCs w:val="22"/>
        </w:rPr>
        <w:t>v </w:t>
      </w:r>
      <w:r w:rsidRPr="00BB5CBE">
        <w:rPr>
          <w:rFonts w:cs="Arial"/>
          <w:szCs w:val="22"/>
        </w:rPr>
        <w:t xml:space="preserve">obchodní spolupráci se svými dodavateli, se kterými již měli zkušenost. </w:t>
      </w:r>
      <w:r w:rsidR="00686C0B">
        <w:rPr>
          <w:rFonts w:cs="Arial"/>
          <w:szCs w:val="22"/>
        </w:rPr>
        <w:t>V</w:t>
      </w:r>
      <w:r w:rsidRPr="00BB5CBE">
        <w:rPr>
          <w:rFonts w:cs="Arial"/>
          <w:szCs w:val="22"/>
        </w:rPr>
        <w:t xml:space="preserve">ýznamným zdrojem </w:t>
      </w:r>
      <w:r w:rsidR="00686C0B">
        <w:rPr>
          <w:rFonts w:cs="Arial"/>
          <w:szCs w:val="22"/>
        </w:rPr>
        <w:t xml:space="preserve">informací stimulujících k registraci </w:t>
      </w:r>
      <w:r w:rsidRPr="00BB5CBE">
        <w:rPr>
          <w:rFonts w:cs="Arial"/>
          <w:szCs w:val="22"/>
        </w:rPr>
        <w:t xml:space="preserve">byl internet (32 % dodavatelů). Informace získané </w:t>
      </w:r>
      <w:r w:rsidR="002C671F">
        <w:rPr>
          <w:rFonts w:cs="Arial"/>
          <w:szCs w:val="22"/>
        </w:rPr>
        <w:t>z </w:t>
      </w:r>
      <w:r w:rsidRPr="00BB5CBE">
        <w:rPr>
          <w:rFonts w:cs="Arial"/>
          <w:szCs w:val="22"/>
        </w:rPr>
        <w:t xml:space="preserve">internetu zdaleka předčily informace </w:t>
      </w:r>
      <w:r w:rsidR="002C671F">
        <w:rPr>
          <w:rFonts w:cs="Arial"/>
          <w:szCs w:val="22"/>
        </w:rPr>
        <w:t>z </w:t>
      </w:r>
      <w:r w:rsidRPr="00BB5CBE">
        <w:rPr>
          <w:rFonts w:cs="Arial"/>
          <w:szCs w:val="22"/>
        </w:rPr>
        <w:t>konferencí, seminářů či školení pořádan</w:t>
      </w:r>
      <w:r>
        <w:rPr>
          <w:rFonts w:cs="Arial"/>
          <w:szCs w:val="22"/>
        </w:rPr>
        <w:t>ých</w:t>
      </w:r>
      <w:r w:rsidRPr="00BB5CBE">
        <w:rPr>
          <w:rFonts w:cs="Arial"/>
          <w:szCs w:val="22"/>
        </w:rPr>
        <w:t xml:space="preserve"> jak MMR, tak provozovateli e-tržišť. </w:t>
      </w:r>
    </w:p>
    <w:p w:rsidR="00CF51AB" w:rsidRDefault="00CF51AB">
      <w:pPr>
        <w:spacing w:after="200" w:line="276" w:lineRule="auto"/>
        <w:jc w:val="left"/>
        <w:rPr>
          <w:rFonts w:cs="Arial"/>
          <w:b/>
          <w:szCs w:val="22"/>
        </w:rPr>
      </w:pPr>
      <w:r>
        <w:rPr>
          <w:rFonts w:cs="Arial"/>
          <w:b/>
          <w:szCs w:val="22"/>
        </w:rPr>
        <w:br w:type="page"/>
      </w:r>
    </w:p>
    <w:p w:rsidR="00137D7A" w:rsidRPr="006A3EAF" w:rsidRDefault="00137D7A" w:rsidP="00051C72">
      <w:pPr>
        <w:spacing w:after="0"/>
        <w:rPr>
          <w:rFonts w:cs="Arial"/>
          <w:b/>
          <w:szCs w:val="22"/>
        </w:rPr>
      </w:pPr>
      <w:r w:rsidRPr="006A3EAF">
        <w:rPr>
          <w:rFonts w:cs="Arial"/>
          <w:b/>
          <w:szCs w:val="22"/>
        </w:rPr>
        <w:lastRenderedPageBreak/>
        <w:t xml:space="preserve">Graf č. </w:t>
      </w:r>
      <w:r w:rsidRPr="00686C0B">
        <w:rPr>
          <w:rFonts w:cs="Arial"/>
          <w:b/>
          <w:szCs w:val="22"/>
        </w:rPr>
        <w:t xml:space="preserve">1 </w:t>
      </w:r>
      <w:r w:rsidR="00CF51AB" w:rsidRPr="00686C0B">
        <w:rPr>
          <w:rFonts w:cs="Arial"/>
          <w:b/>
          <w:szCs w:val="22"/>
        </w:rPr>
        <w:t xml:space="preserve">– </w:t>
      </w:r>
      <w:r w:rsidRPr="00433C80">
        <w:rPr>
          <w:rFonts w:cs="Arial"/>
          <w:b/>
          <w:szCs w:val="22"/>
        </w:rPr>
        <w:t>Zdroj informací pro učinění registrace na e-tržišti</w:t>
      </w:r>
      <w:r w:rsidRPr="006A3EAF">
        <w:rPr>
          <w:rFonts w:cs="Arial"/>
          <w:b/>
          <w:szCs w:val="22"/>
        </w:rPr>
        <w:t xml:space="preserve"> </w:t>
      </w:r>
    </w:p>
    <w:p w:rsidR="00137D7A" w:rsidRPr="006A3EAF" w:rsidRDefault="000E45FA" w:rsidP="00051C72">
      <w:pPr>
        <w:rPr>
          <w:rFonts w:cs="Arial"/>
          <w:b/>
          <w:szCs w:val="22"/>
        </w:rPr>
      </w:pPr>
      <w:r>
        <w:rPr>
          <w:rFonts w:cs="Arial"/>
          <w:b/>
          <w:noProof/>
          <w:szCs w:val="22"/>
          <w:lang w:eastAsia="cs-CZ"/>
        </w:rPr>
        <w:drawing>
          <wp:inline distT="0" distB="0" distL="0" distR="0" wp14:anchorId="682B7B46">
            <wp:extent cx="5756745" cy="3688333"/>
            <wp:effectExtent l="0" t="0" r="0" b="7620"/>
            <wp:docPr id="4" name="Obráze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1787" cy="3691563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137D7A" w:rsidRPr="00E72F2D" w:rsidRDefault="00137D7A" w:rsidP="00051C72">
      <w:pPr>
        <w:spacing w:after="0"/>
        <w:rPr>
          <w:rFonts w:cs="Arial"/>
          <w:sz w:val="18"/>
          <w:szCs w:val="18"/>
        </w:rPr>
      </w:pPr>
      <w:r w:rsidRPr="00E72F2D">
        <w:rPr>
          <w:rFonts w:cs="Arial"/>
          <w:b/>
          <w:sz w:val="18"/>
          <w:szCs w:val="18"/>
        </w:rPr>
        <w:t>Pozn</w:t>
      </w:r>
      <w:r w:rsidR="00E72F2D" w:rsidRPr="00E72F2D">
        <w:rPr>
          <w:rFonts w:cs="Arial"/>
          <w:b/>
          <w:sz w:val="18"/>
          <w:szCs w:val="18"/>
        </w:rPr>
        <w:t>.</w:t>
      </w:r>
      <w:r w:rsidRPr="00E72F2D">
        <w:rPr>
          <w:rFonts w:cs="Arial"/>
          <w:b/>
          <w:sz w:val="18"/>
          <w:szCs w:val="18"/>
        </w:rPr>
        <w:t>:</w:t>
      </w:r>
      <w:r w:rsidRPr="00E72F2D">
        <w:rPr>
          <w:rFonts w:cs="Arial"/>
          <w:sz w:val="18"/>
          <w:szCs w:val="18"/>
        </w:rPr>
        <w:t xml:space="preserve"> 100 % = 588 respondentů</w:t>
      </w:r>
      <w:r w:rsidR="00E72F2D">
        <w:rPr>
          <w:rFonts w:cs="Arial"/>
          <w:sz w:val="18"/>
          <w:szCs w:val="18"/>
        </w:rPr>
        <w:t>.</w:t>
      </w:r>
      <w:r w:rsidRPr="00E72F2D">
        <w:rPr>
          <w:rFonts w:cs="Arial"/>
          <w:sz w:val="18"/>
          <w:szCs w:val="18"/>
        </w:rPr>
        <w:t xml:space="preserve"> </w:t>
      </w:r>
    </w:p>
    <w:p w:rsidR="00A26E0C" w:rsidRDefault="00A26E0C">
      <w:pPr>
        <w:spacing w:after="200" w:line="276" w:lineRule="auto"/>
        <w:jc w:val="left"/>
        <w:rPr>
          <w:rFonts w:cs="Arial"/>
          <w:szCs w:val="22"/>
        </w:rPr>
      </w:pPr>
    </w:p>
    <w:p w:rsidR="00A26E0C" w:rsidRDefault="00A26E0C">
      <w:pPr>
        <w:spacing w:after="200" w:line="276" w:lineRule="auto"/>
        <w:jc w:val="left"/>
        <w:rPr>
          <w:rFonts w:cs="Arial"/>
          <w:szCs w:val="22"/>
        </w:rPr>
      </w:pPr>
      <w:r>
        <w:rPr>
          <w:rFonts w:cs="Arial"/>
          <w:szCs w:val="22"/>
        </w:rPr>
        <w:br w:type="page"/>
      </w:r>
    </w:p>
    <w:p w:rsidR="00CE5CEF" w:rsidRPr="006A3EAF" w:rsidRDefault="00CE5CEF" w:rsidP="00A676D7">
      <w:pPr>
        <w:spacing w:after="0"/>
        <w:rPr>
          <w:rFonts w:cs="Arial"/>
          <w:szCs w:val="22"/>
        </w:rPr>
      </w:pPr>
    </w:p>
    <w:p w:rsidR="00137D7A" w:rsidRPr="00137D7A" w:rsidRDefault="00137D7A" w:rsidP="00A676D7">
      <w:pPr>
        <w:pStyle w:val="Nadpis2"/>
        <w:numPr>
          <w:ilvl w:val="0"/>
          <w:numId w:val="25"/>
        </w:numPr>
        <w:spacing w:before="0"/>
        <w:ind w:left="284" w:hanging="284"/>
        <w:jc w:val="left"/>
        <w:rPr>
          <w:b w:val="0"/>
        </w:rPr>
      </w:pPr>
      <w:r w:rsidRPr="00137D7A">
        <w:t>Pokud nejste registrováni současně na všech pěti e-tržištích, vyberte max. 3 důvody z níže uvedených možností, které nejlépe vystihují Váš názor.</w:t>
      </w:r>
    </w:p>
    <w:p w:rsidR="004E188B" w:rsidRDefault="004E188B" w:rsidP="00A676D7">
      <w:pPr>
        <w:spacing w:after="0"/>
        <w:rPr>
          <w:rFonts w:cs="Arial"/>
          <w:szCs w:val="22"/>
        </w:rPr>
      </w:pPr>
    </w:p>
    <w:p w:rsidR="00137D7A" w:rsidRDefault="00137D7A" w:rsidP="00A676D7">
      <w:pPr>
        <w:spacing w:after="0"/>
        <w:rPr>
          <w:rFonts w:cs="Arial"/>
          <w:szCs w:val="22"/>
        </w:rPr>
      </w:pPr>
      <w:r>
        <w:rPr>
          <w:rFonts w:cs="Arial"/>
          <w:szCs w:val="22"/>
        </w:rPr>
        <w:t>O</w:t>
      </w:r>
      <w:r w:rsidRPr="006A3EAF">
        <w:rPr>
          <w:rFonts w:cs="Arial"/>
          <w:szCs w:val="22"/>
        </w:rPr>
        <w:t xml:space="preserve">tázka směřovala na objasnění důvodů, proč se dodavatelé neregistrují na všech provozovaných e-tržištích. </w:t>
      </w:r>
    </w:p>
    <w:p w:rsidR="004E188B" w:rsidRPr="006A3EAF" w:rsidRDefault="004E188B" w:rsidP="00A676D7">
      <w:pPr>
        <w:spacing w:after="0"/>
        <w:rPr>
          <w:rFonts w:cs="Arial"/>
          <w:szCs w:val="22"/>
        </w:rPr>
      </w:pPr>
    </w:p>
    <w:p w:rsidR="00137D7A" w:rsidRDefault="00137D7A" w:rsidP="00A676D7">
      <w:pPr>
        <w:spacing w:after="0"/>
        <w:rPr>
          <w:rFonts w:cs="Arial"/>
          <w:szCs w:val="22"/>
        </w:rPr>
      </w:pPr>
      <w:r w:rsidRPr="006A3EAF">
        <w:rPr>
          <w:rFonts w:cs="Arial"/>
          <w:szCs w:val="22"/>
        </w:rPr>
        <w:t>Nejčastějším důvodem pro neregistraci na všech pěti provozovaných e-tržištích bylo využívání jen e-tržiště doporučené</w:t>
      </w:r>
      <w:r>
        <w:rPr>
          <w:rFonts w:cs="Arial"/>
          <w:szCs w:val="22"/>
        </w:rPr>
        <w:t>ho</w:t>
      </w:r>
      <w:r w:rsidRPr="006A3EAF">
        <w:rPr>
          <w:rFonts w:cs="Arial"/>
          <w:szCs w:val="22"/>
        </w:rPr>
        <w:t xml:space="preserve"> zadavatelem (49 % dodavatelů). </w:t>
      </w:r>
      <w:r w:rsidR="006053E5">
        <w:rPr>
          <w:rFonts w:cs="Arial"/>
          <w:szCs w:val="22"/>
        </w:rPr>
        <w:t>Tato odpověď byla nejčastější u </w:t>
      </w:r>
      <w:r w:rsidRPr="006A3EAF">
        <w:rPr>
          <w:rFonts w:cs="Arial"/>
          <w:szCs w:val="22"/>
        </w:rPr>
        <w:t>všech analyzovaných</w:t>
      </w:r>
      <w:r>
        <w:rPr>
          <w:rFonts w:cs="Arial"/>
          <w:szCs w:val="22"/>
        </w:rPr>
        <w:t xml:space="preserve"> skupin dodavatelů. D</w:t>
      </w:r>
      <w:r w:rsidRPr="006A3EAF">
        <w:rPr>
          <w:rFonts w:cs="Arial"/>
          <w:szCs w:val="22"/>
        </w:rPr>
        <w:t xml:space="preserve">odavatelé, kteří vysoutěžili více než 10 VZ, </w:t>
      </w:r>
      <w:r w:rsidR="00686C0B" w:rsidRPr="006A3EAF">
        <w:rPr>
          <w:rFonts w:cs="Arial"/>
          <w:szCs w:val="22"/>
        </w:rPr>
        <w:t xml:space="preserve">využívali </w:t>
      </w:r>
      <w:r w:rsidRPr="006A3EAF">
        <w:rPr>
          <w:rFonts w:cs="Arial"/>
          <w:szCs w:val="22"/>
        </w:rPr>
        <w:t xml:space="preserve">nejčastěji jen e-tržiště, kde je velký počet zadavatelů (38 % dodavatelů z této skupiny). Oproti tomu dodavatelé, kteří </w:t>
      </w:r>
      <w:proofErr w:type="spellStart"/>
      <w:r w:rsidRPr="006A3EAF">
        <w:rPr>
          <w:rFonts w:cs="Arial"/>
          <w:szCs w:val="22"/>
        </w:rPr>
        <w:t>vysoutěžili</w:t>
      </w:r>
      <w:proofErr w:type="spellEnd"/>
      <w:r w:rsidRPr="006A3EAF">
        <w:rPr>
          <w:rFonts w:cs="Arial"/>
          <w:szCs w:val="22"/>
        </w:rPr>
        <w:t xml:space="preserve"> jednu</w:t>
      </w:r>
      <w:r w:rsidR="00686C0B">
        <w:rPr>
          <w:rFonts w:cs="Arial"/>
          <w:szCs w:val="22"/>
        </w:rPr>
        <w:t xml:space="preserve"> </w:t>
      </w:r>
      <w:proofErr w:type="spellStart"/>
      <w:r w:rsidR="00686C0B">
        <w:rPr>
          <w:rFonts w:cs="Arial"/>
          <w:szCs w:val="22"/>
        </w:rPr>
        <w:t>VZ</w:t>
      </w:r>
      <w:proofErr w:type="spellEnd"/>
      <w:r w:rsidRPr="006A3EAF">
        <w:rPr>
          <w:rFonts w:cs="Arial"/>
          <w:szCs w:val="22"/>
        </w:rPr>
        <w:t xml:space="preserve"> či 2 až 9 VZ</w:t>
      </w:r>
      <w:r w:rsidR="00686C0B">
        <w:rPr>
          <w:rFonts w:cs="Arial"/>
          <w:szCs w:val="22"/>
        </w:rPr>
        <w:t>,</w:t>
      </w:r>
      <w:r w:rsidRPr="006A3EAF">
        <w:rPr>
          <w:rFonts w:cs="Arial"/>
          <w:szCs w:val="22"/>
        </w:rPr>
        <w:t xml:space="preserve"> uváděli, že nemají dostatečné informace o dalších e-tržištích (shodně 42 % dod</w:t>
      </w:r>
      <w:r w:rsidR="006053E5">
        <w:rPr>
          <w:rFonts w:cs="Arial"/>
          <w:szCs w:val="22"/>
        </w:rPr>
        <w:t>avatelů z každé této skupiny)</w:t>
      </w:r>
      <w:r w:rsidR="00686C0B">
        <w:rPr>
          <w:rFonts w:cs="Arial"/>
          <w:szCs w:val="22"/>
        </w:rPr>
        <w:t>,</w:t>
      </w:r>
      <w:r w:rsidR="006053E5">
        <w:rPr>
          <w:rFonts w:cs="Arial"/>
          <w:szCs w:val="22"/>
        </w:rPr>
        <w:t xml:space="preserve"> a </w:t>
      </w:r>
      <w:r w:rsidRPr="006A3EAF">
        <w:rPr>
          <w:rFonts w:cs="Arial"/>
          <w:szCs w:val="22"/>
        </w:rPr>
        <w:t>rovněž je odradila nutná registrace na každém z provozovaných e-tržišť (23 % dodavatelů ze skupiny</w:t>
      </w:r>
      <w:r w:rsidR="00494596">
        <w:rPr>
          <w:rFonts w:cs="Arial"/>
          <w:szCs w:val="22"/>
        </w:rPr>
        <w:t> </w:t>
      </w:r>
      <w:r w:rsidRPr="006A3EAF">
        <w:rPr>
          <w:rFonts w:cs="Arial"/>
          <w:szCs w:val="22"/>
        </w:rPr>
        <w:t>1</w:t>
      </w:r>
      <w:r w:rsidR="00494596">
        <w:rPr>
          <w:rFonts w:cs="Arial"/>
          <w:szCs w:val="22"/>
        </w:rPr>
        <w:t> </w:t>
      </w:r>
      <w:r w:rsidRPr="006A3EAF">
        <w:rPr>
          <w:rFonts w:cs="Arial"/>
          <w:szCs w:val="22"/>
        </w:rPr>
        <w:t>a</w:t>
      </w:r>
      <w:r w:rsidR="00494596">
        <w:rPr>
          <w:rFonts w:cs="Arial"/>
          <w:szCs w:val="22"/>
        </w:rPr>
        <w:t> </w:t>
      </w:r>
      <w:r w:rsidRPr="006A3EAF">
        <w:rPr>
          <w:rFonts w:cs="Arial"/>
          <w:szCs w:val="22"/>
        </w:rPr>
        <w:t xml:space="preserve">26 % dodavatelů ze skupiny 2). </w:t>
      </w:r>
    </w:p>
    <w:p w:rsidR="004E188B" w:rsidRPr="006A3EAF" w:rsidRDefault="004E188B" w:rsidP="00A676D7">
      <w:pPr>
        <w:spacing w:after="0"/>
        <w:rPr>
          <w:rFonts w:cs="Arial"/>
          <w:szCs w:val="22"/>
        </w:rPr>
      </w:pPr>
    </w:p>
    <w:p w:rsidR="00137D7A" w:rsidRDefault="00137D7A" w:rsidP="00A676D7">
      <w:pPr>
        <w:spacing w:after="0"/>
        <w:rPr>
          <w:rFonts w:cs="Arial"/>
          <w:szCs w:val="22"/>
        </w:rPr>
      </w:pPr>
      <w:r>
        <w:rPr>
          <w:rFonts w:cs="Arial"/>
          <w:szCs w:val="22"/>
        </w:rPr>
        <w:t>Mezi jinými důvody neregistrace na všech pěti e-tržištích, které respondenti uváděli, byly zejména: n</w:t>
      </w:r>
      <w:r w:rsidRPr="006A3EAF">
        <w:rPr>
          <w:rFonts w:cs="Arial"/>
          <w:szCs w:val="22"/>
        </w:rPr>
        <w:t>ejednotnost prostředí e-tržišť</w:t>
      </w:r>
      <w:r>
        <w:rPr>
          <w:rFonts w:cs="Arial"/>
          <w:szCs w:val="22"/>
        </w:rPr>
        <w:t>, p</w:t>
      </w:r>
      <w:r w:rsidRPr="006A3EAF">
        <w:rPr>
          <w:rFonts w:cs="Arial"/>
          <w:szCs w:val="22"/>
        </w:rPr>
        <w:t xml:space="preserve">roblémy </w:t>
      </w:r>
      <w:r w:rsidR="002C671F">
        <w:rPr>
          <w:rFonts w:cs="Arial"/>
          <w:szCs w:val="22"/>
        </w:rPr>
        <w:t>s </w:t>
      </w:r>
      <w:r w:rsidRPr="006A3EAF">
        <w:rPr>
          <w:rFonts w:cs="Arial"/>
          <w:szCs w:val="22"/>
        </w:rPr>
        <w:t>registrací na e-tržišti</w:t>
      </w:r>
      <w:r>
        <w:rPr>
          <w:rFonts w:cs="Arial"/>
          <w:szCs w:val="22"/>
        </w:rPr>
        <w:t xml:space="preserve">, </w:t>
      </w:r>
      <w:r w:rsidR="00686C0B">
        <w:rPr>
          <w:rFonts w:cs="Arial"/>
          <w:szCs w:val="22"/>
        </w:rPr>
        <w:t>malý počet poptávek na některých e-tržištích</w:t>
      </w:r>
      <w:r>
        <w:rPr>
          <w:rFonts w:cs="Arial"/>
          <w:szCs w:val="22"/>
        </w:rPr>
        <w:t>, z</w:t>
      </w:r>
      <w:r w:rsidRPr="006A3EAF">
        <w:rPr>
          <w:rFonts w:cs="Arial"/>
          <w:szCs w:val="22"/>
        </w:rPr>
        <w:t xml:space="preserve">átěž pro dodavatele </w:t>
      </w:r>
      <w:r w:rsidR="00C32FFC">
        <w:rPr>
          <w:rFonts w:cs="Arial"/>
          <w:szCs w:val="22"/>
        </w:rPr>
        <w:t>(</w:t>
      </w:r>
      <w:r w:rsidRPr="006A3EAF">
        <w:rPr>
          <w:rFonts w:cs="Arial"/>
          <w:szCs w:val="22"/>
        </w:rPr>
        <w:t>administra</w:t>
      </w:r>
      <w:r>
        <w:rPr>
          <w:rFonts w:cs="Arial"/>
          <w:szCs w:val="22"/>
        </w:rPr>
        <w:t>tivní</w:t>
      </w:r>
      <w:r w:rsidRPr="006A3EAF">
        <w:rPr>
          <w:rFonts w:cs="Arial"/>
          <w:szCs w:val="22"/>
        </w:rPr>
        <w:t>, časová, finanční</w:t>
      </w:r>
      <w:r w:rsidR="00C32FFC">
        <w:rPr>
          <w:rFonts w:cs="Arial"/>
          <w:szCs w:val="22"/>
        </w:rPr>
        <w:t>),</w:t>
      </w:r>
      <w:r>
        <w:rPr>
          <w:rFonts w:cs="Arial"/>
          <w:szCs w:val="22"/>
        </w:rPr>
        <w:t xml:space="preserve"> k</w:t>
      </w:r>
      <w:r w:rsidRPr="006A3EAF">
        <w:rPr>
          <w:rFonts w:cs="Arial"/>
          <w:szCs w:val="22"/>
        </w:rPr>
        <w:t>omplikované podá</w:t>
      </w:r>
      <w:r w:rsidR="00C32FFC">
        <w:rPr>
          <w:rFonts w:cs="Arial"/>
          <w:szCs w:val="22"/>
        </w:rPr>
        <w:t>vá</w:t>
      </w:r>
      <w:r w:rsidRPr="006A3EAF">
        <w:rPr>
          <w:rFonts w:cs="Arial"/>
          <w:szCs w:val="22"/>
        </w:rPr>
        <w:t>ní nabídek</w:t>
      </w:r>
      <w:r>
        <w:rPr>
          <w:rFonts w:cs="Arial"/>
          <w:szCs w:val="22"/>
        </w:rPr>
        <w:t xml:space="preserve"> nebo v</w:t>
      </w:r>
      <w:r w:rsidRPr="006A3EAF">
        <w:rPr>
          <w:rFonts w:cs="Arial"/>
          <w:szCs w:val="22"/>
        </w:rPr>
        <w:t xml:space="preserve">yužívání jiných </w:t>
      </w:r>
      <w:r>
        <w:rPr>
          <w:rFonts w:cs="Arial"/>
          <w:szCs w:val="22"/>
        </w:rPr>
        <w:t xml:space="preserve">informačních </w:t>
      </w:r>
      <w:r w:rsidRPr="006A3EAF">
        <w:rPr>
          <w:rFonts w:cs="Arial"/>
          <w:szCs w:val="22"/>
        </w:rPr>
        <w:t>serverů</w:t>
      </w:r>
      <w:r>
        <w:rPr>
          <w:rFonts w:cs="Arial"/>
          <w:szCs w:val="22"/>
        </w:rPr>
        <w:t xml:space="preserve"> o VZ.</w:t>
      </w:r>
      <w:r w:rsidR="000D0B69">
        <w:rPr>
          <w:rFonts w:cs="Arial"/>
          <w:szCs w:val="22"/>
        </w:rPr>
        <w:t xml:space="preserve"> </w:t>
      </w:r>
    </w:p>
    <w:p w:rsidR="004E188B" w:rsidRPr="006A3EAF" w:rsidRDefault="004E188B" w:rsidP="00A676D7">
      <w:pPr>
        <w:spacing w:after="0"/>
        <w:rPr>
          <w:rFonts w:cs="Arial"/>
          <w:szCs w:val="22"/>
        </w:rPr>
      </w:pPr>
    </w:p>
    <w:p w:rsidR="00137D7A" w:rsidRPr="006A3EAF" w:rsidRDefault="00137D7A" w:rsidP="00051C72">
      <w:pPr>
        <w:spacing w:after="0"/>
        <w:rPr>
          <w:rFonts w:cs="Arial"/>
          <w:b/>
          <w:szCs w:val="22"/>
        </w:rPr>
      </w:pPr>
      <w:r>
        <w:rPr>
          <w:rFonts w:cs="Arial"/>
          <w:b/>
          <w:szCs w:val="22"/>
        </w:rPr>
        <w:t xml:space="preserve">Graf č. </w:t>
      </w:r>
      <w:r w:rsidRPr="00DA42B3">
        <w:rPr>
          <w:rFonts w:cs="Arial"/>
          <w:b/>
          <w:szCs w:val="22"/>
        </w:rPr>
        <w:t xml:space="preserve">2 </w:t>
      </w:r>
      <w:r w:rsidR="004E188B" w:rsidRPr="00DA42B3">
        <w:rPr>
          <w:rFonts w:cs="Arial"/>
          <w:b/>
          <w:szCs w:val="22"/>
        </w:rPr>
        <w:t xml:space="preserve">– </w:t>
      </w:r>
      <w:r w:rsidRPr="00A676D7">
        <w:rPr>
          <w:rFonts w:cs="Arial"/>
          <w:b/>
          <w:szCs w:val="22"/>
        </w:rPr>
        <w:t>Důvody neregistrace na všech provozovaných e-tržištích</w:t>
      </w:r>
      <w:r w:rsidRPr="006A3EAF">
        <w:rPr>
          <w:rFonts w:cs="Arial"/>
          <w:b/>
          <w:szCs w:val="22"/>
        </w:rPr>
        <w:t xml:space="preserve"> </w:t>
      </w:r>
    </w:p>
    <w:p w:rsidR="00137D7A" w:rsidRPr="006A3EAF" w:rsidRDefault="000E45FA" w:rsidP="00051C72">
      <w:pPr>
        <w:rPr>
          <w:rFonts w:cs="Arial"/>
          <w:szCs w:val="22"/>
        </w:rPr>
      </w:pPr>
      <w:r>
        <w:rPr>
          <w:rFonts w:cs="Arial"/>
          <w:noProof/>
          <w:szCs w:val="22"/>
          <w:lang w:eastAsia="cs-CZ"/>
        </w:rPr>
        <w:drawing>
          <wp:inline distT="0" distB="0" distL="0" distR="0" wp14:anchorId="35D6E8FE">
            <wp:extent cx="5939729" cy="3275937"/>
            <wp:effectExtent l="0" t="0" r="4445" b="1270"/>
            <wp:docPr id="5" name="Obrázek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4604" cy="327862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137D7A" w:rsidRPr="006053E5" w:rsidRDefault="00137D7A" w:rsidP="00051C72">
      <w:pPr>
        <w:spacing w:after="0"/>
        <w:rPr>
          <w:rFonts w:cs="Arial"/>
          <w:sz w:val="18"/>
          <w:szCs w:val="18"/>
        </w:rPr>
      </w:pPr>
      <w:r w:rsidRPr="006053E5">
        <w:rPr>
          <w:rFonts w:cs="Arial"/>
          <w:b/>
          <w:sz w:val="18"/>
          <w:szCs w:val="18"/>
        </w:rPr>
        <w:t>Pozn</w:t>
      </w:r>
      <w:r w:rsidR="006053E5" w:rsidRPr="006053E5">
        <w:rPr>
          <w:rFonts w:cs="Arial"/>
          <w:b/>
          <w:sz w:val="18"/>
          <w:szCs w:val="18"/>
        </w:rPr>
        <w:t>.</w:t>
      </w:r>
      <w:r w:rsidRPr="006053E5">
        <w:rPr>
          <w:rFonts w:cs="Arial"/>
          <w:b/>
          <w:sz w:val="18"/>
          <w:szCs w:val="18"/>
        </w:rPr>
        <w:t>:</w:t>
      </w:r>
      <w:r w:rsidRPr="006053E5">
        <w:rPr>
          <w:rFonts w:cs="Arial"/>
          <w:sz w:val="18"/>
          <w:szCs w:val="18"/>
        </w:rPr>
        <w:t xml:space="preserve"> 100 % = počet </w:t>
      </w:r>
      <w:r w:rsidR="00DA42B3">
        <w:rPr>
          <w:rFonts w:cs="Arial"/>
          <w:sz w:val="18"/>
          <w:szCs w:val="18"/>
        </w:rPr>
        <w:t xml:space="preserve">respondentů </w:t>
      </w:r>
      <w:r w:rsidRPr="006053E5">
        <w:rPr>
          <w:rFonts w:cs="Arial"/>
          <w:sz w:val="18"/>
          <w:szCs w:val="18"/>
        </w:rPr>
        <w:t xml:space="preserve">celkem, resp. počet </w:t>
      </w:r>
      <w:r w:rsidR="00DA42B3">
        <w:rPr>
          <w:rFonts w:cs="Arial"/>
          <w:sz w:val="18"/>
          <w:szCs w:val="18"/>
        </w:rPr>
        <w:t xml:space="preserve">respondentů </w:t>
      </w:r>
      <w:r w:rsidRPr="006053E5">
        <w:rPr>
          <w:rFonts w:cs="Arial"/>
          <w:sz w:val="18"/>
          <w:szCs w:val="18"/>
        </w:rPr>
        <w:t>v dané skupině</w:t>
      </w:r>
      <w:r w:rsidR="006053E5">
        <w:rPr>
          <w:rFonts w:cs="Arial"/>
          <w:sz w:val="18"/>
          <w:szCs w:val="18"/>
        </w:rPr>
        <w:t>.</w:t>
      </w:r>
    </w:p>
    <w:p w:rsidR="00137D7A" w:rsidRDefault="00137D7A" w:rsidP="00051C72">
      <w:pPr>
        <w:rPr>
          <w:rFonts w:cs="Arial"/>
        </w:rPr>
      </w:pPr>
    </w:p>
    <w:p w:rsidR="00137D7A" w:rsidRDefault="00137D7A" w:rsidP="00051C72">
      <w:pPr>
        <w:rPr>
          <w:rFonts w:eastAsiaTheme="majorEastAsia" w:cstheme="majorBidi"/>
          <w:b/>
          <w:bCs/>
          <w:color w:val="1F497D" w:themeColor="text2"/>
          <w:szCs w:val="26"/>
        </w:rPr>
      </w:pPr>
      <w:r>
        <w:br w:type="page"/>
      </w:r>
    </w:p>
    <w:p w:rsidR="00137D7A" w:rsidRPr="00137D7A" w:rsidRDefault="004E188B" w:rsidP="006F251C">
      <w:pPr>
        <w:pStyle w:val="Nadpis2"/>
        <w:spacing w:before="0"/>
        <w:jc w:val="left"/>
        <w:rPr>
          <w:b w:val="0"/>
        </w:rPr>
      </w:pPr>
      <w:r>
        <w:lastRenderedPageBreak/>
        <w:t xml:space="preserve">3. </w:t>
      </w:r>
      <w:r w:rsidR="00137D7A" w:rsidRPr="00137D7A">
        <w:t>Shledáváte počet Vámi podaných nabídek za dostatečný?</w:t>
      </w:r>
    </w:p>
    <w:p w:rsidR="004E188B" w:rsidRDefault="004E188B" w:rsidP="006F251C">
      <w:pPr>
        <w:spacing w:after="0"/>
        <w:rPr>
          <w:rFonts w:cs="Arial"/>
        </w:rPr>
      </w:pPr>
    </w:p>
    <w:p w:rsidR="00137D7A" w:rsidRDefault="00137D7A" w:rsidP="006F251C">
      <w:pPr>
        <w:spacing w:after="0"/>
        <w:rPr>
          <w:rFonts w:cs="Arial"/>
        </w:rPr>
      </w:pPr>
      <w:r w:rsidRPr="006A3EAF">
        <w:rPr>
          <w:rFonts w:cs="Arial"/>
        </w:rPr>
        <w:t xml:space="preserve">Počet podaných nabídek považovalo </w:t>
      </w:r>
      <w:r>
        <w:rPr>
          <w:rFonts w:cs="Arial"/>
        </w:rPr>
        <w:t xml:space="preserve">celkem </w:t>
      </w:r>
      <w:r w:rsidRPr="006A3EAF">
        <w:rPr>
          <w:rFonts w:cs="Arial"/>
        </w:rPr>
        <w:t xml:space="preserve">38,6 % dodavatelů za nedostatečný, přičemž nejčastěji postrádali poptávky v oblasti jejich podnikatelské činnosti. Nemalý význam má i to, že více než čtvrtina dodavatelů (27,6 % dodavatelů) není schopna toto posoudit (nejvíce je to patrné u skupiny dodavatelů s jednou </w:t>
      </w:r>
      <w:proofErr w:type="spellStart"/>
      <w:r w:rsidRPr="006A3EAF">
        <w:rPr>
          <w:rFonts w:cs="Arial"/>
        </w:rPr>
        <w:t>vysoutěženou</w:t>
      </w:r>
      <w:proofErr w:type="spellEnd"/>
      <w:r w:rsidRPr="006A3EAF">
        <w:rPr>
          <w:rFonts w:cs="Arial"/>
        </w:rPr>
        <w:t xml:space="preserve"> </w:t>
      </w:r>
      <w:proofErr w:type="spellStart"/>
      <w:r w:rsidRPr="006A3EAF">
        <w:rPr>
          <w:rFonts w:cs="Arial"/>
        </w:rPr>
        <w:t>VZ</w:t>
      </w:r>
      <w:proofErr w:type="spellEnd"/>
      <w:r w:rsidRPr="006A3EAF">
        <w:rPr>
          <w:rFonts w:cs="Arial"/>
        </w:rPr>
        <w:t xml:space="preserve">, </w:t>
      </w:r>
      <w:r w:rsidR="00DA42B3">
        <w:rPr>
          <w:rFonts w:cs="Arial"/>
        </w:rPr>
        <w:t>ti</w:t>
      </w:r>
      <w:r w:rsidRPr="006A3EAF">
        <w:rPr>
          <w:rFonts w:cs="Arial"/>
        </w:rPr>
        <w:t xml:space="preserve"> tuto možnost uvedli jako druhou nejčastější). Zajímavé je tak</w:t>
      </w:r>
      <w:r w:rsidR="00DA42B3">
        <w:rPr>
          <w:rFonts w:cs="Arial"/>
        </w:rPr>
        <w:t>é</w:t>
      </w:r>
      <w:r w:rsidRPr="006A3EAF">
        <w:rPr>
          <w:rFonts w:cs="Arial"/>
        </w:rPr>
        <w:t xml:space="preserve"> odlišné chování jednotlivých skupin dodavatelů. Zatímco dodavatelé, kteří </w:t>
      </w:r>
      <w:proofErr w:type="spellStart"/>
      <w:r w:rsidRPr="006A3EAF">
        <w:rPr>
          <w:rFonts w:cs="Arial"/>
        </w:rPr>
        <w:t>vysoutěžili</w:t>
      </w:r>
      <w:proofErr w:type="spellEnd"/>
      <w:r w:rsidRPr="006A3EAF">
        <w:rPr>
          <w:rFonts w:cs="Arial"/>
        </w:rPr>
        <w:t xml:space="preserve"> jednu </w:t>
      </w:r>
      <w:proofErr w:type="spellStart"/>
      <w:r w:rsidRPr="006A3EAF">
        <w:rPr>
          <w:rFonts w:cs="Arial"/>
        </w:rPr>
        <w:t>VZ</w:t>
      </w:r>
      <w:proofErr w:type="spellEnd"/>
      <w:r w:rsidRPr="006A3EAF">
        <w:rPr>
          <w:rFonts w:cs="Arial"/>
        </w:rPr>
        <w:t xml:space="preserve">, uvedli, že počet podaných nabídek shledávají nedostatečným, u dodavatelů s 2 až 9 vysoutěženými VZ byly odpovědi </w:t>
      </w:r>
      <w:r w:rsidR="00DA42B3">
        <w:rPr>
          <w:rFonts w:cs="Arial"/>
        </w:rPr>
        <w:t>„</w:t>
      </w:r>
      <w:r w:rsidRPr="006A3EAF">
        <w:rPr>
          <w:rFonts w:cs="Arial"/>
        </w:rPr>
        <w:t>dostatečný počet nabídek</w:t>
      </w:r>
      <w:r w:rsidR="00DA42B3">
        <w:rPr>
          <w:rFonts w:cs="Arial"/>
        </w:rPr>
        <w:t>“</w:t>
      </w:r>
      <w:r w:rsidRPr="006A3EAF">
        <w:rPr>
          <w:rFonts w:cs="Arial"/>
        </w:rPr>
        <w:t xml:space="preserve"> i </w:t>
      </w:r>
      <w:r w:rsidR="00DA42B3">
        <w:rPr>
          <w:rFonts w:cs="Arial"/>
        </w:rPr>
        <w:t>„</w:t>
      </w:r>
      <w:r w:rsidRPr="006A3EAF">
        <w:rPr>
          <w:rFonts w:cs="Arial"/>
        </w:rPr>
        <w:t>nedostatečný počet nabídek</w:t>
      </w:r>
      <w:r w:rsidR="00DA42B3">
        <w:rPr>
          <w:rFonts w:cs="Arial"/>
        </w:rPr>
        <w:t>“</w:t>
      </w:r>
      <w:r w:rsidRPr="006A3EAF">
        <w:rPr>
          <w:rFonts w:cs="Arial"/>
        </w:rPr>
        <w:t xml:space="preserve"> na přibližn</w:t>
      </w:r>
      <w:r w:rsidR="00DA42B3">
        <w:rPr>
          <w:rFonts w:cs="Arial"/>
        </w:rPr>
        <w:t>ě</w:t>
      </w:r>
      <w:r w:rsidRPr="006A3EAF">
        <w:rPr>
          <w:rFonts w:cs="Arial"/>
        </w:rPr>
        <w:t xml:space="preserve"> stejné úrovni. Oproti tomu téměř polovina dodavatelů, kteří </w:t>
      </w:r>
      <w:proofErr w:type="spellStart"/>
      <w:r w:rsidRPr="006A3EAF">
        <w:rPr>
          <w:rFonts w:cs="Arial"/>
        </w:rPr>
        <w:t>vysoutěžili</w:t>
      </w:r>
      <w:proofErr w:type="spellEnd"/>
      <w:r w:rsidRPr="006A3EAF">
        <w:rPr>
          <w:rFonts w:cs="Arial"/>
        </w:rPr>
        <w:t xml:space="preserve"> na e-tržišt</w:t>
      </w:r>
      <w:r w:rsidR="00DA42B3">
        <w:rPr>
          <w:rFonts w:cs="Arial"/>
        </w:rPr>
        <w:t>ích</w:t>
      </w:r>
      <w:r w:rsidRPr="006A3EAF">
        <w:rPr>
          <w:rFonts w:cs="Arial"/>
        </w:rPr>
        <w:t xml:space="preserve"> více než 10 VZ, považovala počet podaných nabídek za dostatečný (47 % dodavatelů z této skupiny). </w:t>
      </w:r>
    </w:p>
    <w:p w:rsidR="004E188B" w:rsidRPr="006A3EAF" w:rsidRDefault="004E188B" w:rsidP="006F251C">
      <w:pPr>
        <w:spacing w:after="0"/>
        <w:rPr>
          <w:rFonts w:cs="Arial"/>
        </w:rPr>
      </w:pPr>
    </w:p>
    <w:p w:rsidR="00137D7A" w:rsidRPr="006A3EAF" w:rsidRDefault="00137D7A" w:rsidP="00051C72">
      <w:pPr>
        <w:spacing w:after="0"/>
        <w:rPr>
          <w:rFonts w:cs="Arial"/>
          <w:b/>
        </w:rPr>
      </w:pPr>
      <w:r>
        <w:rPr>
          <w:rFonts w:cs="Arial"/>
          <w:b/>
        </w:rPr>
        <w:t>Graf č. 3</w:t>
      </w:r>
      <w:r w:rsidRPr="006A3EAF">
        <w:rPr>
          <w:rFonts w:cs="Arial"/>
          <w:b/>
        </w:rPr>
        <w:t xml:space="preserve"> </w:t>
      </w:r>
      <w:r w:rsidR="004E188B" w:rsidRPr="00DA42B3">
        <w:rPr>
          <w:rFonts w:cs="Arial"/>
          <w:b/>
        </w:rPr>
        <w:t xml:space="preserve">– </w:t>
      </w:r>
      <w:r w:rsidRPr="006F251C">
        <w:rPr>
          <w:rFonts w:cs="Arial"/>
          <w:b/>
        </w:rPr>
        <w:t xml:space="preserve">Shledáváte počet </w:t>
      </w:r>
      <w:r w:rsidR="00DA42B3">
        <w:rPr>
          <w:rFonts w:cs="Arial"/>
          <w:b/>
        </w:rPr>
        <w:t xml:space="preserve">Vámi </w:t>
      </w:r>
      <w:r w:rsidRPr="006F251C">
        <w:rPr>
          <w:rFonts w:cs="Arial"/>
          <w:b/>
        </w:rPr>
        <w:t>podaných nabídek za dostatečný?</w:t>
      </w:r>
      <w:r w:rsidRPr="006A3EAF">
        <w:rPr>
          <w:rFonts w:cs="Arial"/>
          <w:b/>
        </w:rPr>
        <w:t xml:space="preserve"> </w:t>
      </w:r>
    </w:p>
    <w:p w:rsidR="00137D7A" w:rsidRPr="006A3EAF" w:rsidRDefault="000E45FA" w:rsidP="00051C72">
      <w:pPr>
        <w:rPr>
          <w:rFonts w:cs="Arial"/>
        </w:rPr>
      </w:pPr>
      <w:r>
        <w:rPr>
          <w:rFonts w:cs="Arial"/>
          <w:noProof/>
          <w:lang w:eastAsia="cs-CZ"/>
        </w:rPr>
        <w:drawing>
          <wp:inline distT="0" distB="0" distL="0" distR="0" wp14:anchorId="122FCD9B">
            <wp:extent cx="5923722" cy="3849350"/>
            <wp:effectExtent l="0" t="0" r="1270" b="0"/>
            <wp:docPr id="9" name="Obrázek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26512" cy="3851163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137D7A" w:rsidRPr="006053E5" w:rsidRDefault="00137D7A" w:rsidP="00051C72">
      <w:pPr>
        <w:spacing w:after="0"/>
        <w:rPr>
          <w:rFonts w:cs="Arial"/>
          <w:sz w:val="18"/>
          <w:szCs w:val="18"/>
        </w:rPr>
      </w:pPr>
      <w:r w:rsidRPr="006053E5">
        <w:rPr>
          <w:rFonts w:cs="Arial"/>
          <w:b/>
          <w:sz w:val="18"/>
          <w:szCs w:val="18"/>
        </w:rPr>
        <w:t>Pozn</w:t>
      </w:r>
      <w:r w:rsidR="006053E5" w:rsidRPr="006053E5">
        <w:rPr>
          <w:rFonts w:cs="Arial"/>
          <w:b/>
          <w:sz w:val="18"/>
          <w:szCs w:val="18"/>
        </w:rPr>
        <w:t>.</w:t>
      </w:r>
      <w:r w:rsidRPr="006053E5">
        <w:rPr>
          <w:rFonts w:cs="Arial"/>
          <w:b/>
          <w:sz w:val="18"/>
          <w:szCs w:val="18"/>
        </w:rPr>
        <w:t>:</w:t>
      </w:r>
      <w:r w:rsidRPr="006053E5">
        <w:rPr>
          <w:rFonts w:cs="Arial"/>
          <w:sz w:val="18"/>
          <w:szCs w:val="18"/>
        </w:rPr>
        <w:t xml:space="preserve"> 100 % = počet </w:t>
      </w:r>
      <w:r w:rsidR="00DA42B3">
        <w:rPr>
          <w:rFonts w:cs="Arial"/>
          <w:sz w:val="18"/>
          <w:szCs w:val="18"/>
        </w:rPr>
        <w:t xml:space="preserve">respondentů </w:t>
      </w:r>
      <w:r w:rsidRPr="006053E5">
        <w:rPr>
          <w:rFonts w:cs="Arial"/>
          <w:sz w:val="18"/>
          <w:szCs w:val="18"/>
        </w:rPr>
        <w:t xml:space="preserve">celkem, resp. počet </w:t>
      </w:r>
      <w:r w:rsidR="00DA42B3">
        <w:rPr>
          <w:rFonts w:cs="Arial"/>
          <w:sz w:val="18"/>
          <w:szCs w:val="18"/>
        </w:rPr>
        <w:t xml:space="preserve">respondentů </w:t>
      </w:r>
      <w:r w:rsidRPr="006053E5">
        <w:rPr>
          <w:rFonts w:cs="Arial"/>
          <w:sz w:val="18"/>
          <w:szCs w:val="18"/>
        </w:rPr>
        <w:t>v dané skupině</w:t>
      </w:r>
      <w:r w:rsidR="006053E5">
        <w:rPr>
          <w:rFonts w:cs="Arial"/>
          <w:sz w:val="18"/>
          <w:szCs w:val="18"/>
        </w:rPr>
        <w:t>.</w:t>
      </w:r>
    </w:p>
    <w:p w:rsidR="00137D7A" w:rsidRDefault="00137D7A" w:rsidP="00051C72">
      <w:pPr>
        <w:rPr>
          <w:rFonts w:eastAsiaTheme="majorEastAsia" w:cstheme="majorBidi"/>
          <w:b/>
          <w:bCs/>
          <w:color w:val="1F497D" w:themeColor="text2"/>
          <w:szCs w:val="26"/>
        </w:rPr>
      </w:pPr>
      <w:r>
        <w:br w:type="page"/>
      </w:r>
    </w:p>
    <w:p w:rsidR="00137D7A" w:rsidRPr="000D0B69" w:rsidRDefault="004E188B" w:rsidP="006F251C">
      <w:pPr>
        <w:pStyle w:val="Nadpis2"/>
        <w:spacing w:before="0"/>
        <w:ind w:left="261" w:hanging="261"/>
        <w:jc w:val="left"/>
        <w:rPr>
          <w:b w:val="0"/>
        </w:rPr>
      </w:pPr>
      <w:r>
        <w:lastRenderedPageBreak/>
        <w:t xml:space="preserve">4. </w:t>
      </w:r>
      <w:r w:rsidR="00137D7A" w:rsidRPr="000D0B69">
        <w:t>Pokud se domníváte, že počet vysoutěžených zakázek je nízký, uveďte, v čem spatřujete důvod, max. 3 odpovědi.</w:t>
      </w:r>
    </w:p>
    <w:p w:rsidR="004E188B" w:rsidRDefault="004E188B" w:rsidP="006F251C">
      <w:pPr>
        <w:spacing w:after="0"/>
        <w:rPr>
          <w:rFonts w:cs="Arial"/>
        </w:rPr>
      </w:pPr>
    </w:p>
    <w:p w:rsidR="00137D7A" w:rsidRDefault="00137D7A" w:rsidP="006F251C">
      <w:pPr>
        <w:spacing w:after="0"/>
        <w:rPr>
          <w:rFonts w:cs="Arial"/>
        </w:rPr>
      </w:pPr>
      <w:r w:rsidRPr="006A3EAF">
        <w:rPr>
          <w:rFonts w:cs="Arial"/>
        </w:rPr>
        <w:t>Nejvíce dodavatelů je toho názoru, že konkurence dodavatelů na e-tržišti je pro ně příliš velká (41 %). Druhou nejčastější odpověd</w:t>
      </w:r>
      <w:r>
        <w:rPr>
          <w:rFonts w:cs="Arial"/>
        </w:rPr>
        <w:t>í</w:t>
      </w:r>
      <w:r w:rsidRPr="006A3EAF">
        <w:rPr>
          <w:rFonts w:cs="Arial"/>
        </w:rPr>
        <w:t xml:space="preserve"> však bylo, že dodavatelé nepodávají nabídky z důvodu velké náročnosti požadavků na jejich zpracování (30 %). S tím do jisté míry souvis</w:t>
      </w:r>
      <w:r w:rsidR="00DA42B3">
        <w:rPr>
          <w:rFonts w:cs="Arial"/>
        </w:rPr>
        <w:t>ejí</w:t>
      </w:r>
      <w:r w:rsidRPr="006A3EAF">
        <w:rPr>
          <w:rFonts w:cs="Arial"/>
        </w:rPr>
        <w:t xml:space="preserve"> i</w:t>
      </w:r>
      <w:r w:rsidR="00DA42B3">
        <w:rPr>
          <w:rFonts w:cs="Arial"/>
        </w:rPr>
        <w:t> </w:t>
      </w:r>
      <w:r w:rsidRPr="006A3EAF">
        <w:rPr>
          <w:rFonts w:cs="Arial"/>
        </w:rPr>
        <w:t>odpovědi</w:t>
      </w:r>
      <w:r w:rsidR="00DA42B3">
        <w:rPr>
          <w:rFonts w:cs="Arial"/>
        </w:rPr>
        <w:t>, v nichž</w:t>
      </w:r>
      <w:r w:rsidRPr="006A3EAF">
        <w:rPr>
          <w:rFonts w:cs="Arial"/>
        </w:rPr>
        <w:t xml:space="preserve"> dodavatel</w:t>
      </w:r>
      <w:r w:rsidR="00DA42B3">
        <w:rPr>
          <w:rFonts w:cs="Arial"/>
        </w:rPr>
        <w:t>é</w:t>
      </w:r>
      <w:r w:rsidRPr="006A3EAF">
        <w:rPr>
          <w:rFonts w:cs="Arial"/>
        </w:rPr>
        <w:t xml:space="preserve"> velmi často uvádě</w:t>
      </w:r>
      <w:r w:rsidR="00DA42B3">
        <w:rPr>
          <w:rFonts w:cs="Arial"/>
        </w:rPr>
        <w:t>jí</w:t>
      </w:r>
      <w:r w:rsidRPr="006A3EAF">
        <w:rPr>
          <w:rFonts w:cs="Arial"/>
        </w:rPr>
        <w:t xml:space="preserve">, že zadavatelé do jediné zakázky spojují nesouvisející komodity z jiných oborů, </w:t>
      </w:r>
      <w:r w:rsidR="00DA42B3">
        <w:rPr>
          <w:rFonts w:cs="Arial"/>
        </w:rPr>
        <w:t xml:space="preserve">že </w:t>
      </w:r>
      <w:r w:rsidRPr="006A3EAF">
        <w:rPr>
          <w:rFonts w:cs="Arial"/>
        </w:rPr>
        <w:t xml:space="preserve">vypisují zadání chybně či neuváženě </w:t>
      </w:r>
      <w:r w:rsidR="00DA42B3">
        <w:rPr>
          <w:rFonts w:cs="Arial"/>
        </w:rPr>
        <w:t>nebo</w:t>
      </w:r>
      <w:r w:rsidRPr="006A3EAF">
        <w:rPr>
          <w:rFonts w:cs="Arial"/>
        </w:rPr>
        <w:t xml:space="preserve"> bez dostatečných informací. </w:t>
      </w:r>
    </w:p>
    <w:p w:rsidR="004E188B" w:rsidRPr="006A3EAF" w:rsidRDefault="004E188B" w:rsidP="006F251C">
      <w:pPr>
        <w:spacing w:after="0"/>
        <w:rPr>
          <w:rFonts w:cs="Arial"/>
        </w:rPr>
      </w:pPr>
    </w:p>
    <w:p w:rsidR="00137D7A" w:rsidRDefault="002C671F" w:rsidP="006F251C">
      <w:pPr>
        <w:spacing w:after="0"/>
        <w:rPr>
          <w:rFonts w:cs="Arial"/>
        </w:rPr>
      </w:pPr>
      <w:r>
        <w:rPr>
          <w:rFonts w:cs="Arial"/>
        </w:rPr>
        <w:t>Z </w:t>
      </w:r>
      <w:r w:rsidR="00137D7A">
        <w:rPr>
          <w:rFonts w:cs="Arial"/>
        </w:rPr>
        <w:t>grafu č. 4</w:t>
      </w:r>
      <w:r w:rsidR="00137D7A" w:rsidRPr="006A3EAF">
        <w:rPr>
          <w:rFonts w:cs="Arial"/>
        </w:rPr>
        <w:t xml:space="preserve"> je patrné odlišné chování jednotlivých skupin dodavatelů u dvou odpovědí. Zatímco nedostat</w:t>
      </w:r>
      <w:r w:rsidR="00137D7A">
        <w:rPr>
          <w:rFonts w:cs="Arial"/>
        </w:rPr>
        <w:t>e</w:t>
      </w:r>
      <w:r w:rsidR="00137D7A" w:rsidRPr="006A3EAF">
        <w:rPr>
          <w:rFonts w:cs="Arial"/>
        </w:rPr>
        <w:t xml:space="preserve">k zkušeností s fungováním e-tržiště byl </w:t>
      </w:r>
      <w:r w:rsidR="00137D7A">
        <w:rPr>
          <w:rFonts w:cs="Arial"/>
        </w:rPr>
        <w:t xml:space="preserve">uváděn </w:t>
      </w:r>
      <w:r w:rsidR="00137D7A" w:rsidRPr="006A3EAF">
        <w:rPr>
          <w:rFonts w:cs="Arial"/>
        </w:rPr>
        <w:t>nejvíce</w:t>
      </w:r>
      <w:r w:rsidR="00137D7A">
        <w:rPr>
          <w:rFonts w:cs="Arial"/>
        </w:rPr>
        <w:t xml:space="preserve"> v odpovědích </w:t>
      </w:r>
      <w:r w:rsidR="00137D7A" w:rsidRPr="006A3EAF">
        <w:rPr>
          <w:rFonts w:cs="Arial"/>
        </w:rPr>
        <w:t>dodavatelů skupiny</w:t>
      </w:r>
      <w:r w:rsidR="00137D7A">
        <w:rPr>
          <w:rFonts w:cs="Arial"/>
        </w:rPr>
        <w:t xml:space="preserve"> 1</w:t>
      </w:r>
      <w:r w:rsidR="00137D7A" w:rsidRPr="006A3EAF">
        <w:rPr>
          <w:rFonts w:cs="Arial"/>
        </w:rPr>
        <w:t>, nespokojenost s fungováním e-tržiště uváděli nejčastěji dodavatelé</w:t>
      </w:r>
      <w:r w:rsidR="00137D7A">
        <w:rPr>
          <w:rFonts w:cs="Arial"/>
        </w:rPr>
        <w:t xml:space="preserve"> ze skupiny 3.</w:t>
      </w:r>
      <w:r w:rsidR="00137D7A" w:rsidRPr="006A3EAF">
        <w:rPr>
          <w:rFonts w:cs="Arial"/>
        </w:rPr>
        <w:t xml:space="preserve"> </w:t>
      </w:r>
    </w:p>
    <w:p w:rsidR="004E188B" w:rsidRDefault="004E188B" w:rsidP="006F251C">
      <w:pPr>
        <w:spacing w:after="0"/>
        <w:rPr>
          <w:rFonts w:cs="Arial"/>
        </w:rPr>
      </w:pPr>
    </w:p>
    <w:p w:rsidR="00137D7A" w:rsidRDefault="000C3EB1" w:rsidP="006F251C">
      <w:pPr>
        <w:spacing w:after="0"/>
        <w:rPr>
          <w:rFonts w:cs="Arial"/>
        </w:rPr>
      </w:pPr>
      <w:r>
        <w:rPr>
          <w:rFonts w:cs="Arial"/>
        </w:rPr>
        <w:t>D</w:t>
      </w:r>
      <w:r w:rsidR="00137D7A">
        <w:rPr>
          <w:rFonts w:cs="Arial"/>
        </w:rPr>
        <w:t>ůvody</w:t>
      </w:r>
      <w:r>
        <w:rPr>
          <w:rFonts w:cs="Arial"/>
        </w:rPr>
        <w:t>, které respondenti</w:t>
      </w:r>
      <w:r w:rsidR="00137D7A">
        <w:rPr>
          <w:rFonts w:cs="Arial"/>
        </w:rPr>
        <w:t xml:space="preserve"> </w:t>
      </w:r>
      <w:r>
        <w:rPr>
          <w:rFonts w:cs="Arial"/>
        </w:rPr>
        <w:t xml:space="preserve">uváděli, </w:t>
      </w:r>
      <w:r w:rsidR="00137D7A">
        <w:rPr>
          <w:rFonts w:cs="Arial"/>
        </w:rPr>
        <w:t xml:space="preserve">se však netýkaly pouze funkcionalit e-tržišť, ale </w:t>
      </w:r>
      <w:r w:rsidR="00137D7A" w:rsidRPr="000C3EB1">
        <w:t>i</w:t>
      </w:r>
      <w:r>
        <w:t> </w:t>
      </w:r>
      <w:r w:rsidR="00137D7A" w:rsidRPr="000C3EB1">
        <w:t>postupu</w:t>
      </w:r>
      <w:r w:rsidR="00137D7A">
        <w:rPr>
          <w:rFonts w:cs="Arial"/>
        </w:rPr>
        <w:t xml:space="preserve"> zadavatelů, který nemůže ovlivnit provozovatel e-tržiště. </w:t>
      </w:r>
      <w:r>
        <w:rPr>
          <w:rFonts w:cs="Arial"/>
        </w:rPr>
        <w:t>D</w:t>
      </w:r>
      <w:r w:rsidR="00137D7A" w:rsidRPr="00063D4D">
        <w:rPr>
          <w:rFonts w:cs="Arial"/>
        </w:rPr>
        <w:t xml:space="preserve">odavatelé </w:t>
      </w:r>
      <w:r>
        <w:rPr>
          <w:rFonts w:cs="Arial"/>
        </w:rPr>
        <w:t xml:space="preserve">zmiňovali </w:t>
      </w:r>
      <w:r w:rsidR="00137D7A" w:rsidRPr="00063D4D">
        <w:rPr>
          <w:rFonts w:cs="Arial"/>
        </w:rPr>
        <w:t>zejména následující problémy:</w:t>
      </w:r>
      <w:r w:rsidR="00137D7A">
        <w:rPr>
          <w:rFonts w:cs="Arial"/>
        </w:rPr>
        <w:t xml:space="preserve"> o</w:t>
      </w:r>
      <w:r w:rsidR="00137D7A" w:rsidRPr="006A3EAF">
        <w:rPr>
          <w:rFonts w:cs="Arial"/>
        </w:rPr>
        <w:t xml:space="preserve">rientace nabídek na cenu bez ohledu na kvalitu (kritérium </w:t>
      </w:r>
      <w:r>
        <w:rPr>
          <w:rFonts w:cs="Arial"/>
        </w:rPr>
        <w:t>„</w:t>
      </w:r>
      <w:r w:rsidR="00137D7A" w:rsidRPr="006F251C">
        <w:rPr>
          <w:rFonts w:cs="Arial"/>
          <w:i/>
        </w:rPr>
        <w:t>nejnižší nabídková cena</w:t>
      </w:r>
      <w:r>
        <w:rPr>
          <w:rFonts w:cs="Arial"/>
        </w:rPr>
        <w:t>“</w:t>
      </w:r>
      <w:r w:rsidR="00137D7A" w:rsidRPr="006A3EAF">
        <w:rPr>
          <w:rFonts w:cs="Arial"/>
        </w:rPr>
        <w:t>)</w:t>
      </w:r>
      <w:r w:rsidR="00137D7A">
        <w:rPr>
          <w:rFonts w:cs="Arial"/>
        </w:rPr>
        <w:t>, s</w:t>
      </w:r>
      <w:r w:rsidR="00137D7A" w:rsidRPr="006A3EAF">
        <w:rPr>
          <w:rFonts w:cs="Arial"/>
        </w:rPr>
        <w:t>lučování komodit z jiných oborů, spojování nesouvisejících položek do jediné zakázky</w:t>
      </w:r>
      <w:r w:rsidR="00137D7A">
        <w:rPr>
          <w:rFonts w:cs="Arial"/>
        </w:rPr>
        <w:t>, d</w:t>
      </w:r>
      <w:r w:rsidR="00137D7A" w:rsidRPr="006A3EAF">
        <w:rPr>
          <w:rFonts w:cs="Arial"/>
        </w:rPr>
        <w:t>iskriminační podmínky zadavatele, neuvádění dostatečných informací či příliš úzk</w:t>
      </w:r>
      <w:r w:rsidR="00137D7A">
        <w:rPr>
          <w:rFonts w:cs="Arial"/>
        </w:rPr>
        <w:t>á</w:t>
      </w:r>
      <w:r w:rsidR="00137D7A" w:rsidRPr="006A3EAF">
        <w:rPr>
          <w:rFonts w:cs="Arial"/>
        </w:rPr>
        <w:t xml:space="preserve"> specifikace poptávaných produktů</w:t>
      </w:r>
      <w:r w:rsidR="00137D7A">
        <w:rPr>
          <w:rFonts w:cs="Arial"/>
        </w:rPr>
        <w:t>, o</w:t>
      </w:r>
      <w:r w:rsidR="00137D7A" w:rsidRPr="006A3EAF">
        <w:rPr>
          <w:rFonts w:cs="Arial"/>
        </w:rPr>
        <w:t>mezený okruh poptávek</w:t>
      </w:r>
      <w:r w:rsidR="00137D7A">
        <w:rPr>
          <w:rFonts w:cs="Arial"/>
        </w:rPr>
        <w:t xml:space="preserve"> a</w:t>
      </w:r>
      <w:r w:rsidR="00137D7A" w:rsidRPr="006A3EAF">
        <w:rPr>
          <w:rFonts w:cs="Arial"/>
        </w:rPr>
        <w:t xml:space="preserve"> malý počet oborových zakázek</w:t>
      </w:r>
      <w:r w:rsidR="00137D7A">
        <w:rPr>
          <w:rFonts w:cs="Arial"/>
        </w:rPr>
        <w:t>, n</w:t>
      </w:r>
      <w:r w:rsidR="00137D7A" w:rsidRPr="006A3EAF">
        <w:rPr>
          <w:rFonts w:cs="Arial"/>
        </w:rPr>
        <w:t>epřehlednost a neexistence jednoho centrálního tržiště, časová náročnost prohledávání více tržišť, náročná orientace</w:t>
      </w:r>
      <w:r w:rsidR="00137D7A">
        <w:rPr>
          <w:rFonts w:cs="Arial"/>
        </w:rPr>
        <w:t>, chybějící</w:t>
      </w:r>
      <w:r w:rsidR="00137D7A" w:rsidRPr="006A3EAF">
        <w:rPr>
          <w:rFonts w:cs="Arial"/>
        </w:rPr>
        <w:t xml:space="preserve"> možnost bonifikace spolehlivých dodavatelů</w:t>
      </w:r>
      <w:r w:rsidR="00137D7A">
        <w:rPr>
          <w:rFonts w:cs="Arial"/>
        </w:rPr>
        <w:t>.</w:t>
      </w:r>
    </w:p>
    <w:p w:rsidR="004E188B" w:rsidRDefault="004E188B" w:rsidP="00B43A2A">
      <w:pPr>
        <w:spacing w:after="0"/>
        <w:rPr>
          <w:rFonts w:cs="Arial"/>
          <w:b/>
        </w:rPr>
      </w:pPr>
    </w:p>
    <w:p w:rsidR="00137D7A" w:rsidRPr="006A3EAF" w:rsidRDefault="00137D7A" w:rsidP="00051C72">
      <w:pPr>
        <w:spacing w:after="0"/>
        <w:rPr>
          <w:rFonts w:cs="Arial"/>
        </w:rPr>
      </w:pPr>
      <w:r>
        <w:rPr>
          <w:rFonts w:cs="Arial"/>
          <w:b/>
        </w:rPr>
        <w:t>Graf č. 4</w:t>
      </w:r>
      <w:r w:rsidR="004E188B">
        <w:rPr>
          <w:rFonts w:cs="Arial"/>
          <w:b/>
        </w:rPr>
        <w:t xml:space="preserve"> –</w:t>
      </w:r>
      <w:r w:rsidRPr="006A3EAF">
        <w:rPr>
          <w:rFonts w:cs="Arial"/>
          <w:b/>
        </w:rPr>
        <w:t xml:space="preserve"> Důvody nízkého počtu </w:t>
      </w:r>
      <w:proofErr w:type="spellStart"/>
      <w:r w:rsidRPr="006A3EAF">
        <w:rPr>
          <w:rFonts w:cs="Arial"/>
          <w:b/>
        </w:rPr>
        <w:t>vysoutěžených</w:t>
      </w:r>
      <w:proofErr w:type="spellEnd"/>
      <w:r w:rsidRPr="006A3EAF">
        <w:rPr>
          <w:rFonts w:cs="Arial"/>
          <w:b/>
        </w:rPr>
        <w:t xml:space="preserve"> zakázek</w:t>
      </w:r>
    </w:p>
    <w:p w:rsidR="00137D7A" w:rsidRPr="006A3EAF" w:rsidRDefault="000E45FA" w:rsidP="00051C72">
      <w:pPr>
        <w:rPr>
          <w:rFonts w:cs="Arial"/>
        </w:rPr>
      </w:pPr>
      <w:r>
        <w:rPr>
          <w:rFonts w:cs="Arial"/>
          <w:noProof/>
          <w:lang w:eastAsia="cs-CZ"/>
        </w:rPr>
        <w:drawing>
          <wp:inline distT="0" distB="0" distL="0" distR="0" wp14:anchorId="6472CA95">
            <wp:extent cx="5994281" cy="3562184"/>
            <wp:effectExtent l="0" t="0" r="6985" b="635"/>
            <wp:docPr id="12" name="Obrázek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93725" cy="356185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137D7A" w:rsidRPr="006053E5" w:rsidRDefault="00137D7A" w:rsidP="00051C72">
      <w:pPr>
        <w:spacing w:after="0"/>
        <w:rPr>
          <w:rFonts w:cs="Arial"/>
          <w:sz w:val="18"/>
          <w:szCs w:val="18"/>
        </w:rPr>
      </w:pPr>
      <w:r w:rsidRPr="006053E5">
        <w:rPr>
          <w:rFonts w:cs="Arial"/>
          <w:b/>
          <w:sz w:val="18"/>
          <w:szCs w:val="18"/>
        </w:rPr>
        <w:t>Pozn</w:t>
      </w:r>
      <w:r w:rsidR="006053E5" w:rsidRPr="006053E5">
        <w:rPr>
          <w:rFonts w:cs="Arial"/>
          <w:b/>
          <w:sz w:val="18"/>
          <w:szCs w:val="18"/>
        </w:rPr>
        <w:t>.</w:t>
      </w:r>
      <w:r w:rsidRPr="006053E5">
        <w:rPr>
          <w:rFonts w:cs="Arial"/>
          <w:b/>
          <w:sz w:val="18"/>
          <w:szCs w:val="18"/>
        </w:rPr>
        <w:t>:</w:t>
      </w:r>
      <w:r w:rsidRPr="006053E5">
        <w:rPr>
          <w:rFonts w:cs="Arial"/>
          <w:sz w:val="18"/>
          <w:szCs w:val="18"/>
        </w:rPr>
        <w:t xml:space="preserve"> 100 % = počet </w:t>
      </w:r>
      <w:r w:rsidR="000C3EB1">
        <w:rPr>
          <w:rFonts w:cs="Arial"/>
          <w:sz w:val="18"/>
          <w:szCs w:val="18"/>
        </w:rPr>
        <w:t xml:space="preserve">respondentů </w:t>
      </w:r>
      <w:r w:rsidRPr="006053E5">
        <w:rPr>
          <w:rFonts w:cs="Arial"/>
          <w:sz w:val="18"/>
          <w:szCs w:val="18"/>
        </w:rPr>
        <w:t xml:space="preserve">celkem, resp. počet </w:t>
      </w:r>
      <w:r w:rsidR="000C3EB1">
        <w:rPr>
          <w:rFonts w:cs="Arial"/>
          <w:sz w:val="18"/>
          <w:szCs w:val="18"/>
        </w:rPr>
        <w:t xml:space="preserve">respondentů </w:t>
      </w:r>
      <w:r w:rsidRPr="006053E5">
        <w:rPr>
          <w:rFonts w:cs="Arial"/>
          <w:sz w:val="18"/>
          <w:szCs w:val="18"/>
        </w:rPr>
        <w:t>v dané skupině</w:t>
      </w:r>
      <w:r w:rsidR="006053E5">
        <w:rPr>
          <w:rFonts w:cs="Arial"/>
          <w:sz w:val="18"/>
          <w:szCs w:val="18"/>
        </w:rPr>
        <w:t>.</w:t>
      </w:r>
    </w:p>
    <w:p w:rsidR="00137D7A" w:rsidRPr="006053E5" w:rsidRDefault="00137D7A" w:rsidP="00051C72">
      <w:pPr>
        <w:rPr>
          <w:rFonts w:cs="Arial"/>
          <w:sz w:val="18"/>
          <w:szCs w:val="18"/>
        </w:rPr>
      </w:pPr>
    </w:p>
    <w:p w:rsidR="00137D7A" w:rsidRDefault="00137D7A" w:rsidP="00051C72">
      <w:pPr>
        <w:rPr>
          <w:rFonts w:eastAsiaTheme="majorEastAsia" w:cstheme="majorBidi"/>
          <w:b/>
          <w:bCs/>
          <w:color w:val="1F497D" w:themeColor="text2"/>
          <w:szCs w:val="26"/>
        </w:rPr>
      </w:pPr>
    </w:p>
    <w:p w:rsidR="00137D7A" w:rsidRPr="000D0B69" w:rsidRDefault="004E188B" w:rsidP="00CE3441">
      <w:pPr>
        <w:pStyle w:val="Nadpis2"/>
        <w:spacing w:before="0"/>
        <w:jc w:val="left"/>
        <w:rPr>
          <w:b w:val="0"/>
        </w:rPr>
      </w:pPr>
      <w:r>
        <w:lastRenderedPageBreak/>
        <w:t xml:space="preserve">5. </w:t>
      </w:r>
      <w:r w:rsidR="00137D7A" w:rsidRPr="000D0B69">
        <w:t>Využíváte některé placené služby e-tržiště? Max. 3 odpovědi.</w:t>
      </w:r>
    </w:p>
    <w:p w:rsidR="004E188B" w:rsidRDefault="004E188B" w:rsidP="00CE3441">
      <w:pPr>
        <w:spacing w:after="0"/>
        <w:rPr>
          <w:rFonts w:cs="Arial"/>
        </w:rPr>
      </w:pPr>
    </w:p>
    <w:p w:rsidR="00137D7A" w:rsidRDefault="00137D7A" w:rsidP="00CE3441">
      <w:pPr>
        <w:spacing w:after="0"/>
        <w:rPr>
          <w:rFonts w:cs="Arial"/>
        </w:rPr>
      </w:pPr>
      <w:r>
        <w:rPr>
          <w:rFonts w:cs="Arial"/>
        </w:rPr>
        <w:t xml:space="preserve">Placené (tzv. aditivní) služby využívalo minimum dodavatelů. </w:t>
      </w:r>
      <w:r w:rsidRPr="006A3EAF">
        <w:rPr>
          <w:rFonts w:cs="Arial"/>
        </w:rPr>
        <w:t>Téměř všichni dodavatelé (91,3</w:t>
      </w:r>
      <w:r w:rsidR="004E188B">
        <w:rPr>
          <w:rFonts w:cs="Arial"/>
        </w:rPr>
        <w:t> </w:t>
      </w:r>
      <w:r w:rsidRPr="006A3EAF">
        <w:rPr>
          <w:rFonts w:cs="Arial"/>
        </w:rPr>
        <w:t xml:space="preserve">%), </w:t>
      </w:r>
      <w:r w:rsidR="003956C4">
        <w:rPr>
          <w:rFonts w:cs="Arial"/>
        </w:rPr>
        <w:t xml:space="preserve">a to </w:t>
      </w:r>
      <w:r w:rsidRPr="006A3EAF">
        <w:rPr>
          <w:rFonts w:cs="Arial"/>
        </w:rPr>
        <w:t>bez ohledu na počet vysoutěžených VZ na e-tržištích, nevyužívali žádn</w:t>
      </w:r>
      <w:r>
        <w:rPr>
          <w:rFonts w:cs="Arial"/>
        </w:rPr>
        <w:t xml:space="preserve">ou </w:t>
      </w:r>
      <w:r w:rsidR="002C671F">
        <w:rPr>
          <w:rFonts w:cs="Arial"/>
        </w:rPr>
        <w:t>z </w:t>
      </w:r>
      <w:r>
        <w:rPr>
          <w:rFonts w:cs="Arial"/>
        </w:rPr>
        <w:t xml:space="preserve">placených služeb. </w:t>
      </w:r>
      <w:r w:rsidRPr="006A3EAF">
        <w:rPr>
          <w:rFonts w:cs="Arial"/>
        </w:rPr>
        <w:t>V </w:t>
      </w:r>
      <w:r>
        <w:rPr>
          <w:rFonts w:cs="Arial"/>
        </w:rPr>
        <w:t xml:space="preserve">aditivních službách má </w:t>
      </w:r>
      <w:r w:rsidRPr="006A3EAF">
        <w:rPr>
          <w:rFonts w:cs="Arial"/>
        </w:rPr>
        <w:t>přitom spočívat konkuren</w:t>
      </w:r>
      <w:r>
        <w:rPr>
          <w:rFonts w:cs="Arial"/>
        </w:rPr>
        <w:t xml:space="preserve">ční efekt </w:t>
      </w:r>
      <w:r w:rsidRPr="006A3EAF">
        <w:rPr>
          <w:rFonts w:cs="Arial"/>
        </w:rPr>
        <w:t>jednotlivých provozovatelů e-tržišť. Zajímavostí je, že ani dodavatelé, kteří vysoutěžili na e-tržišti více než 10</w:t>
      </w:r>
      <w:r w:rsidR="00DB668C">
        <w:rPr>
          <w:rFonts w:cs="Arial"/>
        </w:rPr>
        <w:t> </w:t>
      </w:r>
      <w:r w:rsidRPr="006A3EAF">
        <w:rPr>
          <w:rFonts w:cs="Arial"/>
        </w:rPr>
        <w:t>VZ, téměř nevyužívají placených služeb (pouze 5 z 60 dodavatelů)</w:t>
      </w:r>
      <w:r>
        <w:rPr>
          <w:rFonts w:cs="Arial"/>
        </w:rPr>
        <w:t>.</w:t>
      </w:r>
    </w:p>
    <w:p w:rsidR="004E188B" w:rsidRPr="006A3EAF" w:rsidRDefault="004E188B" w:rsidP="00CE3441">
      <w:pPr>
        <w:spacing w:after="0"/>
        <w:rPr>
          <w:rFonts w:cs="Arial"/>
        </w:rPr>
      </w:pPr>
    </w:p>
    <w:p w:rsidR="00137D7A" w:rsidRPr="006A3EAF" w:rsidRDefault="00137D7A" w:rsidP="00051C72">
      <w:pPr>
        <w:spacing w:after="0"/>
        <w:rPr>
          <w:rFonts w:cs="Arial"/>
          <w:b/>
        </w:rPr>
      </w:pPr>
      <w:r>
        <w:rPr>
          <w:rFonts w:cs="Arial"/>
          <w:b/>
        </w:rPr>
        <w:t>Graf č. 5</w:t>
      </w:r>
      <w:r w:rsidRPr="006A3EAF">
        <w:rPr>
          <w:rFonts w:cs="Arial"/>
          <w:b/>
        </w:rPr>
        <w:t xml:space="preserve"> </w:t>
      </w:r>
      <w:r w:rsidR="004E188B" w:rsidRPr="00572533">
        <w:rPr>
          <w:rFonts w:cs="Arial"/>
          <w:b/>
        </w:rPr>
        <w:t xml:space="preserve">– </w:t>
      </w:r>
      <w:r w:rsidRPr="00CE3441">
        <w:rPr>
          <w:rFonts w:cs="Arial"/>
          <w:b/>
        </w:rPr>
        <w:t>Počet dodavatelů, kteří využívají, resp. nevyužívají placené služby</w:t>
      </w:r>
    </w:p>
    <w:p w:rsidR="00137D7A" w:rsidRPr="00F570B5" w:rsidRDefault="00856C69" w:rsidP="00051C72">
      <w:pPr>
        <w:rPr>
          <w:rFonts w:cs="Arial"/>
        </w:rPr>
      </w:pPr>
      <w:r>
        <w:rPr>
          <w:rFonts w:cs="Arial"/>
          <w:noProof/>
          <w:lang w:eastAsia="cs-CZ"/>
        </w:rPr>
        <w:drawing>
          <wp:inline distT="0" distB="0" distL="0" distR="0" wp14:anchorId="5A7F2A38">
            <wp:extent cx="5200153" cy="2995675"/>
            <wp:effectExtent l="0" t="0" r="635" b="0"/>
            <wp:docPr id="17" name="Obrázek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03803" cy="299777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4E188B" w:rsidRDefault="004E188B" w:rsidP="00CE3441">
      <w:pPr>
        <w:spacing w:after="0"/>
        <w:rPr>
          <w:rFonts w:cs="Arial"/>
          <w:b/>
        </w:rPr>
      </w:pPr>
    </w:p>
    <w:p w:rsidR="00057EE8" w:rsidRDefault="00057EE8" w:rsidP="00CE3441">
      <w:pPr>
        <w:spacing w:after="0"/>
        <w:rPr>
          <w:rFonts w:cs="Arial"/>
          <w:b/>
        </w:rPr>
      </w:pPr>
    </w:p>
    <w:p w:rsidR="00057EE8" w:rsidRDefault="00057EE8" w:rsidP="00CE3441">
      <w:pPr>
        <w:spacing w:after="0"/>
        <w:rPr>
          <w:rFonts w:cs="Arial"/>
          <w:b/>
        </w:rPr>
      </w:pPr>
    </w:p>
    <w:p w:rsidR="00CE5CEF" w:rsidRDefault="00CE5CEF">
      <w:pPr>
        <w:spacing w:after="200" w:line="276" w:lineRule="auto"/>
        <w:jc w:val="left"/>
        <w:rPr>
          <w:rFonts w:cs="Arial"/>
          <w:b/>
        </w:rPr>
      </w:pPr>
      <w:r>
        <w:rPr>
          <w:rFonts w:cs="Arial"/>
          <w:b/>
        </w:rPr>
        <w:br w:type="page"/>
      </w:r>
    </w:p>
    <w:p w:rsidR="00137D7A" w:rsidRDefault="00137D7A" w:rsidP="0045482A">
      <w:pPr>
        <w:spacing w:after="0"/>
        <w:ind w:left="397" w:hanging="397"/>
        <w:rPr>
          <w:rFonts w:cs="Arial"/>
        </w:rPr>
      </w:pPr>
      <w:r w:rsidRPr="006A3EAF">
        <w:rPr>
          <w:rFonts w:cs="Arial"/>
          <w:b/>
        </w:rPr>
        <w:lastRenderedPageBreak/>
        <w:t>5a</w:t>
      </w:r>
      <w:r w:rsidR="00A26E0C">
        <w:rPr>
          <w:rFonts w:cs="Arial"/>
          <w:b/>
        </w:rPr>
        <w:t>)</w:t>
      </w:r>
      <w:r w:rsidRPr="006A3EAF">
        <w:rPr>
          <w:rFonts w:cs="Arial"/>
          <w:b/>
        </w:rPr>
        <w:t xml:space="preserve"> Vyberte placené služby, které využíváte</w:t>
      </w:r>
      <w:r>
        <w:rPr>
          <w:rFonts w:cs="Arial"/>
          <w:b/>
        </w:rPr>
        <w:t xml:space="preserve">. </w:t>
      </w:r>
      <w:r w:rsidRPr="002412E7">
        <w:rPr>
          <w:rFonts w:cs="Arial"/>
        </w:rPr>
        <w:t>O</w:t>
      </w:r>
      <w:r w:rsidRPr="00C77CE2">
        <w:rPr>
          <w:rFonts w:cs="Arial"/>
        </w:rPr>
        <w:t>dpovídali pouze respondenti, kteří v otázce č. 5 odpověděli „ANO“.</w:t>
      </w:r>
    </w:p>
    <w:p w:rsidR="004E188B" w:rsidRPr="006A3EAF" w:rsidRDefault="004E188B" w:rsidP="0045482A">
      <w:pPr>
        <w:spacing w:after="0"/>
        <w:rPr>
          <w:rFonts w:cs="Arial"/>
          <w:b/>
        </w:rPr>
      </w:pPr>
    </w:p>
    <w:p w:rsidR="00137D7A" w:rsidRDefault="00137D7A" w:rsidP="0045482A">
      <w:pPr>
        <w:spacing w:after="0"/>
        <w:rPr>
          <w:rFonts w:cs="Arial"/>
        </w:rPr>
      </w:pPr>
      <w:r w:rsidRPr="006A3EAF">
        <w:rPr>
          <w:rFonts w:cs="Arial"/>
        </w:rPr>
        <w:t xml:space="preserve">Pokud již dodavatelé </w:t>
      </w:r>
      <w:r w:rsidR="003956C4" w:rsidRPr="006A3EAF">
        <w:rPr>
          <w:rFonts w:cs="Arial"/>
        </w:rPr>
        <w:t>využívali</w:t>
      </w:r>
      <w:r w:rsidR="003956C4">
        <w:rPr>
          <w:rFonts w:cs="Arial"/>
        </w:rPr>
        <w:t xml:space="preserve"> </w:t>
      </w:r>
      <w:r w:rsidRPr="006A3EAF">
        <w:rPr>
          <w:rFonts w:cs="Arial"/>
        </w:rPr>
        <w:t xml:space="preserve">placené služby, jednalo se zejména o </w:t>
      </w:r>
      <w:r w:rsidR="003956C4">
        <w:rPr>
          <w:rFonts w:cs="Arial"/>
        </w:rPr>
        <w:t>i</w:t>
      </w:r>
      <w:r w:rsidRPr="006A3EAF">
        <w:rPr>
          <w:rFonts w:cs="Arial"/>
        </w:rPr>
        <w:t xml:space="preserve">nformační servis pro registrované dodavatele (tj. upozornění na novou poptávku </w:t>
      </w:r>
      <w:r w:rsidR="00057EE8">
        <w:rPr>
          <w:rFonts w:cs="Arial"/>
        </w:rPr>
        <w:t>po</w:t>
      </w:r>
      <w:r w:rsidRPr="006A3EAF">
        <w:rPr>
          <w:rFonts w:cs="Arial"/>
        </w:rPr>
        <w:t xml:space="preserve"> komodit</w:t>
      </w:r>
      <w:r w:rsidR="00057EE8">
        <w:rPr>
          <w:rFonts w:cs="Arial"/>
        </w:rPr>
        <w:t>ě</w:t>
      </w:r>
      <w:r w:rsidRPr="006A3EAF">
        <w:rPr>
          <w:rFonts w:cs="Arial"/>
        </w:rPr>
        <w:t xml:space="preserve"> dle nastavené preference sledování vybraných položek; 80 % dodavatelů, kteří využívali placené služby, absolutně 41 dodavatelů). Tito dodavatelé rovněž využívali i službu napojení na datové schránky (20 % dodavatelů, kteří využívali placené služby</w:t>
      </w:r>
      <w:r w:rsidR="00057EE8">
        <w:rPr>
          <w:rFonts w:cs="Arial"/>
        </w:rPr>
        <w:t>;</w:t>
      </w:r>
      <w:r w:rsidRPr="006A3EAF">
        <w:rPr>
          <w:rFonts w:cs="Arial"/>
        </w:rPr>
        <w:t xml:space="preserve"> absolutně 10 dodavatelů). V položce </w:t>
      </w:r>
      <w:r>
        <w:rPr>
          <w:rFonts w:cs="Arial"/>
        </w:rPr>
        <w:t>„</w:t>
      </w:r>
      <w:r w:rsidRPr="0045482A">
        <w:rPr>
          <w:rFonts w:cs="Arial"/>
          <w:i/>
        </w:rPr>
        <w:t>Jiné</w:t>
      </w:r>
      <w:r>
        <w:rPr>
          <w:rFonts w:cs="Arial"/>
        </w:rPr>
        <w:t>“</w:t>
      </w:r>
      <w:r w:rsidRPr="006A3EAF">
        <w:rPr>
          <w:rFonts w:cs="Arial"/>
        </w:rPr>
        <w:t xml:space="preserve"> uvedli své odpovědi pouze dva dodavatelé,</w:t>
      </w:r>
      <w:r>
        <w:rPr>
          <w:rFonts w:cs="Arial"/>
        </w:rPr>
        <w:t xml:space="preserve"> ti preferují informační servis ze </w:t>
      </w:r>
      <w:r w:rsidRPr="006A3EAF">
        <w:rPr>
          <w:rFonts w:cs="Arial"/>
        </w:rPr>
        <w:t>server</w:t>
      </w:r>
      <w:r>
        <w:rPr>
          <w:rFonts w:cs="Arial"/>
        </w:rPr>
        <w:t>u</w:t>
      </w:r>
      <w:r w:rsidRPr="006A3EAF">
        <w:rPr>
          <w:rFonts w:cs="Arial"/>
        </w:rPr>
        <w:t xml:space="preserve"> </w:t>
      </w:r>
      <w:r w:rsidR="00057EE8">
        <w:rPr>
          <w:rFonts w:cs="Arial"/>
        </w:rPr>
        <w:br/>
      </w:r>
      <w:r w:rsidRPr="006A3EAF">
        <w:rPr>
          <w:rFonts w:cs="Arial"/>
        </w:rPr>
        <w:t>e-popt</w:t>
      </w:r>
      <w:r>
        <w:rPr>
          <w:rFonts w:cs="Arial"/>
        </w:rPr>
        <w:t>á</w:t>
      </w:r>
      <w:r w:rsidRPr="006A3EAF">
        <w:rPr>
          <w:rFonts w:cs="Arial"/>
        </w:rPr>
        <w:t xml:space="preserve">vky.cz. </w:t>
      </w:r>
    </w:p>
    <w:p w:rsidR="004E188B" w:rsidRPr="006A3EAF" w:rsidRDefault="004E188B" w:rsidP="0045482A">
      <w:pPr>
        <w:spacing w:after="0"/>
        <w:rPr>
          <w:rFonts w:cs="Arial"/>
        </w:rPr>
      </w:pPr>
    </w:p>
    <w:p w:rsidR="00137D7A" w:rsidRPr="002412E7" w:rsidRDefault="00137D7A" w:rsidP="00051C72">
      <w:pPr>
        <w:spacing w:after="0"/>
        <w:rPr>
          <w:rFonts w:cs="Arial"/>
        </w:rPr>
      </w:pPr>
      <w:r w:rsidRPr="006A3EAF">
        <w:rPr>
          <w:rFonts w:cs="Arial"/>
          <w:b/>
        </w:rPr>
        <w:t>Graf č.</w:t>
      </w:r>
      <w:r>
        <w:rPr>
          <w:rFonts w:cs="Arial"/>
          <w:b/>
        </w:rPr>
        <w:t xml:space="preserve"> 5a</w:t>
      </w:r>
      <w:r w:rsidRPr="006A3EAF">
        <w:rPr>
          <w:rFonts w:cs="Arial"/>
          <w:b/>
        </w:rPr>
        <w:t xml:space="preserve"> </w:t>
      </w:r>
      <w:r w:rsidR="00057EE8" w:rsidRPr="00057EE8">
        <w:rPr>
          <w:rFonts w:cs="Arial"/>
          <w:b/>
        </w:rPr>
        <w:t xml:space="preserve">– </w:t>
      </w:r>
      <w:r w:rsidR="00057EE8">
        <w:rPr>
          <w:rFonts w:cs="Arial"/>
          <w:b/>
        </w:rPr>
        <w:t>Struktura</w:t>
      </w:r>
      <w:r w:rsidRPr="0045482A">
        <w:rPr>
          <w:rFonts w:cs="Arial"/>
          <w:b/>
        </w:rPr>
        <w:t xml:space="preserve"> využívání placených služeb</w:t>
      </w:r>
    </w:p>
    <w:p w:rsidR="00137D7A" w:rsidRPr="006A3EAF" w:rsidRDefault="00856C69" w:rsidP="00051C72">
      <w:pPr>
        <w:rPr>
          <w:rFonts w:cs="Arial"/>
        </w:rPr>
      </w:pPr>
      <w:r>
        <w:rPr>
          <w:rFonts w:cs="Arial"/>
          <w:noProof/>
          <w:lang w:eastAsia="cs-CZ"/>
        </w:rPr>
        <w:drawing>
          <wp:inline distT="0" distB="0" distL="0" distR="0" wp14:anchorId="31809DFF">
            <wp:extent cx="5931673" cy="3824578"/>
            <wp:effectExtent l="0" t="0" r="0" b="5080"/>
            <wp:docPr id="19" name="Obrázek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3185" cy="3825553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137D7A" w:rsidRPr="006053E5" w:rsidRDefault="00137D7A" w:rsidP="0045482A">
      <w:pPr>
        <w:spacing w:after="0"/>
        <w:ind w:left="624" w:hanging="624"/>
        <w:rPr>
          <w:rFonts w:cs="Arial"/>
          <w:sz w:val="18"/>
          <w:szCs w:val="18"/>
        </w:rPr>
      </w:pPr>
      <w:r w:rsidRPr="006053E5">
        <w:rPr>
          <w:rFonts w:cs="Arial"/>
          <w:b/>
          <w:sz w:val="18"/>
          <w:szCs w:val="18"/>
        </w:rPr>
        <w:t>Pozn</w:t>
      </w:r>
      <w:r w:rsidR="006053E5" w:rsidRPr="006053E5">
        <w:rPr>
          <w:rFonts w:cs="Arial"/>
          <w:b/>
          <w:sz w:val="18"/>
          <w:szCs w:val="18"/>
        </w:rPr>
        <w:t>.</w:t>
      </w:r>
      <w:r w:rsidRPr="006053E5">
        <w:rPr>
          <w:rFonts w:cs="Arial"/>
          <w:b/>
          <w:sz w:val="18"/>
          <w:szCs w:val="18"/>
        </w:rPr>
        <w:t>:</w:t>
      </w:r>
      <w:r w:rsidRPr="006053E5">
        <w:rPr>
          <w:rFonts w:cs="Arial"/>
          <w:sz w:val="18"/>
          <w:szCs w:val="18"/>
        </w:rPr>
        <w:t xml:space="preserve"> 100 % = dodavatelé, kteří uvedli, že využívají placených služeb</w:t>
      </w:r>
      <w:r w:rsidR="00057EE8">
        <w:rPr>
          <w:rFonts w:cs="Arial"/>
          <w:sz w:val="18"/>
          <w:szCs w:val="18"/>
        </w:rPr>
        <w:t>;</w:t>
      </w:r>
      <w:r w:rsidRPr="006053E5">
        <w:rPr>
          <w:rFonts w:cs="Arial"/>
          <w:sz w:val="18"/>
          <w:szCs w:val="18"/>
        </w:rPr>
        <w:t xml:space="preserve"> celkem 51 dodavatelů (8,7 % </w:t>
      </w:r>
      <w:r w:rsidR="00057EE8">
        <w:rPr>
          <w:rFonts w:cs="Arial"/>
          <w:sz w:val="18"/>
          <w:szCs w:val="18"/>
        </w:rPr>
        <w:t>respondentů</w:t>
      </w:r>
      <w:r w:rsidRPr="006053E5">
        <w:rPr>
          <w:rFonts w:cs="Arial"/>
          <w:sz w:val="18"/>
          <w:szCs w:val="18"/>
        </w:rPr>
        <w:t>), kteří na otázku č. 5 odpověděli „ANO“.</w:t>
      </w:r>
    </w:p>
    <w:p w:rsidR="00137D7A" w:rsidRDefault="00137D7A" w:rsidP="0045482A">
      <w:pPr>
        <w:spacing w:after="0"/>
        <w:rPr>
          <w:rFonts w:cs="Arial"/>
          <w:b/>
        </w:rPr>
      </w:pPr>
    </w:p>
    <w:p w:rsidR="00057EE8" w:rsidRDefault="00057EE8" w:rsidP="0045482A">
      <w:pPr>
        <w:spacing w:after="0"/>
        <w:rPr>
          <w:rFonts w:cs="Arial"/>
          <w:b/>
        </w:rPr>
      </w:pPr>
    </w:p>
    <w:p w:rsidR="00057EE8" w:rsidRDefault="00057EE8" w:rsidP="0045482A">
      <w:pPr>
        <w:spacing w:after="0"/>
        <w:rPr>
          <w:rFonts w:cs="Arial"/>
          <w:b/>
        </w:rPr>
      </w:pPr>
    </w:p>
    <w:p w:rsidR="00CE5CEF" w:rsidRDefault="00CE5CEF">
      <w:pPr>
        <w:spacing w:after="200" w:line="276" w:lineRule="auto"/>
        <w:jc w:val="left"/>
        <w:rPr>
          <w:rFonts w:cs="Arial"/>
          <w:b/>
        </w:rPr>
      </w:pPr>
      <w:r>
        <w:rPr>
          <w:rFonts w:cs="Arial"/>
          <w:b/>
        </w:rPr>
        <w:br w:type="page"/>
      </w:r>
    </w:p>
    <w:p w:rsidR="00CE5CEF" w:rsidRDefault="00CE5CEF" w:rsidP="00AA3DFC">
      <w:pPr>
        <w:spacing w:after="0"/>
        <w:ind w:left="397" w:hanging="397"/>
        <w:jc w:val="left"/>
        <w:rPr>
          <w:rFonts w:cs="Arial"/>
          <w:b/>
        </w:rPr>
      </w:pPr>
    </w:p>
    <w:p w:rsidR="00137D7A" w:rsidRDefault="00137D7A" w:rsidP="00AA3DFC">
      <w:pPr>
        <w:spacing w:after="0"/>
        <w:ind w:left="397" w:hanging="397"/>
        <w:jc w:val="left"/>
        <w:rPr>
          <w:rFonts w:cs="Arial"/>
        </w:rPr>
      </w:pPr>
      <w:r w:rsidRPr="006A3EAF">
        <w:rPr>
          <w:rFonts w:cs="Arial"/>
          <w:b/>
        </w:rPr>
        <w:t>5b</w:t>
      </w:r>
      <w:r w:rsidR="00A26E0C">
        <w:rPr>
          <w:rFonts w:cs="Arial"/>
          <w:b/>
        </w:rPr>
        <w:t>)</w:t>
      </w:r>
      <w:r w:rsidRPr="006A3EAF">
        <w:rPr>
          <w:rFonts w:cs="Arial"/>
          <w:b/>
        </w:rPr>
        <w:t xml:space="preserve"> Pokud jste nevyužili žádnou z placených služeb, uveďte max. 3 důvody, které nejlépe vystihují Váš názor</w:t>
      </w:r>
      <w:r>
        <w:rPr>
          <w:rFonts w:cs="Arial"/>
          <w:b/>
        </w:rPr>
        <w:t xml:space="preserve">. </w:t>
      </w:r>
      <w:r w:rsidRPr="002412E7">
        <w:rPr>
          <w:rFonts w:cs="Arial"/>
        </w:rPr>
        <w:t>Odpovídali pouze respondenti, kteří v otázce č. 5 odpověděli „NE“.</w:t>
      </w:r>
    </w:p>
    <w:p w:rsidR="004E188B" w:rsidRPr="006A3EAF" w:rsidRDefault="004E188B" w:rsidP="00AA3DFC">
      <w:pPr>
        <w:spacing w:after="0"/>
        <w:rPr>
          <w:rFonts w:cs="Arial"/>
          <w:b/>
        </w:rPr>
      </w:pPr>
    </w:p>
    <w:p w:rsidR="00137D7A" w:rsidRDefault="00057EE8" w:rsidP="00E217D5">
      <w:pPr>
        <w:rPr>
          <w:rFonts w:cs="Arial"/>
        </w:rPr>
      </w:pPr>
      <w:r>
        <w:rPr>
          <w:rFonts w:cs="Arial"/>
        </w:rPr>
        <w:t>P</w:t>
      </w:r>
      <w:r w:rsidR="00137D7A" w:rsidRPr="006A3EAF">
        <w:rPr>
          <w:rFonts w:cs="Arial"/>
        </w:rPr>
        <w:t>lacen</w:t>
      </w:r>
      <w:r>
        <w:rPr>
          <w:rFonts w:cs="Arial"/>
        </w:rPr>
        <w:t>é</w:t>
      </w:r>
      <w:r w:rsidR="00137D7A" w:rsidRPr="006A3EAF">
        <w:rPr>
          <w:rFonts w:cs="Arial"/>
        </w:rPr>
        <w:t xml:space="preserve"> služ</w:t>
      </w:r>
      <w:r>
        <w:rPr>
          <w:rFonts w:cs="Arial"/>
        </w:rPr>
        <w:t>by</w:t>
      </w:r>
      <w:r w:rsidR="00137D7A" w:rsidRPr="006A3EAF">
        <w:rPr>
          <w:rFonts w:cs="Arial"/>
        </w:rPr>
        <w:t xml:space="preserve"> nevyužilo 91,3 % dodavatelů</w:t>
      </w:r>
      <w:r w:rsidR="00137D7A">
        <w:rPr>
          <w:rFonts w:cs="Arial"/>
        </w:rPr>
        <w:t xml:space="preserve">, </w:t>
      </w:r>
      <w:r>
        <w:rPr>
          <w:rFonts w:cs="Arial"/>
        </w:rPr>
        <w:t xml:space="preserve">ti </w:t>
      </w:r>
      <w:r w:rsidR="00137D7A">
        <w:rPr>
          <w:rFonts w:cs="Arial"/>
        </w:rPr>
        <w:t xml:space="preserve">dále </w:t>
      </w:r>
      <w:r>
        <w:rPr>
          <w:rFonts w:cs="Arial"/>
        </w:rPr>
        <w:t>zdůvodňovali</w:t>
      </w:r>
      <w:r w:rsidR="00137D7A">
        <w:rPr>
          <w:rFonts w:cs="Arial"/>
        </w:rPr>
        <w:t>, proč je nevyužívají</w:t>
      </w:r>
      <w:r w:rsidR="00137D7A" w:rsidRPr="006A3EAF">
        <w:rPr>
          <w:rFonts w:cs="Arial"/>
        </w:rPr>
        <w:t xml:space="preserve">. Necelá polovina těchto dodavatelů (49 %) uvedla, že neví, jaký přínos mohou pro ně placené služby mít. </w:t>
      </w:r>
      <w:r w:rsidR="00137D7A">
        <w:rPr>
          <w:rFonts w:cs="Arial"/>
        </w:rPr>
        <w:t>V</w:t>
      </w:r>
      <w:r w:rsidR="00137D7A" w:rsidRPr="006A3EAF">
        <w:rPr>
          <w:rFonts w:cs="Arial"/>
        </w:rPr>
        <w:t xml:space="preserve">elmi častou odpovědí </w:t>
      </w:r>
      <w:r w:rsidR="00137D7A">
        <w:rPr>
          <w:rFonts w:cs="Arial"/>
        </w:rPr>
        <w:t xml:space="preserve">dodavatelů </w:t>
      </w:r>
      <w:r w:rsidR="00137D7A" w:rsidRPr="006A3EAF">
        <w:rPr>
          <w:rFonts w:cs="Arial"/>
        </w:rPr>
        <w:t>bylo, že nevědí, co je přesně obsahem těchto služeb (38</w:t>
      </w:r>
      <w:r w:rsidR="00494596">
        <w:rPr>
          <w:rFonts w:cs="Arial"/>
        </w:rPr>
        <w:t> </w:t>
      </w:r>
      <w:r w:rsidR="00137D7A" w:rsidRPr="006A3EAF">
        <w:rPr>
          <w:rFonts w:cs="Arial"/>
        </w:rPr>
        <w:t>%)</w:t>
      </w:r>
      <w:r>
        <w:rPr>
          <w:rFonts w:cs="Arial"/>
        </w:rPr>
        <w:t>,</w:t>
      </w:r>
      <w:r w:rsidR="00137D7A" w:rsidRPr="006A3EAF">
        <w:rPr>
          <w:rFonts w:cs="Arial"/>
        </w:rPr>
        <w:t xml:space="preserve"> a že se obávají vysokých nákladů za tyto služby (32 %). Z pohledu jednotlivých skupin dodavatelů byly jejich postoje shodné.</w:t>
      </w:r>
    </w:p>
    <w:p w:rsidR="004E188B" w:rsidRPr="006A3EAF" w:rsidRDefault="004E188B" w:rsidP="00AA3DFC">
      <w:pPr>
        <w:spacing w:after="0"/>
        <w:rPr>
          <w:rFonts w:cs="Arial"/>
        </w:rPr>
      </w:pPr>
    </w:p>
    <w:p w:rsidR="00137D7A" w:rsidRDefault="00137D7A" w:rsidP="00AA3DFC">
      <w:pPr>
        <w:spacing w:after="0"/>
        <w:rPr>
          <w:rFonts w:cs="Arial"/>
        </w:rPr>
      </w:pPr>
      <w:r w:rsidRPr="006A3EAF">
        <w:rPr>
          <w:rFonts w:cs="Arial"/>
        </w:rPr>
        <w:t xml:space="preserve">V položce </w:t>
      </w:r>
      <w:r>
        <w:rPr>
          <w:rFonts w:cs="Arial"/>
        </w:rPr>
        <w:t>„</w:t>
      </w:r>
      <w:r w:rsidRPr="00AA3DFC">
        <w:rPr>
          <w:rFonts w:cs="Arial"/>
          <w:i/>
        </w:rPr>
        <w:t>Jiné</w:t>
      </w:r>
      <w:r>
        <w:rPr>
          <w:rFonts w:cs="Arial"/>
        </w:rPr>
        <w:t>“</w:t>
      </w:r>
      <w:r w:rsidRPr="006A3EAF">
        <w:rPr>
          <w:rFonts w:cs="Arial"/>
        </w:rPr>
        <w:t xml:space="preserve"> uvedlo svůj názor 19 dodavatelů. Nejčastěji se však tyto odpovědi vztahovaly k obavám </w:t>
      </w:r>
      <w:r w:rsidR="002C671F">
        <w:rPr>
          <w:rFonts w:cs="Arial"/>
        </w:rPr>
        <w:t>z </w:t>
      </w:r>
      <w:r w:rsidRPr="006A3EAF">
        <w:rPr>
          <w:rFonts w:cs="Arial"/>
        </w:rPr>
        <w:t xml:space="preserve">vysokých nákladů na placené služby (10 z 19 odpovědí). Ostatní odpovědi se vztahovaly k tomu, že placené služby prodražují výrobky, které jsou již tak podhodnocené, a že </w:t>
      </w:r>
      <w:r w:rsidR="00057EE8">
        <w:rPr>
          <w:rFonts w:cs="Arial"/>
        </w:rPr>
        <w:t>vinou</w:t>
      </w:r>
      <w:r w:rsidRPr="006A3EAF">
        <w:rPr>
          <w:rFonts w:cs="Arial"/>
        </w:rPr>
        <w:t xml:space="preserve"> málo jemné</w:t>
      </w:r>
      <w:r w:rsidR="00057EE8">
        <w:rPr>
          <w:rFonts w:cs="Arial"/>
        </w:rPr>
        <w:t>ho</w:t>
      </w:r>
      <w:r w:rsidRPr="006A3EAF">
        <w:rPr>
          <w:rFonts w:cs="Arial"/>
        </w:rPr>
        <w:t xml:space="preserve"> členění komodit chodí 90 % zbytečností</w:t>
      </w:r>
      <w:r w:rsidR="00057EE8">
        <w:rPr>
          <w:rFonts w:cs="Arial"/>
        </w:rPr>
        <w:t xml:space="preserve"> s nulovým přínosem pro adresáta</w:t>
      </w:r>
      <w:r w:rsidRPr="006A3EAF">
        <w:rPr>
          <w:rFonts w:cs="Arial"/>
        </w:rPr>
        <w:t>.</w:t>
      </w:r>
    </w:p>
    <w:p w:rsidR="004E188B" w:rsidRPr="00CE2418" w:rsidRDefault="004E188B" w:rsidP="00AA3DFC">
      <w:pPr>
        <w:spacing w:after="0"/>
        <w:rPr>
          <w:rFonts w:cs="Arial"/>
        </w:rPr>
      </w:pPr>
    </w:p>
    <w:p w:rsidR="00137D7A" w:rsidRPr="006A3EAF" w:rsidRDefault="00137D7A" w:rsidP="00051C72">
      <w:pPr>
        <w:spacing w:after="0"/>
        <w:rPr>
          <w:rFonts w:cs="Arial"/>
          <w:b/>
        </w:rPr>
      </w:pPr>
      <w:r>
        <w:rPr>
          <w:rFonts w:cs="Arial"/>
          <w:b/>
        </w:rPr>
        <w:t>Graf č. 5b</w:t>
      </w:r>
      <w:r w:rsidRPr="006A3EAF">
        <w:rPr>
          <w:rFonts w:cs="Arial"/>
          <w:b/>
        </w:rPr>
        <w:t xml:space="preserve"> </w:t>
      </w:r>
      <w:r w:rsidR="00E217D5">
        <w:rPr>
          <w:rFonts w:cs="Arial"/>
          <w:b/>
        </w:rPr>
        <w:t xml:space="preserve">– </w:t>
      </w:r>
      <w:r w:rsidRPr="006A3EAF">
        <w:rPr>
          <w:rFonts w:cs="Arial"/>
          <w:b/>
        </w:rPr>
        <w:t xml:space="preserve">Důvody nevyužívání placených služeb </w:t>
      </w:r>
      <w:r w:rsidR="00E217D5">
        <w:rPr>
          <w:rFonts w:cs="Arial"/>
          <w:b/>
        </w:rPr>
        <w:t>(</w:t>
      </w:r>
      <w:r w:rsidRPr="006A3EAF">
        <w:rPr>
          <w:rFonts w:cs="Arial"/>
          <w:b/>
        </w:rPr>
        <w:t xml:space="preserve">možno uvést </w:t>
      </w:r>
      <w:r w:rsidR="00E217D5">
        <w:rPr>
          <w:rFonts w:cs="Arial"/>
          <w:b/>
        </w:rPr>
        <w:t>3</w:t>
      </w:r>
      <w:r w:rsidRPr="006A3EAF">
        <w:rPr>
          <w:rFonts w:cs="Arial"/>
          <w:b/>
        </w:rPr>
        <w:t xml:space="preserve"> možnost</w:t>
      </w:r>
      <w:r w:rsidR="00E217D5">
        <w:rPr>
          <w:rFonts w:cs="Arial"/>
          <w:b/>
        </w:rPr>
        <w:t>i)</w:t>
      </w:r>
    </w:p>
    <w:p w:rsidR="00137D7A" w:rsidRPr="006A3EAF" w:rsidRDefault="00856C69" w:rsidP="00051C72">
      <w:pPr>
        <w:rPr>
          <w:rFonts w:cs="Arial"/>
          <w:b/>
        </w:rPr>
      </w:pPr>
      <w:r>
        <w:rPr>
          <w:rFonts w:cs="Arial"/>
          <w:b/>
          <w:noProof/>
          <w:lang w:eastAsia="cs-CZ"/>
        </w:rPr>
        <w:drawing>
          <wp:inline distT="0" distB="0" distL="0" distR="0" wp14:anchorId="61A05A95">
            <wp:extent cx="5923722" cy="3077394"/>
            <wp:effectExtent l="0" t="0" r="1270" b="8890"/>
            <wp:docPr id="20" name="Obrázek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24182" cy="3077633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137D7A" w:rsidRPr="006053E5" w:rsidRDefault="00137D7A" w:rsidP="00830EBE">
      <w:pPr>
        <w:spacing w:after="0"/>
        <w:rPr>
          <w:rFonts w:cs="Arial"/>
          <w:sz w:val="18"/>
          <w:szCs w:val="18"/>
        </w:rPr>
      </w:pPr>
      <w:r w:rsidRPr="006053E5">
        <w:rPr>
          <w:rFonts w:cs="Arial"/>
          <w:b/>
          <w:sz w:val="18"/>
          <w:szCs w:val="18"/>
        </w:rPr>
        <w:t>Pozn</w:t>
      </w:r>
      <w:r w:rsidR="006053E5" w:rsidRPr="006053E5">
        <w:rPr>
          <w:rFonts w:cs="Arial"/>
          <w:b/>
          <w:sz w:val="18"/>
          <w:szCs w:val="18"/>
        </w:rPr>
        <w:t>.</w:t>
      </w:r>
      <w:r w:rsidRPr="006053E5">
        <w:rPr>
          <w:rFonts w:cs="Arial"/>
          <w:b/>
          <w:sz w:val="18"/>
          <w:szCs w:val="18"/>
        </w:rPr>
        <w:t>:</w:t>
      </w:r>
      <w:r w:rsidRPr="006053E5">
        <w:rPr>
          <w:rFonts w:cs="Arial"/>
          <w:sz w:val="18"/>
          <w:szCs w:val="18"/>
        </w:rPr>
        <w:t xml:space="preserve"> 100 % = dodavatelé, kteří uvedli, že nevyužívají žádnou z placených služeb </w:t>
      </w:r>
      <w:r w:rsidR="00830EBE">
        <w:rPr>
          <w:rFonts w:cs="Arial"/>
          <w:sz w:val="18"/>
          <w:szCs w:val="18"/>
        </w:rPr>
        <w:t>(</w:t>
      </w:r>
      <w:r w:rsidRPr="006053E5">
        <w:rPr>
          <w:rFonts w:cs="Arial"/>
          <w:sz w:val="18"/>
          <w:szCs w:val="18"/>
        </w:rPr>
        <w:t>celkem, resp. v dané skupině</w:t>
      </w:r>
      <w:r w:rsidR="00830EBE">
        <w:rPr>
          <w:rFonts w:cs="Arial"/>
          <w:sz w:val="18"/>
          <w:szCs w:val="18"/>
        </w:rPr>
        <w:t>)</w:t>
      </w:r>
      <w:r w:rsidR="006053E5">
        <w:rPr>
          <w:rFonts w:cs="Arial"/>
          <w:sz w:val="18"/>
          <w:szCs w:val="18"/>
        </w:rPr>
        <w:t>.</w:t>
      </w:r>
    </w:p>
    <w:p w:rsidR="00137D7A" w:rsidRDefault="00137D7A" w:rsidP="00051C72">
      <w:pPr>
        <w:rPr>
          <w:rFonts w:cs="Arial"/>
        </w:rPr>
      </w:pPr>
    </w:p>
    <w:p w:rsidR="00CE5CEF" w:rsidRDefault="00CE5CEF" w:rsidP="00051C72">
      <w:pPr>
        <w:rPr>
          <w:rFonts w:cs="Arial"/>
        </w:rPr>
      </w:pPr>
    </w:p>
    <w:p w:rsidR="00CE5CEF" w:rsidRDefault="00CE5CEF" w:rsidP="00051C72">
      <w:pPr>
        <w:rPr>
          <w:rFonts w:cs="Arial"/>
        </w:rPr>
      </w:pPr>
    </w:p>
    <w:p w:rsidR="00CE5CEF" w:rsidRPr="006A3EAF" w:rsidRDefault="00CE5CEF" w:rsidP="00051C72">
      <w:pPr>
        <w:rPr>
          <w:rFonts w:cs="Arial"/>
        </w:rPr>
      </w:pPr>
    </w:p>
    <w:p w:rsidR="00A26E0C" w:rsidRDefault="00A26E0C">
      <w:pPr>
        <w:spacing w:after="200" w:line="276" w:lineRule="auto"/>
        <w:jc w:val="left"/>
        <w:rPr>
          <w:rFonts w:eastAsiaTheme="majorEastAsia" w:cstheme="majorBidi"/>
          <w:b/>
          <w:bCs/>
          <w:szCs w:val="26"/>
        </w:rPr>
      </w:pPr>
      <w:r>
        <w:br w:type="page"/>
      </w:r>
    </w:p>
    <w:p w:rsidR="00137D7A" w:rsidRPr="000D0B69" w:rsidRDefault="004E188B" w:rsidP="00B858BE">
      <w:pPr>
        <w:pStyle w:val="Nadpis2"/>
        <w:spacing w:before="0"/>
        <w:jc w:val="left"/>
        <w:rPr>
          <w:b w:val="0"/>
        </w:rPr>
      </w:pPr>
      <w:r>
        <w:lastRenderedPageBreak/>
        <w:t xml:space="preserve">6. </w:t>
      </w:r>
      <w:r w:rsidR="00137D7A" w:rsidRPr="000D0B69">
        <w:t>Shledáváte v nějaké oblasti fungování e-tržiště nedostatky? Max. 3 odpovědi.</w:t>
      </w:r>
    </w:p>
    <w:p w:rsidR="004E188B" w:rsidRDefault="004E188B" w:rsidP="00B858BE">
      <w:pPr>
        <w:spacing w:after="0"/>
        <w:rPr>
          <w:rFonts w:cs="Arial"/>
        </w:rPr>
      </w:pPr>
    </w:p>
    <w:p w:rsidR="00137D7A" w:rsidRDefault="00137D7A" w:rsidP="00B858BE">
      <w:pPr>
        <w:spacing w:after="0"/>
        <w:rPr>
          <w:rFonts w:cs="Arial"/>
        </w:rPr>
      </w:pPr>
      <w:r w:rsidRPr="006A3EAF">
        <w:rPr>
          <w:rFonts w:cs="Arial"/>
        </w:rPr>
        <w:t xml:space="preserve">Téměř polovina </w:t>
      </w:r>
      <w:r w:rsidR="00830EBE">
        <w:rPr>
          <w:rFonts w:cs="Arial"/>
        </w:rPr>
        <w:t>respondentů</w:t>
      </w:r>
      <w:r w:rsidRPr="006A3EAF">
        <w:rPr>
          <w:rFonts w:cs="Arial"/>
        </w:rPr>
        <w:t xml:space="preserve"> (47 %) považovala za jeden z hlavních nedostatků </w:t>
      </w:r>
      <w:r>
        <w:rPr>
          <w:rFonts w:cs="Arial"/>
        </w:rPr>
        <w:t>provozu</w:t>
      </w:r>
      <w:r w:rsidRPr="006A3EAF">
        <w:rPr>
          <w:rFonts w:cs="Arial"/>
        </w:rPr>
        <w:t xml:space="preserve"> </w:t>
      </w:r>
      <w:r w:rsidR="00DD1E31">
        <w:rPr>
          <w:rFonts w:cs="Arial"/>
        </w:rPr>
        <w:br/>
      </w:r>
      <w:r w:rsidRPr="006A3EAF">
        <w:rPr>
          <w:rFonts w:cs="Arial"/>
        </w:rPr>
        <w:t xml:space="preserve">e-tržiště obtížné vyhledávání odpovídajících poptávek a dalších informací na e-tržišti. Dodavatelé dále velmi často </w:t>
      </w:r>
      <w:r w:rsidR="00830EBE">
        <w:rPr>
          <w:rFonts w:cs="Arial"/>
        </w:rPr>
        <w:t>zmiňovali</w:t>
      </w:r>
      <w:r w:rsidRPr="006A3EAF">
        <w:rPr>
          <w:rFonts w:cs="Arial"/>
        </w:rPr>
        <w:t xml:space="preserve"> malou uživatelskou přívě</w:t>
      </w:r>
      <w:r>
        <w:rPr>
          <w:rFonts w:cs="Arial"/>
        </w:rPr>
        <w:t>tivost prostředí e-tržiště (39 </w:t>
      </w:r>
      <w:r w:rsidRPr="006A3EAF">
        <w:rPr>
          <w:rFonts w:cs="Arial"/>
        </w:rPr>
        <w:t>%) a</w:t>
      </w:r>
      <w:r w:rsidR="00830EBE">
        <w:rPr>
          <w:rFonts w:cs="Arial"/>
        </w:rPr>
        <w:t> </w:t>
      </w:r>
      <w:r w:rsidRPr="006A3EAF">
        <w:rPr>
          <w:rFonts w:cs="Arial"/>
        </w:rPr>
        <w:t>nemožnost registrovat se na všech e-tržištích najednou (36 %). Z pohledu jednotlivých skupin dodavatelů byly jejich postoje shodné.</w:t>
      </w:r>
    </w:p>
    <w:p w:rsidR="004E188B" w:rsidRPr="006A3EAF" w:rsidRDefault="004E188B" w:rsidP="00B858BE">
      <w:pPr>
        <w:spacing w:after="0"/>
        <w:rPr>
          <w:rFonts w:cs="Arial"/>
        </w:rPr>
      </w:pPr>
    </w:p>
    <w:p w:rsidR="00137D7A" w:rsidRDefault="00137D7A" w:rsidP="00B858BE">
      <w:pPr>
        <w:spacing w:after="0"/>
        <w:rPr>
          <w:rFonts w:cs="Arial"/>
        </w:rPr>
      </w:pPr>
      <w:r w:rsidRPr="006A3EAF">
        <w:rPr>
          <w:rFonts w:cs="Arial"/>
        </w:rPr>
        <w:t xml:space="preserve">Položka </w:t>
      </w:r>
      <w:r>
        <w:rPr>
          <w:rFonts w:cs="Arial"/>
        </w:rPr>
        <w:t>odpovědí „</w:t>
      </w:r>
      <w:r w:rsidRPr="00B858BE">
        <w:rPr>
          <w:rFonts w:cs="Arial"/>
          <w:i/>
        </w:rPr>
        <w:t>Jiné</w:t>
      </w:r>
      <w:r>
        <w:rPr>
          <w:rFonts w:cs="Arial"/>
        </w:rPr>
        <w:t>“</w:t>
      </w:r>
      <w:r w:rsidRPr="006A3EAF">
        <w:rPr>
          <w:rFonts w:cs="Arial"/>
        </w:rPr>
        <w:t xml:space="preserve"> obsahovala celkem 67 </w:t>
      </w:r>
      <w:r>
        <w:rPr>
          <w:rFonts w:cs="Arial"/>
        </w:rPr>
        <w:t>reakcí</w:t>
      </w:r>
      <w:r w:rsidRPr="006A3EAF">
        <w:rPr>
          <w:rFonts w:cs="Arial"/>
        </w:rPr>
        <w:t>, ve kterých</w:t>
      </w:r>
      <w:r>
        <w:rPr>
          <w:rFonts w:cs="Arial"/>
        </w:rPr>
        <w:t xml:space="preserve"> dodavatelé uváděli </w:t>
      </w:r>
      <w:r w:rsidR="00830EBE">
        <w:rPr>
          <w:rFonts w:cs="Arial"/>
        </w:rPr>
        <w:t xml:space="preserve">jak </w:t>
      </w:r>
      <w:r>
        <w:rPr>
          <w:rFonts w:cs="Arial"/>
        </w:rPr>
        <w:t>nedostatky spojené s přístupem k řešení e-tržišť (</w:t>
      </w:r>
      <w:r w:rsidR="00830EBE">
        <w:rPr>
          <w:rFonts w:cs="Arial"/>
        </w:rPr>
        <w:t>bo</w:t>
      </w:r>
      <w:r>
        <w:rPr>
          <w:rFonts w:cs="Arial"/>
        </w:rPr>
        <w:t xml:space="preserve">d A), tak i nedostatky vyplývající </w:t>
      </w:r>
      <w:r w:rsidR="002C671F">
        <w:rPr>
          <w:rFonts w:cs="Arial"/>
        </w:rPr>
        <w:t>z </w:t>
      </w:r>
      <w:r>
        <w:rPr>
          <w:rFonts w:cs="Arial"/>
        </w:rPr>
        <w:t>činností zadavatelů zakázek na e-tržištích (</w:t>
      </w:r>
      <w:r w:rsidR="00830EBE">
        <w:rPr>
          <w:rFonts w:cs="Arial"/>
        </w:rPr>
        <w:t>bod</w:t>
      </w:r>
      <w:r>
        <w:rPr>
          <w:rFonts w:cs="Arial"/>
        </w:rPr>
        <w:t xml:space="preserve"> B). Níže jsou uvedeny příklady odpovědí:</w:t>
      </w:r>
    </w:p>
    <w:p w:rsidR="004E188B" w:rsidRDefault="004E188B" w:rsidP="00B858BE">
      <w:pPr>
        <w:spacing w:after="0"/>
        <w:rPr>
          <w:rFonts w:cs="Arial"/>
        </w:rPr>
      </w:pPr>
    </w:p>
    <w:p w:rsidR="00137D7A" w:rsidRDefault="00137D7A" w:rsidP="00B858BE">
      <w:pPr>
        <w:spacing w:after="0"/>
        <w:rPr>
          <w:rFonts w:cs="Arial"/>
        </w:rPr>
      </w:pPr>
      <w:r w:rsidRPr="00F4486A">
        <w:rPr>
          <w:rFonts w:cs="Arial"/>
          <w:u w:val="single"/>
        </w:rPr>
        <w:t>A:</w:t>
      </w:r>
      <w:r w:rsidRPr="00F4486A">
        <w:rPr>
          <w:rFonts w:cs="Arial"/>
        </w:rPr>
        <w:t xml:space="preserve"> Neexistence jednoho centrálního tržiště, neexistence evidence všech vypsaných VZ přehledně na jednom veřejném portálu, velký počet e-tržišť, problém se správným přiřazením zboží do stromu s komoditami na e-tržišti</w:t>
      </w:r>
      <w:r>
        <w:rPr>
          <w:rFonts w:cs="Arial"/>
        </w:rPr>
        <w:t>,</w:t>
      </w:r>
      <w:r w:rsidRPr="00F4486A">
        <w:rPr>
          <w:rFonts w:cs="Arial"/>
        </w:rPr>
        <w:t xml:space="preserve"> nejasná pravidla pro zobrazování všech poptávek, časté padání aplikace</w:t>
      </w:r>
      <w:r>
        <w:rPr>
          <w:rFonts w:cs="Arial"/>
        </w:rPr>
        <w:t xml:space="preserve">, </w:t>
      </w:r>
      <w:r w:rsidRPr="006A3EAF">
        <w:rPr>
          <w:rFonts w:cs="Arial"/>
        </w:rPr>
        <w:t>nevýhoda dodavatelů, kteří nejsou plátci DPH (uvádění koncové ceny vč.</w:t>
      </w:r>
      <w:r w:rsidR="00830EBE">
        <w:rPr>
          <w:rFonts w:cs="Arial"/>
        </w:rPr>
        <w:t> </w:t>
      </w:r>
      <w:r w:rsidRPr="006A3EAF">
        <w:rPr>
          <w:rFonts w:cs="Arial"/>
        </w:rPr>
        <w:t>DPH)</w:t>
      </w:r>
      <w:r>
        <w:rPr>
          <w:rFonts w:cs="Arial"/>
        </w:rPr>
        <w:t>.</w:t>
      </w:r>
    </w:p>
    <w:p w:rsidR="004E188B" w:rsidRPr="006A3EAF" w:rsidRDefault="004E188B" w:rsidP="00B858BE">
      <w:pPr>
        <w:spacing w:after="0"/>
        <w:rPr>
          <w:rFonts w:cs="Arial"/>
        </w:rPr>
      </w:pPr>
    </w:p>
    <w:p w:rsidR="00137D7A" w:rsidRDefault="00137D7A" w:rsidP="002B6354">
      <w:pPr>
        <w:spacing w:after="0"/>
        <w:rPr>
          <w:rFonts w:cs="Arial"/>
        </w:rPr>
      </w:pPr>
      <w:r w:rsidRPr="00F4486A">
        <w:rPr>
          <w:rFonts w:cs="Arial"/>
          <w:u w:val="single"/>
        </w:rPr>
        <w:t>B:</w:t>
      </w:r>
      <w:r w:rsidR="00B858BE">
        <w:rPr>
          <w:rFonts w:cs="Arial"/>
        </w:rPr>
        <w:t xml:space="preserve"> Stanovení rozdílných postupů pro podávání nabídek</w:t>
      </w:r>
      <w:r w:rsidRPr="00F4486A">
        <w:rPr>
          <w:rFonts w:cs="Arial"/>
        </w:rPr>
        <w:t>, nepřehlednost</w:t>
      </w:r>
      <w:r>
        <w:rPr>
          <w:rFonts w:cs="Arial"/>
        </w:rPr>
        <w:t xml:space="preserve"> a</w:t>
      </w:r>
      <w:r w:rsidRPr="00F4486A">
        <w:rPr>
          <w:rFonts w:cs="Arial"/>
        </w:rPr>
        <w:t xml:space="preserve"> zmatečnost zadávacích řízení, zadavatelé vyžadují předkládané doklady podepsané, nas</w:t>
      </w:r>
      <w:r w:rsidR="00EA72E5">
        <w:rPr>
          <w:rFonts w:cs="Arial"/>
        </w:rPr>
        <w:t>k</w:t>
      </w:r>
      <w:r w:rsidR="002B6354">
        <w:rPr>
          <w:rFonts w:cs="Arial"/>
        </w:rPr>
        <w:t>enované a </w:t>
      </w:r>
      <w:r w:rsidR="00830EBE">
        <w:rPr>
          <w:rFonts w:cs="Arial"/>
        </w:rPr>
        <w:t>vložené</w:t>
      </w:r>
      <w:r w:rsidRPr="00F4486A">
        <w:rPr>
          <w:rFonts w:cs="Arial"/>
        </w:rPr>
        <w:t xml:space="preserve"> jako přílohy do nabídky – nestačí elektronický podpis</w:t>
      </w:r>
      <w:r w:rsidR="004D017B">
        <w:rPr>
          <w:rFonts w:cs="Arial"/>
        </w:rPr>
        <w:t xml:space="preserve"> –</w:t>
      </w:r>
      <w:r w:rsidR="00A16B7B">
        <w:rPr>
          <w:rFonts w:cs="Arial"/>
        </w:rPr>
        <w:t>,</w:t>
      </w:r>
      <w:r w:rsidRPr="00F4486A">
        <w:rPr>
          <w:rFonts w:cs="Arial"/>
        </w:rPr>
        <w:t xml:space="preserve"> obtížné rozpoznání jednotkové/celkové ceny, malé množství zadavatelů a poptávek</w:t>
      </w:r>
      <w:r>
        <w:rPr>
          <w:rFonts w:cs="Arial"/>
        </w:rPr>
        <w:t>.</w:t>
      </w:r>
      <w:r w:rsidRPr="00F4486A">
        <w:rPr>
          <w:rFonts w:cs="Arial"/>
        </w:rPr>
        <w:t xml:space="preserve"> </w:t>
      </w:r>
    </w:p>
    <w:p w:rsidR="004E188B" w:rsidRPr="006A3EAF" w:rsidRDefault="004E188B" w:rsidP="00B858BE">
      <w:pPr>
        <w:spacing w:after="0"/>
        <w:rPr>
          <w:rFonts w:cs="Arial"/>
        </w:rPr>
      </w:pPr>
    </w:p>
    <w:p w:rsidR="00137D7A" w:rsidRPr="002412E7" w:rsidRDefault="00137D7A" w:rsidP="00051C72">
      <w:pPr>
        <w:spacing w:after="0"/>
        <w:rPr>
          <w:rFonts w:cs="Arial"/>
        </w:rPr>
      </w:pPr>
      <w:r>
        <w:rPr>
          <w:rFonts w:cs="Arial"/>
          <w:b/>
        </w:rPr>
        <w:t>Graf č. 6</w:t>
      </w:r>
      <w:r w:rsidRPr="006A3EAF">
        <w:rPr>
          <w:rFonts w:cs="Arial"/>
          <w:b/>
        </w:rPr>
        <w:t xml:space="preserve"> </w:t>
      </w:r>
      <w:r w:rsidR="004E188B">
        <w:rPr>
          <w:rFonts w:cs="Arial"/>
          <w:b/>
        </w:rPr>
        <w:t xml:space="preserve">– </w:t>
      </w:r>
      <w:r w:rsidR="00856C69" w:rsidRPr="00856C69">
        <w:rPr>
          <w:rFonts w:cs="Arial"/>
          <w:b/>
        </w:rPr>
        <w:t>Shledáváte v nějaké oblasti fungování e-tržiště nedostatky?</w:t>
      </w:r>
    </w:p>
    <w:p w:rsidR="00137D7A" w:rsidRDefault="00856C69" w:rsidP="00051C72">
      <w:r>
        <w:rPr>
          <w:noProof/>
          <w:lang w:eastAsia="cs-CZ"/>
        </w:rPr>
        <w:drawing>
          <wp:inline distT="0" distB="0" distL="0" distR="0" wp14:anchorId="2C2CC6F6">
            <wp:extent cx="6042204" cy="3061252"/>
            <wp:effectExtent l="0" t="0" r="0" b="6350"/>
            <wp:docPr id="21" name="Obrázek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39142" cy="305970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137D7A" w:rsidRPr="006053E5" w:rsidRDefault="00137D7A" w:rsidP="00051C72">
      <w:pPr>
        <w:spacing w:after="0"/>
        <w:rPr>
          <w:rFonts w:cs="Arial"/>
          <w:sz w:val="18"/>
          <w:szCs w:val="18"/>
        </w:rPr>
      </w:pPr>
      <w:r w:rsidRPr="006053E5">
        <w:rPr>
          <w:rFonts w:cs="Arial"/>
          <w:b/>
          <w:sz w:val="18"/>
          <w:szCs w:val="18"/>
        </w:rPr>
        <w:t>Pozn</w:t>
      </w:r>
      <w:r w:rsidR="006053E5" w:rsidRPr="006053E5">
        <w:rPr>
          <w:rFonts w:cs="Arial"/>
          <w:b/>
          <w:sz w:val="18"/>
          <w:szCs w:val="18"/>
        </w:rPr>
        <w:t>.</w:t>
      </w:r>
      <w:r w:rsidRPr="006053E5">
        <w:rPr>
          <w:rFonts w:cs="Arial"/>
          <w:b/>
          <w:sz w:val="18"/>
          <w:szCs w:val="18"/>
        </w:rPr>
        <w:t>:</w:t>
      </w:r>
      <w:r w:rsidRPr="006053E5">
        <w:rPr>
          <w:rFonts w:cs="Arial"/>
          <w:sz w:val="18"/>
          <w:szCs w:val="18"/>
        </w:rPr>
        <w:t xml:space="preserve"> 100 % = počet </w:t>
      </w:r>
      <w:r w:rsidR="00572533">
        <w:rPr>
          <w:rFonts w:cs="Arial"/>
          <w:sz w:val="18"/>
          <w:szCs w:val="18"/>
        </w:rPr>
        <w:t>respondentů</w:t>
      </w:r>
      <w:r w:rsidR="00572533" w:rsidRPr="006053E5">
        <w:rPr>
          <w:rFonts w:cs="Arial"/>
          <w:sz w:val="18"/>
          <w:szCs w:val="18"/>
        </w:rPr>
        <w:t xml:space="preserve"> </w:t>
      </w:r>
      <w:r w:rsidRPr="006053E5">
        <w:rPr>
          <w:rFonts w:cs="Arial"/>
          <w:sz w:val="18"/>
          <w:szCs w:val="18"/>
        </w:rPr>
        <w:t xml:space="preserve">celkem, resp. počet </w:t>
      </w:r>
      <w:r w:rsidR="00572533">
        <w:rPr>
          <w:rFonts w:cs="Arial"/>
          <w:sz w:val="18"/>
          <w:szCs w:val="18"/>
        </w:rPr>
        <w:t>respondentů</w:t>
      </w:r>
      <w:r w:rsidR="00572533" w:rsidRPr="006053E5">
        <w:rPr>
          <w:rFonts w:cs="Arial"/>
          <w:sz w:val="18"/>
          <w:szCs w:val="18"/>
        </w:rPr>
        <w:t xml:space="preserve"> </w:t>
      </w:r>
      <w:r w:rsidRPr="006053E5">
        <w:rPr>
          <w:rFonts w:cs="Arial"/>
          <w:sz w:val="18"/>
          <w:szCs w:val="18"/>
        </w:rPr>
        <w:t>v dané skupině</w:t>
      </w:r>
      <w:r w:rsidR="006053E5">
        <w:rPr>
          <w:rFonts w:cs="Arial"/>
          <w:sz w:val="18"/>
          <w:szCs w:val="18"/>
        </w:rPr>
        <w:t>.</w:t>
      </w:r>
    </w:p>
    <w:p w:rsidR="00051C72" w:rsidRPr="00B420B9" w:rsidRDefault="00051C72" w:rsidP="00051C72">
      <w:pPr>
        <w:spacing w:after="0"/>
        <w:rPr>
          <w:rFonts w:cs="Arial"/>
          <w:sz w:val="20"/>
          <w:szCs w:val="20"/>
        </w:rPr>
      </w:pPr>
    </w:p>
    <w:p w:rsidR="00CE5CEF" w:rsidRDefault="00CE5CEF">
      <w:pPr>
        <w:spacing w:after="200" w:line="276" w:lineRule="auto"/>
        <w:jc w:val="left"/>
        <w:rPr>
          <w:b/>
        </w:rPr>
      </w:pPr>
      <w:r>
        <w:rPr>
          <w:b/>
        </w:rPr>
        <w:br w:type="page"/>
      </w:r>
    </w:p>
    <w:p w:rsidR="00137D7A" w:rsidRDefault="00137D7A" w:rsidP="00FE7081">
      <w:pPr>
        <w:spacing w:after="0"/>
        <w:rPr>
          <w:b/>
        </w:rPr>
      </w:pPr>
      <w:r w:rsidRPr="004513E7">
        <w:rPr>
          <w:b/>
        </w:rPr>
        <w:lastRenderedPageBreak/>
        <w:t xml:space="preserve">Informace </w:t>
      </w:r>
      <w:r w:rsidR="002C671F">
        <w:rPr>
          <w:b/>
        </w:rPr>
        <w:t>k </w:t>
      </w:r>
      <w:r w:rsidRPr="004513E7">
        <w:rPr>
          <w:b/>
        </w:rPr>
        <w:t>výběru respondentů</w:t>
      </w:r>
    </w:p>
    <w:p w:rsidR="00721E7F" w:rsidRPr="004513E7" w:rsidRDefault="00721E7F" w:rsidP="00FE7081">
      <w:pPr>
        <w:spacing w:after="0"/>
        <w:rPr>
          <w:b/>
        </w:rPr>
      </w:pPr>
    </w:p>
    <w:p w:rsidR="00137D7A" w:rsidRPr="006A3EAF" w:rsidRDefault="00137D7A" w:rsidP="00FE7081">
      <w:pPr>
        <w:spacing w:after="0"/>
        <w:rPr>
          <w:rFonts w:cs="Arial"/>
          <w:szCs w:val="22"/>
        </w:rPr>
      </w:pPr>
      <w:r>
        <w:rPr>
          <w:rFonts w:cs="Arial"/>
          <w:szCs w:val="22"/>
        </w:rPr>
        <w:t xml:space="preserve">V prvním roce provozu bylo </w:t>
      </w:r>
      <w:r w:rsidRPr="006A3EAF">
        <w:rPr>
          <w:rFonts w:cs="Arial"/>
          <w:szCs w:val="22"/>
        </w:rPr>
        <w:t>zadáno celkem 31</w:t>
      </w:r>
      <w:r>
        <w:rPr>
          <w:rFonts w:cs="Arial"/>
          <w:szCs w:val="22"/>
        </w:rPr>
        <w:t xml:space="preserve"> </w:t>
      </w:r>
      <w:r w:rsidRPr="006A3EAF">
        <w:rPr>
          <w:rFonts w:cs="Arial"/>
          <w:szCs w:val="22"/>
        </w:rPr>
        <w:t>766 veřejných zakázek, u 9</w:t>
      </w:r>
      <w:r>
        <w:rPr>
          <w:rFonts w:cs="Arial"/>
          <w:szCs w:val="22"/>
        </w:rPr>
        <w:t xml:space="preserve"> </w:t>
      </w:r>
      <w:r w:rsidRPr="006A3EAF">
        <w:rPr>
          <w:rFonts w:cs="Arial"/>
          <w:szCs w:val="22"/>
        </w:rPr>
        <w:t xml:space="preserve">249 z nich však nebylo uvedeno IČ dodavatele ani jeho název. Z dostupných dat bylo možné identifikovat </w:t>
      </w:r>
      <w:r w:rsidRPr="006A3EAF">
        <w:rPr>
          <w:rFonts w:cs="Arial"/>
          <w:b/>
          <w:szCs w:val="22"/>
        </w:rPr>
        <w:t>4</w:t>
      </w:r>
      <w:r>
        <w:rPr>
          <w:rFonts w:cs="Arial"/>
          <w:b/>
          <w:szCs w:val="22"/>
        </w:rPr>
        <w:t> </w:t>
      </w:r>
      <w:r w:rsidRPr="006A3EAF">
        <w:rPr>
          <w:rFonts w:cs="Arial"/>
          <w:b/>
          <w:szCs w:val="22"/>
        </w:rPr>
        <w:t>197</w:t>
      </w:r>
      <w:r w:rsidR="00572533">
        <w:rPr>
          <w:rFonts w:cs="Arial"/>
          <w:b/>
          <w:szCs w:val="22"/>
        </w:rPr>
        <w:t> </w:t>
      </w:r>
      <w:r w:rsidRPr="006A3EAF">
        <w:rPr>
          <w:rFonts w:cs="Arial"/>
          <w:b/>
          <w:szCs w:val="22"/>
        </w:rPr>
        <w:t>dodavatelů</w:t>
      </w:r>
      <w:r w:rsidRPr="00FE7081">
        <w:rPr>
          <w:rFonts w:cs="Arial"/>
          <w:b/>
          <w:szCs w:val="22"/>
        </w:rPr>
        <w:t>,</w:t>
      </w:r>
      <w:r w:rsidRPr="006A3EAF">
        <w:rPr>
          <w:rFonts w:cs="Arial"/>
          <w:szCs w:val="22"/>
        </w:rPr>
        <w:t xml:space="preserve"> kteří </w:t>
      </w:r>
      <w:proofErr w:type="spellStart"/>
      <w:r w:rsidRPr="006A3EAF">
        <w:rPr>
          <w:rFonts w:cs="Arial"/>
          <w:szCs w:val="22"/>
        </w:rPr>
        <w:t>vysoutěžili</w:t>
      </w:r>
      <w:proofErr w:type="spellEnd"/>
      <w:r w:rsidRPr="006A3EAF">
        <w:rPr>
          <w:rFonts w:cs="Arial"/>
          <w:szCs w:val="22"/>
        </w:rPr>
        <w:t xml:space="preserve"> alespoň jednu zadanou VZ.</w:t>
      </w:r>
      <w:r w:rsidRPr="006A3EAF">
        <w:rPr>
          <w:rFonts w:cs="Arial"/>
          <w:sz w:val="18"/>
          <w:szCs w:val="18"/>
        </w:rPr>
        <w:t xml:space="preserve"> </w:t>
      </w:r>
      <w:r w:rsidRPr="006A3EAF">
        <w:rPr>
          <w:rFonts w:cs="Arial"/>
          <w:b/>
          <w:szCs w:val="22"/>
        </w:rPr>
        <w:t>Kontaktní e</w:t>
      </w:r>
      <w:r>
        <w:rPr>
          <w:rFonts w:cs="Arial"/>
          <w:b/>
          <w:szCs w:val="22"/>
        </w:rPr>
        <w:t>-</w:t>
      </w:r>
      <w:r w:rsidRPr="006A3EAF">
        <w:rPr>
          <w:rFonts w:cs="Arial"/>
          <w:b/>
          <w:szCs w:val="22"/>
        </w:rPr>
        <w:t>mail</w:t>
      </w:r>
      <w:r w:rsidRPr="006A3EAF">
        <w:rPr>
          <w:rFonts w:cs="Arial"/>
          <w:szCs w:val="22"/>
        </w:rPr>
        <w:t xml:space="preserve"> byl však uveden pouze u </w:t>
      </w:r>
      <w:r w:rsidRPr="006A3EAF">
        <w:rPr>
          <w:rFonts w:cs="Arial"/>
          <w:b/>
          <w:szCs w:val="22"/>
        </w:rPr>
        <w:t>2</w:t>
      </w:r>
      <w:r>
        <w:rPr>
          <w:rFonts w:cs="Arial"/>
          <w:b/>
          <w:szCs w:val="22"/>
        </w:rPr>
        <w:t xml:space="preserve"> </w:t>
      </w:r>
      <w:r w:rsidRPr="006A3EAF">
        <w:rPr>
          <w:rFonts w:cs="Arial"/>
          <w:b/>
          <w:szCs w:val="22"/>
        </w:rPr>
        <w:t>507 z nich</w:t>
      </w:r>
      <w:r w:rsidRPr="00FE7081">
        <w:rPr>
          <w:rFonts w:cs="Arial"/>
          <w:b/>
          <w:szCs w:val="22"/>
        </w:rPr>
        <w:t>.</w:t>
      </w:r>
      <w:r w:rsidRPr="006A3EAF">
        <w:rPr>
          <w:rFonts w:cs="Arial"/>
          <w:szCs w:val="22"/>
        </w:rPr>
        <w:t xml:space="preserve"> K účasti v dotazníkovém šetření byli na základě těchto skutečností vyzváni všichni dodavatelé splňující tato kritéria:</w:t>
      </w:r>
    </w:p>
    <w:p w:rsidR="00137D7A" w:rsidRPr="006A3EAF" w:rsidRDefault="00137D7A" w:rsidP="00051C72">
      <w:pPr>
        <w:pStyle w:val="Odstavecseseznamem"/>
        <w:numPr>
          <w:ilvl w:val="0"/>
          <w:numId w:val="21"/>
        </w:numPr>
        <w:ind w:left="714" w:hanging="357"/>
        <w:jc w:val="left"/>
        <w:rPr>
          <w:rFonts w:cs="Arial"/>
        </w:rPr>
      </w:pPr>
      <w:r>
        <w:rPr>
          <w:rFonts w:cs="Arial"/>
        </w:rPr>
        <w:t>u</w:t>
      </w:r>
      <w:r w:rsidRPr="006A3EAF">
        <w:rPr>
          <w:rFonts w:cs="Arial"/>
        </w:rPr>
        <w:t>vedli kontaktní e</w:t>
      </w:r>
      <w:r w:rsidR="00572533">
        <w:rPr>
          <w:rFonts w:cs="Arial"/>
        </w:rPr>
        <w:t>-</w:t>
      </w:r>
      <w:r w:rsidRPr="006A3EAF">
        <w:rPr>
          <w:rFonts w:cs="Arial"/>
        </w:rPr>
        <w:t>mail;</w:t>
      </w:r>
    </w:p>
    <w:p w:rsidR="00137D7A" w:rsidRPr="006A3EAF" w:rsidRDefault="00137D7A" w:rsidP="00FE7081">
      <w:pPr>
        <w:pStyle w:val="Odstavecseseznamem"/>
        <w:numPr>
          <w:ilvl w:val="0"/>
          <w:numId w:val="21"/>
        </w:numPr>
        <w:spacing w:after="0"/>
        <w:ind w:left="714" w:hanging="357"/>
        <w:jc w:val="left"/>
        <w:rPr>
          <w:rFonts w:cs="Arial"/>
        </w:rPr>
      </w:pPr>
      <w:r>
        <w:rPr>
          <w:rFonts w:cs="Arial"/>
        </w:rPr>
        <w:t>v</w:t>
      </w:r>
      <w:r w:rsidRPr="006A3EAF">
        <w:rPr>
          <w:rFonts w:cs="Arial"/>
        </w:rPr>
        <w:t xml:space="preserve"> období 1. 1. 2013 až 30. 6. 2013 </w:t>
      </w:r>
      <w:r>
        <w:rPr>
          <w:rFonts w:cs="Arial"/>
        </w:rPr>
        <w:t xml:space="preserve">měli zadánu </w:t>
      </w:r>
      <w:r w:rsidRPr="006A3EAF">
        <w:rPr>
          <w:rFonts w:cs="Arial"/>
        </w:rPr>
        <w:t>alespoň 1 zadanou VZ (tj. zadaná VZ s datem evidence uzavření smlouvy v roce 2013).</w:t>
      </w:r>
    </w:p>
    <w:p w:rsidR="00721E7F" w:rsidRDefault="00721E7F" w:rsidP="00FE7081">
      <w:pPr>
        <w:spacing w:after="0"/>
        <w:rPr>
          <w:rFonts w:cs="Arial"/>
          <w:szCs w:val="22"/>
        </w:rPr>
      </w:pPr>
    </w:p>
    <w:p w:rsidR="00137D7A" w:rsidRPr="006A3EAF" w:rsidRDefault="00137D7A" w:rsidP="00051C72">
      <w:pPr>
        <w:rPr>
          <w:rFonts w:cs="Arial"/>
          <w:szCs w:val="22"/>
        </w:rPr>
      </w:pPr>
      <w:r w:rsidRPr="006A3EAF">
        <w:rPr>
          <w:rFonts w:cs="Arial"/>
          <w:szCs w:val="22"/>
        </w:rPr>
        <w:t>Na základě těchto kritérií byl získán seznam 2</w:t>
      </w:r>
      <w:r>
        <w:rPr>
          <w:rFonts w:cs="Arial"/>
          <w:szCs w:val="22"/>
        </w:rPr>
        <w:t xml:space="preserve"> </w:t>
      </w:r>
      <w:r w:rsidRPr="006A3EAF">
        <w:rPr>
          <w:rFonts w:cs="Arial"/>
          <w:szCs w:val="22"/>
        </w:rPr>
        <w:t>026 dodavatelů</w:t>
      </w:r>
      <w:r>
        <w:rPr>
          <w:rFonts w:cs="Arial"/>
          <w:szCs w:val="22"/>
        </w:rPr>
        <w:t xml:space="preserve"> s celkovým počtem e-mailových adres </w:t>
      </w:r>
      <w:r w:rsidRPr="006A3EAF">
        <w:rPr>
          <w:rFonts w:cs="Arial"/>
          <w:szCs w:val="22"/>
        </w:rPr>
        <w:t>2</w:t>
      </w:r>
      <w:r>
        <w:rPr>
          <w:rFonts w:cs="Arial"/>
          <w:szCs w:val="22"/>
        </w:rPr>
        <w:t> </w:t>
      </w:r>
      <w:r w:rsidRPr="006A3EAF">
        <w:rPr>
          <w:rFonts w:cs="Arial"/>
          <w:szCs w:val="22"/>
        </w:rPr>
        <w:t>103, a to z důvodu, že u některých dodavatelů bylo zaznamenáno více e</w:t>
      </w:r>
      <w:r>
        <w:rPr>
          <w:rFonts w:cs="Arial"/>
          <w:szCs w:val="22"/>
        </w:rPr>
        <w:t>-mailových adres</w:t>
      </w:r>
      <w:r w:rsidRPr="006A3EAF">
        <w:rPr>
          <w:rFonts w:cs="Arial"/>
          <w:szCs w:val="22"/>
        </w:rPr>
        <w:t xml:space="preserve">. </w:t>
      </w:r>
      <w:r>
        <w:rPr>
          <w:rFonts w:cs="Arial"/>
          <w:szCs w:val="22"/>
        </w:rPr>
        <w:t xml:space="preserve">Tito vybraní dodavatelé byli osloveni e-mailem. Ten </w:t>
      </w:r>
      <w:r w:rsidRPr="006A3EAF">
        <w:rPr>
          <w:rFonts w:cs="Arial"/>
          <w:szCs w:val="22"/>
        </w:rPr>
        <w:t>byl úspěšně doručen 1</w:t>
      </w:r>
      <w:r w:rsidR="00572533">
        <w:rPr>
          <w:rFonts w:cs="Arial"/>
          <w:szCs w:val="22"/>
        </w:rPr>
        <w:t> </w:t>
      </w:r>
      <w:r w:rsidRPr="006A3EAF">
        <w:rPr>
          <w:rFonts w:cs="Arial"/>
          <w:szCs w:val="22"/>
        </w:rPr>
        <w:t>948</w:t>
      </w:r>
      <w:r w:rsidR="00572533">
        <w:rPr>
          <w:rFonts w:cs="Arial"/>
          <w:szCs w:val="22"/>
        </w:rPr>
        <w:t> </w:t>
      </w:r>
      <w:r>
        <w:rPr>
          <w:rFonts w:cs="Arial"/>
          <w:szCs w:val="22"/>
        </w:rPr>
        <w:t>dodavatelům a ve</w:t>
      </w:r>
      <w:r w:rsidRPr="006A3EAF">
        <w:rPr>
          <w:rFonts w:cs="Arial"/>
          <w:szCs w:val="22"/>
        </w:rPr>
        <w:t xml:space="preserve"> stanoveném termínu př</w:t>
      </w:r>
      <w:r>
        <w:rPr>
          <w:rFonts w:cs="Arial"/>
          <w:szCs w:val="22"/>
        </w:rPr>
        <w:t xml:space="preserve">išlo 588 vyplněných dotazníků, </w:t>
      </w:r>
      <w:r w:rsidRPr="006A3EAF">
        <w:rPr>
          <w:rFonts w:cs="Arial"/>
          <w:szCs w:val="22"/>
        </w:rPr>
        <w:t>návratnost tak činila 30,2 %</w:t>
      </w:r>
      <w:r w:rsidR="00572533">
        <w:rPr>
          <w:rFonts w:cs="Arial"/>
          <w:szCs w:val="22"/>
        </w:rPr>
        <w:t>.</w:t>
      </w:r>
      <w:r>
        <w:rPr>
          <w:rFonts w:cs="Arial"/>
          <w:szCs w:val="22"/>
        </w:rPr>
        <w:t xml:space="preserve"> </w:t>
      </w:r>
      <w:r w:rsidR="00572533">
        <w:rPr>
          <w:rFonts w:cs="Arial"/>
          <w:szCs w:val="22"/>
        </w:rPr>
        <w:t>S</w:t>
      </w:r>
      <w:r>
        <w:rPr>
          <w:rFonts w:cs="Arial"/>
          <w:szCs w:val="22"/>
        </w:rPr>
        <w:t>truktu</w:t>
      </w:r>
      <w:r w:rsidR="00572533">
        <w:rPr>
          <w:rFonts w:cs="Arial"/>
          <w:szCs w:val="22"/>
        </w:rPr>
        <w:t>ra</w:t>
      </w:r>
      <w:r>
        <w:rPr>
          <w:rFonts w:cs="Arial"/>
          <w:szCs w:val="22"/>
        </w:rPr>
        <w:t xml:space="preserve"> tří skupin respondentů</w:t>
      </w:r>
      <w:r w:rsidR="00572533">
        <w:rPr>
          <w:rFonts w:cs="Arial"/>
          <w:szCs w:val="22"/>
        </w:rPr>
        <w:t xml:space="preserve"> byla následující</w:t>
      </w:r>
      <w:r>
        <w:rPr>
          <w:rFonts w:cs="Arial"/>
          <w:szCs w:val="22"/>
        </w:rPr>
        <w:t>:</w:t>
      </w:r>
      <w:r w:rsidRPr="006A3EAF">
        <w:rPr>
          <w:rFonts w:cs="Arial"/>
          <w:szCs w:val="22"/>
        </w:rPr>
        <w:t xml:space="preserve"> </w:t>
      </w:r>
    </w:p>
    <w:p w:rsidR="00137D7A" w:rsidRPr="006A3EAF" w:rsidRDefault="00EA5073" w:rsidP="00051C72">
      <w:pPr>
        <w:numPr>
          <w:ilvl w:val="0"/>
          <w:numId w:val="22"/>
        </w:numPr>
        <w:rPr>
          <w:rFonts w:cs="Arial"/>
          <w:szCs w:val="22"/>
        </w:rPr>
      </w:pPr>
      <w:r>
        <w:rPr>
          <w:rFonts w:cs="Arial"/>
          <w:szCs w:val="22"/>
        </w:rPr>
        <w:t>d</w:t>
      </w:r>
      <w:r w:rsidR="00137D7A" w:rsidRPr="006A3EAF">
        <w:rPr>
          <w:rFonts w:cs="Arial"/>
          <w:szCs w:val="22"/>
        </w:rPr>
        <w:t xml:space="preserve">odavatelé, kteří </w:t>
      </w:r>
      <w:proofErr w:type="spellStart"/>
      <w:r w:rsidR="00137D7A" w:rsidRPr="006A3EAF">
        <w:rPr>
          <w:rFonts w:cs="Arial"/>
          <w:szCs w:val="22"/>
        </w:rPr>
        <w:t>vysoutěžili</w:t>
      </w:r>
      <w:proofErr w:type="spellEnd"/>
      <w:r w:rsidR="00137D7A" w:rsidRPr="006A3EAF">
        <w:rPr>
          <w:rFonts w:cs="Arial"/>
          <w:szCs w:val="22"/>
        </w:rPr>
        <w:t xml:space="preserve"> jednu </w:t>
      </w:r>
      <w:proofErr w:type="spellStart"/>
      <w:r w:rsidR="00137D7A" w:rsidRPr="006A3EAF">
        <w:rPr>
          <w:rFonts w:cs="Arial"/>
          <w:szCs w:val="22"/>
        </w:rPr>
        <w:t>VZ</w:t>
      </w:r>
      <w:proofErr w:type="spellEnd"/>
      <w:r>
        <w:rPr>
          <w:rFonts w:cs="Arial"/>
          <w:szCs w:val="22"/>
        </w:rPr>
        <w:t xml:space="preserve"> – vybráno </w:t>
      </w:r>
      <w:r w:rsidR="00137D7A" w:rsidRPr="006A3EAF">
        <w:rPr>
          <w:rFonts w:cs="Arial"/>
          <w:szCs w:val="22"/>
        </w:rPr>
        <w:t>1</w:t>
      </w:r>
      <w:r>
        <w:rPr>
          <w:rFonts w:cs="Arial"/>
          <w:szCs w:val="22"/>
        </w:rPr>
        <w:t> </w:t>
      </w:r>
      <w:r w:rsidR="00137D7A" w:rsidRPr="006A3EAF">
        <w:rPr>
          <w:rFonts w:cs="Arial"/>
          <w:szCs w:val="22"/>
        </w:rPr>
        <w:t>079, e</w:t>
      </w:r>
      <w:r>
        <w:rPr>
          <w:rFonts w:cs="Arial"/>
          <w:szCs w:val="22"/>
        </w:rPr>
        <w:t>-</w:t>
      </w:r>
      <w:r w:rsidR="00137D7A" w:rsidRPr="006A3EAF">
        <w:rPr>
          <w:rFonts w:cs="Arial"/>
          <w:szCs w:val="22"/>
        </w:rPr>
        <w:t xml:space="preserve">mail doručen 1025 </w:t>
      </w:r>
      <w:r w:rsidR="002C671F">
        <w:rPr>
          <w:rFonts w:cs="Arial"/>
          <w:szCs w:val="22"/>
        </w:rPr>
        <w:t>z </w:t>
      </w:r>
      <w:r w:rsidR="00137D7A" w:rsidRPr="006A3EAF">
        <w:rPr>
          <w:rFonts w:cs="Arial"/>
          <w:szCs w:val="22"/>
        </w:rPr>
        <w:t>nich</w:t>
      </w:r>
      <w:r>
        <w:rPr>
          <w:rFonts w:cs="Arial"/>
          <w:szCs w:val="22"/>
        </w:rPr>
        <w:t>,</w:t>
      </w:r>
    </w:p>
    <w:p w:rsidR="00137D7A" w:rsidRPr="006A3EAF" w:rsidRDefault="00EA5073" w:rsidP="00051C72">
      <w:pPr>
        <w:numPr>
          <w:ilvl w:val="0"/>
          <w:numId w:val="22"/>
        </w:numPr>
        <w:rPr>
          <w:rFonts w:cs="Arial"/>
          <w:szCs w:val="22"/>
        </w:rPr>
      </w:pPr>
      <w:r>
        <w:rPr>
          <w:rFonts w:cs="Arial"/>
          <w:szCs w:val="22"/>
        </w:rPr>
        <w:t>d</w:t>
      </w:r>
      <w:r w:rsidR="00137D7A" w:rsidRPr="006A3EAF">
        <w:rPr>
          <w:rFonts w:cs="Arial"/>
          <w:szCs w:val="22"/>
        </w:rPr>
        <w:t xml:space="preserve">odavatelé, kteří </w:t>
      </w:r>
      <w:proofErr w:type="spellStart"/>
      <w:r w:rsidR="00137D7A" w:rsidRPr="006A3EAF">
        <w:rPr>
          <w:rFonts w:cs="Arial"/>
          <w:szCs w:val="22"/>
        </w:rPr>
        <w:t>vysoutěžili</w:t>
      </w:r>
      <w:proofErr w:type="spellEnd"/>
      <w:r w:rsidR="00137D7A" w:rsidRPr="006A3EAF">
        <w:rPr>
          <w:rFonts w:cs="Arial"/>
          <w:szCs w:val="22"/>
        </w:rPr>
        <w:t xml:space="preserve"> 2 až 9 VZ</w:t>
      </w:r>
      <w:r>
        <w:rPr>
          <w:rFonts w:cs="Arial"/>
          <w:szCs w:val="22"/>
        </w:rPr>
        <w:t xml:space="preserve"> – vybráno </w:t>
      </w:r>
      <w:r w:rsidR="00137D7A" w:rsidRPr="006A3EAF">
        <w:rPr>
          <w:rFonts w:cs="Arial"/>
          <w:szCs w:val="22"/>
        </w:rPr>
        <w:t>791, e</w:t>
      </w:r>
      <w:r>
        <w:rPr>
          <w:rFonts w:cs="Arial"/>
          <w:szCs w:val="22"/>
        </w:rPr>
        <w:t>-</w:t>
      </w:r>
      <w:r w:rsidR="00137D7A" w:rsidRPr="006A3EAF">
        <w:rPr>
          <w:rFonts w:cs="Arial"/>
          <w:szCs w:val="22"/>
        </w:rPr>
        <w:t xml:space="preserve">mail doručen 773 </w:t>
      </w:r>
      <w:r w:rsidR="002C671F">
        <w:rPr>
          <w:rFonts w:cs="Arial"/>
          <w:szCs w:val="22"/>
        </w:rPr>
        <w:t>z </w:t>
      </w:r>
      <w:r w:rsidR="00137D7A" w:rsidRPr="006A3EAF">
        <w:rPr>
          <w:rFonts w:cs="Arial"/>
          <w:szCs w:val="22"/>
        </w:rPr>
        <w:t>nich</w:t>
      </w:r>
      <w:r>
        <w:rPr>
          <w:rFonts w:cs="Arial"/>
          <w:szCs w:val="22"/>
        </w:rPr>
        <w:t>,</w:t>
      </w:r>
    </w:p>
    <w:p w:rsidR="00137D7A" w:rsidRPr="006A3EAF" w:rsidRDefault="00EA5073" w:rsidP="00FE7081">
      <w:pPr>
        <w:numPr>
          <w:ilvl w:val="0"/>
          <w:numId w:val="22"/>
        </w:numPr>
        <w:spacing w:after="0"/>
        <w:rPr>
          <w:rFonts w:cs="Arial"/>
          <w:szCs w:val="22"/>
        </w:rPr>
      </w:pPr>
      <w:r>
        <w:rPr>
          <w:rFonts w:cs="Arial"/>
          <w:szCs w:val="22"/>
        </w:rPr>
        <w:t>d</w:t>
      </w:r>
      <w:r w:rsidR="00137D7A" w:rsidRPr="006A3EAF">
        <w:rPr>
          <w:rFonts w:cs="Arial"/>
          <w:szCs w:val="22"/>
        </w:rPr>
        <w:t xml:space="preserve">odavatelé, kteří </w:t>
      </w:r>
      <w:proofErr w:type="spellStart"/>
      <w:r w:rsidR="00137D7A" w:rsidRPr="006A3EAF">
        <w:rPr>
          <w:rFonts w:cs="Arial"/>
          <w:szCs w:val="22"/>
        </w:rPr>
        <w:t>vysoutěžili</w:t>
      </w:r>
      <w:proofErr w:type="spellEnd"/>
      <w:r w:rsidR="00137D7A" w:rsidRPr="006A3EAF">
        <w:rPr>
          <w:rFonts w:cs="Arial"/>
          <w:szCs w:val="22"/>
        </w:rPr>
        <w:t xml:space="preserve"> 10 a více VZ</w:t>
      </w:r>
      <w:r>
        <w:rPr>
          <w:rFonts w:cs="Arial"/>
          <w:szCs w:val="22"/>
        </w:rPr>
        <w:t xml:space="preserve"> – vybráno </w:t>
      </w:r>
      <w:r w:rsidR="00137D7A" w:rsidRPr="006A3EAF">
        <w:rPr>
          <w:rFonts w:cs="Arial"/>
          <w:szCs w:val="22"/>
        </w:rPr>
        <w:t>156, e</w:t>
      </w:r>
      <w:r>
        <w:rPr>
          <w:rFonts w:cs="Arial"/>
          <w:szCs w:val="22"/>
        </w:rPr>
        <w:t>-</w:t>
      </w:r>
      <w:r w:rsidR="00137D7A" w:rsidRPr="006A3EAF">
        <w:rPr>
          <w:rFonts w:cs="Arial"/>
          <w:szCs w:val="22"/>
        </w:rPr>
        <w:t xml:space="preserve">mail doručen 150 </w:t>
      </w:r>
      <w:r w:rsidR="002C671F">
        <w:rPr>
          <w:rFonts w:cs="Arial"/>
          <w:szCs w:val="22"/>
        </w:rPr>
        <w:t>z </w:t>
      </w:r>
      <w:r w:rsidR="00137D7A" w:rsidRPr="006A3EAF">
        <w:rPr>
          <w:rFonts w:cs="Arial"/>
          <w:szCs w:val="22"/>
        </w:rPr>
        <w:t>nich</w:t>
      </w:r>
      <w:r>
        <w:rPr>
          <w:rFonts w:cs="Arial"/>
          <w:szCs w:val="22"/>
        </w:rPr>
        <w:t>.</w:t>
      </w:r>
    </w:p>
    <w:p w:rsidR="00721E7F" w:rsidRDefault="00721E7F" w:rsidP="00FE7081">
      <w:pPr>
        <w:spacing w:after="0"/>
        <w:rPr>
          <w:rFonts w:cs="Arial"/>
          <w:szCs w:val="22"/>
        </w:rPr>
      </w:pPr>
    </w:p>
    <w:p w:rsidR="00137D7A" w:rsidRPr="0074689B" w:rsidRDefault="002C671F" w:rsidP="00FE7081">
      <w:pPr>
        <w:spacing w:after="0"/>
      </w:pPr>
      <w:r>
        <w:rPr>
          <w:rFonts w:cs="Arial"/>
          <w:szCs w:val="22"/>
        </w:rPr>
        <w:t>V </w:t>
      </w:r>
      <w:r w:rsidR="00137D7A" w:rsidRPr="006A3EAF">
        <w:rPr>
          <w:rFonts w:cs="Arial"/>
          <w:szCs w:val="22"/>
        </w:rPr>
        <w:t>návratnosti dotazníků byla nejúspěšnější skupina dodavatelů s</w:t>
      </w:r>
      <w:r w:rsidR="00EA5073">
        <w:rPr>
          <w:rFonts w:cs="Arial"/>
          <w:szCs w:val="22"/>
        </w:rPr>
        <w:t> </w:t>
      </w:r>
      <w:r w:rsidR="00137D7A" w:rsidRPr="006A3EAF">
        <w:rPr>
          <w:rFonts w:cs="Arial"/>
          <w:szCs w:val="22"/>
        </w:rPr>
        <w:t>10</w:t>
      </w:r>
      <w:r w:rsidR="006053E5">
        <w:rPr>
          <w:rFonts w:cs="Arial"/>
          <w:szCs w:val="22"/>
        </w:rPr>
        <w:t xml:space="preserve"> a více </w:t>
      </w:r>
      <w:proofErr w:type="spellStart"/>
      <w:r w:rsidR="006053E5">
        <w:rPr>
          <w:rFonts w:cs="Arial"/>
          <w:szCs w:val="22"/>
        </w:rPr>
        <w:t>vysoutěženými</w:t>
      </w:r>
      <w:proofErr w:type="spellEnd"/>
      <w:r w:rsidR="006053E5">
        <w:rPr>
          <w:rFonts w:cs="Arial"/>
          <w:szCs w:val="22"/>
        </w:rPr>
        <w:t xml:space="preserve"> </w:t>
      </w:r>
      <w:proofErr w:type="spellStart"/>
      <w:r w:rsidR="006053E5">
        <w:rPr>
          <w:rFonts w:cs="Arial"/>
          <w:szCs w:val="22"/>
        </w:rPr>
        <w:t>VZ</w:t>
      </w:r>
      <w:proofErr w:type="spellEnd"/>
      <w:r w:rsidR="006053E5">
        <w:rPr>
          <w:rFonts w:cs="Arial"/>
          <w:szCs w:val="22"/>
        </w:rPr>
        <w:t xml:space="preserve">, </w:t>
      </w:r>
      <w:r w:rsidR="00EA5073">
        <w:rPr>
          <w:rFonts w:cs="Arial"/>
          <w:szCs w:val="22"/>
        </w:rPr>
        <w:t xml:space="preserve">zde návratnost dosáhla </w:t>
      </w:r>
      <w:r w:rsidR="00137D7A" w:rsidRPr="006A3EAF">
        <w:rPr>
          <w:rFonts w:cs="Arial"/>
          <w:szCs w:val="22"/>
        </w:rPr>
        <w:t>40 %. Váha této skupiny však byla nejnižší (7,7</w:t>
      </w:r>
      <w:r w:rsidR="00EA5073">
        <w:rPr>
          <w:rFonts w:cs="Arial"/>
          <w:szCs w:val="22"/>
        </w:rPr>
        <w:t> </w:t>
      </w:r>
      <w:r w:rsidR="00137D7A" w:rsidRPr="006A3EAF">
        <w:rPr>
          <w:rFonts w:cs="Arial"/>
          <w:szCs w:val="22"/>
        </w:rPr>
        <w:t xml:space="preserve">%), neboť více než polovina oslovených dodavatelů zadala </w:t>
      </w:r>
      <w:r w:rsidR="00EA5073">
        <w:rPr>
          <w:rFonts w:cs="Arial"/>
          <w:szCs w:val="22"/>
        </w:rPr>
        <w:t>pouze jednu</w:t>
      </w:r>
      <w:r w:rsidR="00137D7A" w:rsidRPr="006A3EAF">
        <w:rPr>
          <w:rFonts w:cs="Arial"/>
          <w:szCs w:val="22"/>
        </w:rPr>
        <w:t xml:space="preserve"> VZ (váha této skupiny 52,6</w:t>
      </w:r>
      <w:r w:rsidR="00EA5073">
        <w:rPr>
          <w:rFonts w:cs="Arial"/>
          <w:szCs w:val="22"/>
        </w:rPr>
        <w:t> </w:t>
      </w:r>
      <w:r w:rsidR="00137D7A" w:rsidRPr="006A3EAF">
        <w:rPr>
          <w:rFonts w:cs="Arial"/>
          <w:szCs w:val="22"/>
        </w:rPr>
        <w:t>%). U</w:t>
      </w:r>
      <w:r w:rsidR="00EA5073">
        <w:rPr>
          <w:rFonts w:cs="Arial"/>
          <w:szCs w:val="22"/>
        </w:rPr>
        <w:t> </w:t>
      </w:r>
      <w:r w:rsidR="00137D7A" w:rsidRPr="006A3EAF">
        <w:rPr>
          <w:rFonts w:cs="Arial"/>
          <w:szCs w:val="22"/>
        </w:rPr>
        <w:t xml:space="preserve">dodavatelů, kteří </w:t>
      </w:r>
      <w:proofErr w:type="spellStart"/>
      <w:r w:rsidR="00137D7A" w:rsidRPr="006A3EAF">
        <w:rPr>
          <w:rFonts w:cs="Arial"/>
          <w:szCs w:val="22"/>
        </w:rPr>
        <w:t>vysoutěžili</w:t>
      </w:r>
      <w:proofErr w:type="spellEnd"/>
      <w:r w:rsidR="00137D7A" w:rsidRPr="006A3EAF">
        <w:rPr>
          <w:rFonts w:cs="Arial"/>
          <w:szCs w:val="22"/>
        </w:rPr>
        <w:t xml:space="preserve"> 2</w:t>
      </w:r>
      <w:r w:rsidR="00FB0B50">
        <w:rPr>
          <w:rFonts w:cs="Arial"/>
          <w:szCs w:val="22"/>
        </w:rPr>
        <w:t xml:space="preserve"> </w:t>
      </w:r>
      <w:r w:rsidR="00137D7A" w:rsidRPr="006A3EAF">
        <w:rPr>
          <w:rFonts w:cs="Arial"/>
          <w:szCs w:val="22"/>
        </w:rPr>
        <w:t>až 9 VZ</w:t>
      </w:r>
      <w:r w:rsidR="00EA5073">
        <w:rPr>
          <w:rFonts w:cs="Arial"/>
          <w:szCs w:val="22"/>
        </w:rPr>
        <w:t>,</w:t>
      </w:r>
      <w:r w:rsidR="00137D7A" w:rsidRPr="006A3EAF">
        <w:rPr>
          <w:rFonts w:cs="Arial"/>
          <w:szCs w:val="22"/>
        </w:rPr>
        <w:t xml:space="preserve"> činila návratnost dotazníků 30,8 % a u dodavatelů, kteří zadali jednu VZ</w:t>
      </w:r>
      <w:r w:rsidR="00EA5073">
        <w:rPr>
          <w:rFonts w:cs="Arial"/>
          <w:szCs w:val="22"/>
        </w:rPr>
        <w:t>,</w:t>
      </w:r>
      <w:r w:rsidR="00137D7A" w:rsidRPr="006A3EAF">
        <w:rPr>
          <w:rFonts w:cs="Arial"/>
          <w:szCs w:val="22"/>
        </w:rPr>
        <w:t xml:space="preserve"> byla návratnost 28,3 %.</w:t>
      </w:r>
    </w:p>
    <w:p w:rsidR="00CE5CEF" w:rsidRDefault="00CE5CEF">
      <w:pPr>
        <w:spacing w:after="200" w:line="276" w:lineRule="auto"/>
        <w:jc w:val="left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br w:type="page"/>
      </w:r>
    </w:p>
    <w:p w:rsidR="00721E7F" w:rsidRPr="006A3EAF" w:rsidRDefault="00721E7F" w:rsidP="00E332B1">
      <w:pPr>
        <w:spacing w:after="0"/>
        <w:rPr>
          <w:rFonts w:cs="Arial"/>
          <w:b/>
          <w:sz w:val="28"/>
          <w:szCs w:val="28"/>
        </w:rPr>
      </w:pPr>
    </w:p>
    <w:p w:rsidR="00E97788" w:rsidRPr="00E332B1" w:rsidRDefault="00954CD8" w:rsidP="00954CD8">
      <w:pPr>
        <w:jc w:val="right"/>
        <w:rPr>
          <w:rFonts w:cs="Arial"/>
          <w:b/>
          <w:szCs w:val="22"/>
        </w:rPr>
      </w:pPr>
      <w:r w:rsidRPr="00E332B1">
        <w:rPr>
          <w:rFonts w:cs="Arial"/>
          <w:b/>
          <w:szCs w:val="22"/>
        </w:rPr>
        <w:t>Příloha č. 4</w:t>
      </w:r>
    </w:p>
    <w:p w:rsidR="00954CD8" w:rsidRPr="00E332B1" w:rsidRDefault="0083641C" w:rsidP="00954CD8">
      <w:pPr>
        <w:rPr>
          <w:rFonts w:cs="Arial"/>
          <w:b/>
          <w:sz w:val="24"/>
        </w:rPr>
      </w:pPr>
      <w:r w:rsidRPr="00E332B1">
        <w:rPr>
          <w:rFonts w:cs="Arial"/>
          <w:b/>
          <w:sz w:val="24"/>
        </w:rPr>
        <w:t>Seznam vybraných zkratek</w:t>
      </w:r>
    </w:p>
    <w:p w:rsidR="00954CD8" w:rsidRDefault="00954CD8" w:rsidP="00954CD8">
      <w:pPr>
        <w:rPr>
          <w:rFonts w:cs="Arial"/>
          <w:b/>
        </w:rPr>
      </w:pPr>
    </w:p>
    <w:p w:rsidR="00FB0B50" w:rsidRDefault="00FB0B50" w:rsidP="00954CD8">
      <w:pPr>
        <w:rPr>
          <w:rFonts w:cs="Arial"/>
          <w:b/>
        </w:rPr>
      </w:pPr>
    </w:p>
    <w:p w:rsidR="00FB0B50" w:rsidRDefault="00FB0B50" w:rsidP="00E332B1">
      <w:pPr>
        <w:tabs>
          <w:tab w:val="left" w:pos="2410"/>
          <w:tab w:val="left" w:pos="2977"/>
        </w:tabs>
        <w:ind w:left="2977" w:hanging="2977"/>
        <w:jc w:val="left"/>
        <w:rPr>
          <w:rFonts w:cs="Arial"/>
          <w:b/>
        </w:rPr>
      </w:pPr>
      <w:r>
        <w:rPr>
          <w:rFonts w:cs="Arial"/>
          <w:szCs w:val="22"/>
        </w:rPr>
        <w:t>Ceník</w:t>
      </w:r>
      <w:r>
        <w:rPr>
          <w:rFonts w:cs="Arial"/>
          <w:szCs w:val="22"/>
        </w:rPr>
        <w:tab/>
        <w:t>–</w:t>
      </w:r>
      <w:r>
        <w:rPr>
          <w:rFonts w:cs="Arial"/>
          <w:szCs w:val="22"/>
        </w:rPr>
        <w:tab/>
        <w:t>ceník základních služeb poskytovaných na e-tržištích</w:t>
      </w:r>
    </w:p>
    <w:p w:rsidR="00255711" w:rsidRDefault="00255711" w:rsidP="00E332B1">
      <w:pPr>
        <w:tabs>
          <w:tab w:val="left" w:pos="2410"/>
          <w:tab w:val="left" w:pos="2977"/>
        </w:tabs>
        <w:ind w:left="2977" w:hanging="2977"/>
        <w:jc w:val="left"/>
        <w:rPr>
          <w:szCs w:val="22"/>
        </w:rPr>
      </w:pPr>
      <w:proofErr w:type="spellStart"/>
      <w:r w:rsidRPr="00E332B1">
        <w:rPr>
          <w:szCs w:val="22"/>
        </w:rPr>
        <w:t>CPV</w:t>
      </w:r>
      <w:proofErr w:type="spellEnd"/>
      <w:r w:rsidRPr="00E332B1">
        <w:rPr>
          <w:szCs w:val="22"/>
        </w:rPr>
        <w:tab/>
        <w:t>–</w:t>
      </w:r>
      <w:r w:rsidRPr="00E332B1">
        <w:rPr>
          <w:szCs w:val="22"/>
        </w:rPr>
        <w:tab/>
      </w:r>
      <w:proofErr w:type="spellStart"/>
      <w:r w:rsidRPr="00E332B1">
        <w:rPr>
          <w:i/>
          <w:szCs w:val="22"/>
        </w:rPr>
        <w:t>Common</w:t>
      </w:r>
      <w:proofErr w:type="spellEnd"/>
      <w:r w:rsidRPr="00E332B1">
        <w:rPr>
          <w:i/>
          <w:szCs w:val="22"/>
        </w:rPr>
        <w:t xml:space="preserve"> </w:t>
      </w:r>
      <w:proofErr w:type="spellStart"/>
      <w:r w:rsidRPr="00E332B1">
        <w:rPr>
          <w:i/>
          <w:szCs w:val="22"/>
        </w:rPr>
        <w:t>Procurement</w:t>
      </w:r>
      <w:proofErr w:type="spellEnd"/>
      <w:r w:rsidRPr="00E332B1">
        <w:rPr>
          <w:i/>
          <w:szCs w:val="22"/>
        </w:rPr>
        <w:t xml:space="preserve"> </w:t>
      </w:r>
      <w:proofErr w:type="spellStart"/>
      <w:r w:rsidRPr="00E332B1">
        <w:rPr>
          <w:i/>
          <w:szCs w:val="22"/>
        </w:rPr>
        <w:t>Vocabulary</w:t>
      </w:r>
      <w:proofErr w:type="spellEnd"/>
      <w:r>
        <w:rPr>
          <w:szCs w:val="22"/>
        </w:rPr>
        <w:t xml:space="preserve"> (</w:t>
      </w:r>
      <w:r w:rsidR="00EA5073" w:rsidRPr="00E332B1">
        <w:rPr>
          <w:i/>
          <w:szCs w:val="22"/>
        </w:rPr>
        <w:t>S</w:t>
      </w:r>
      <w:r w:rsidRPr="00E332B1">
        <w:rPr>
          <w:i/>
          <w:szCs w:val="22"/>
        </w:rPr>
        <w:t>polečný slovník pro veřejné zakázky</w:t>
      </w:r>
      <w:r>
        <w:rPr>
          <w:szCs w:val="22"/>
        </w:rPr>
        <w:t>)</w:t>
      </w:r>
    </w:p>
    <w:p w:rsidR="00FB0B50" w:rsidRPr="00255711" w:rsidRDefault="00FB0B50" w:rsidP="00E332B1">
      <w:pPr>
        <w:tabs>
          <w:tab w:val="left" w:pos="2410"/>
          <w:tab w:val="left" w:pos="2977"/>
        </w:tabs>
        <w:ind w:left="2977" w:hanging="2977"/>
        <w:jc w:val="left"/>
        <w:rPr>
          <w:rFonts w:cs="Arial"/>
          <w:b/>
          <w:szCs w:val="22"/>
        </w:rPr>
      </w:pPr>
      <w:r>
        <w:rPr>
          <w:rFonts w:cs="Arial"/>
          <w:szCs w:val="22"/>
        </w:rPr>
        <w:t>ICT e-tržiště</w:t>
      </w:r>
      <w:r>
        <w:rPr>
          <w:rFonts w:cs="Arial"/>
          <w:szCs w:val="22"/>
        </w:rPr>
        <w:tab/>
        <w:t>–</w:t>
      </w:r>
      <w:r>
        <w:rPr>
          <w:rFonts w:cs="Arial"/>
          <w:szCs w:val="22"/>
        </w:rPr>
        <w:tab/>
        <w:t>elektronická tržiště pro oblast informačních a komunikačních technologií</w:t>
      </w:r>
    </w:p>
    <w:p w:rsidR="00954CD8" w:rsidRDefault="00954CD8" w:rsidP="00E332B1">
      <w:pPr>
        <w:tabs>
          <w:tab w:val="left" w:pos="2410"/>
          <w:tab w:val="left" w:pos="2977"/>
        </w:tabs>
        <w:ind w:left="2977" w:hanging="2977"/>
        <w:jc w:val="left"/>
        <w:rPr>
          <w:rFonts w:cs="Arial"/>
          <w:szCs w:val="22"/>
        </w:rPr>
      </w:pPr>
      <w:r w:rsidRPr="00387F66">
        <w:rPr>
          <w:rFonts w:cs="Arial"/>
          <w:szCs w:val="22"/>
        </w:rPr>
        <w:t>IOP</w:t>
      </w:r>
      <w:r>
        <w:rPr>
          <w:rFonts w:cs="Arial"/>
          <w:szCs w:val="22"/>
        </w:rPr>
        <w:tab/>
      </w:r>
      <w:r w:rsidR="00721E7F">
        <w:rPr>
          <w:rFonts w:cs="Arial"/>
          <w:szCs w:val="22"/>
        </w:rPr>
        <w:t>–</w:t>
      </w:r>
      <w:r w:rsidR="00AD600D">
        <w:rPr>
          <w:rFonts w:cs="Arial"/>
          <w:szCs w:val="22"/>
        </w:rPr>
        <w:tab/>
      </w:r>
      <w:r w:rsidR="00721E7F">
        <w:rPr>
          <w:rFonts w:cs="Arial"/>
          <w:szCs w:val="22"/>
        </w:rPr>
        <w:t>I</w:t>
      </w:r>
      <w:r>
        <w:rPr>
          <w:rFonts w:cs="Arial"/>
          <w:szCs w:val="22"/>
        </w:rPr>
        <w:t>ntegrovaný operační program</w:t>
      </w:r>
    </w:p>
    <w:p w:rsidR="00954CD8" w:rsidRDefault="00721E7F" w:rsidP="00E332B1">
      <w:pPr>
        <w:tabs>
          <w:tab w:val="left" w:pos="2410"/>
          <w:tab w:val="left" w:pos="2977"/>
        </w:tabs>
        <w:ind w:left="2977" w:hanging="2977"/>
        <w:jc w:val="left"/>
        <w:rPr>
          <w:rFonts w:cs="Arial"/>
          <w:szCs w:val="22"/>
        </w:rPr>
      </w:pPr>
      <w:r>
        <w:rPr>
          <w:rFonts w:cs="Arial"/>
          <w:szCs w:val="22"/>
        </w:rPr>
        <w:t>MMR</w:t>
      </w:r>
      <w:r w:rsidR="00954CD8">
        <w:rPr>
          <w:rFonts w:cs="Arial"/>
          <w:szCs w:val="22"/>
        </w:rPr>
        <w:tab/>
      </w:r>
      <w:r>
        <w:rPr>
          <w:rFonts w:cs="Arial"/>
          <w:szCs w:val="22"/>
        </w:rPr>
        <w:t>–</w:t>
      </w:r>
      <w:r w:rsidR="00AD600D">
        <w:rPr>
          <w:rFonts w:cs="Arial"/>
          <w:szCs w:val="22"/>
        </w:rPr>
        <w:tab/>
      </w:r>
      <w:r w:rsidR="00954CD8">
        <w:rPr>
          <w:rFonts w:cs="Arial"/>
          <w:szCs w:val="22"/>
        </w:rPr>
        <w:t>Ministerstvo pro místní rozvoj</w:t>
      </w:r>
    </w:p>
    <w:p w:rsidR="00C70A7C" w:rsidRDefault="00721E7F" w:rsidP="00E332B1">
      <w:pPr>
        <w:tabs>
          <w:tab w:val="left" w:pos="2410"/>
          <w:tab w:val="left" w:pos="2977"/>
        </w:tabs>
        <w:ind w:left="2977" w:hanging="2977"/>
        <w:jc w:val="left"/>
        <w:rPr>
          <w:rFonts w:cs="Arial"/>
          <w:szCs w:val="22"/>
        </w:rPr>
      </w:pPr>
      <w:r>
        <w:rPr>
          <w:rFonts w:cs="Arial"/>
          <w:szCs w:val="22"/>
        </w:rPr>
        <w:t>MO</w:t>
      </w:r>
      <w:r w:rsidR="00C70A7C">
        <w:rPr>
          <w:rFonts w:cs="Arial"/>
          <w:szCs w:val="22"/>
        </w:rPr>
        <w:tab/>
      </w:r>
      <w:r>
        <w:rPr>
          <w:rFonts w:cs="Arial"/>
          <w:szCs w:val="22"/>
        </w:rPr>
        <w:t>–</w:t>
      </w:r>
      <w:r w:rsidR="00AD600D">
        <w:rPr>
          <w:rFonts w:cs="Arial"/>
          <w:szCs w:val="22"/>
        </w:rPr>
        <w:tab/>
      </w:r>
      <w:r w:rsidR="00C70A7C">
        <w:rPr>
          <w:rFonts w:cs="Arial"/>
          <w:szCs w:val="22"/>
        </w:rPr>
        <w:t>Ministerstvo obrany</w:t>
      </w:r>
    </w:p>
    <w:p w:rsidR="00954CD8" w:rsidRDefault="00721E7F" w:rsidP="00E332B1">
      <w:pPr>
        <w:tabs>
          <w:tab w:val="left" w:pos="2410"/>
          <w:tab w:val="left" w:pos="2977"/>
        </w:tabs>
        <w:ind w:left="2977" w:hanging="2977"/>
        <w:jc w:val="left"/>
        <w:rPr>
          <w:rFonts w:cs="Arial"/>
          <w:szCs w:val="22"/>
        </w:rPr>
      </w:pPr>
      <w:r>
        <w:rPr>
          <w:rFonts w:cs="Arial"/>
          <w:szCs w:val="22"/>
        </w:rPr>
        <w:t>MSp</w:t>
      </w:r>
      <w:r w:rsidR="00954CD8">
        <w:rPr>
          <w:rFonts w:cs="Arial"/>
          <w:szCs w:val="22"/>
        </w:rPr>
        <w:tab/>
      </w:r>
      <w:r>
        <w:rPr>
          <w:rFonts w:cs="Arial"/>
          <w:szCs w:val="22"/>
        </w:rPr>
        <w:t>–</w:t>
      </w:r>
      <w:r w:rsidR="00AD600D">
        <w:rPr>
          <w:rFonts w:cs="Arial"/>
          <w:szCs w:val="22"/>
        </w:rPr>
        <w:tab/>
      </w:r>
      <w:r w:rsidR="00954CD8">
        <w:rPr>
          <w:rFonts w:cs="Arial"/>
          <w:szCs w:val="22"/>
        </w:rPr>
        <w:t>Ministerstvo spravedlnosti</w:t>
      </w:r>
    </w:p>
    <w:p w:rsidR="00954CD8" w:rsidRDefault="00721E7F" w:rsidP="00E332B1">
      <w:pPr>
        <w:tabs>
          <w:tab w:val="left" w:pos="2410"/>
          <w:tab w:val="left" w:pos="2977"/>
        </w:tabs>
        <w:ind w:left="2977" w:hanging="2977"/>
        <w:jc w:val="left"/>
        <w:rPr>
          <w:rFonts w:cs="Arial"/>
          <w:szCs w:val="22"/>
        </w:rPr>
      </w:pPr>
      <w:r>
        <w:rPr>
          <w:rFonts w:cs="Arial"/>
          <w:szCs w:val="22"/>
        </w:rPr>
        <w:t>NIPEZ</w:t>
      </w:r>
      <w:r w:rsidR="00954CD8">
        <w:rPr>
          <w:rFonts w:cs="Arial"/>
          <w:szCs w:val="22"/>
        </w:rPr>
        <w:tab/>
      </w:r>
      <w:r>
        <w:rPr>
          <w:rFonts w:cs="Arial"/>
          <w:szCs w:val="22"/>
        </w:rPr>
        <w:t>–</w:t>
      </w:r>
      <w:r w:rsidR="00AD600D">
        <w:rPr>
          <w:rFonts w:cs="Arial"/>
          <w:szCs w:val="22"/>
        </w:rPr>
        <w:tab/>
      </w:r>
      <w:r w:rsidR="00954CD8" w:rsidRPr="003F2EDF">
        <w:rPr>
          <w:rFonts w:cs="Arial"/>
          <w:szCs w:val="22"/>
        </w:rPr>
        <w:t>Národní infrastruktura pro elektronické zadávání veřejných zakázek</w:t>
      </w:r>
    </w:p>
    <w:p w:rsidR="00954CD8" w:rsidRDefault="00721E7F" w:rsidP="00E332B1">
      <w:pPr>
        <w:tabs>
          <w:tab w:val="left" w:pos="2410"/>
          <w:tab w:val="left" w:pos="2977"/>
        </w:tabs>
        <w:ind w:left="2977" w:hanging="2977"/>
        <w:jc w:val="left"/>
      </w:pPr>
      <w:r>
        <w:rPr>
          <w:rFonts w:cs="Arial"/>
          <w:szCs w:val="22"/>
        </w:rPr>
        <w:t>NKÚ</w:t>
      </w:r>
      <w:r w:rsidR="00954CD8">
        <w:rPr>
          <w:rFonts w:cs="Arial"/>
          <w:szCs w:val="22"/>
        </w:rPr>
        <w:tab/>
      </w:r>
      <w:r>
        <w:rPr>
          <w:rFonts w:cs="Arial"/>
          <w:szCs w:val="22"/>
        </w:rPr>
        <w:t>–</w:t>
      </w:r>
      <w:r w:rsidR="00AD600D">
        <w:rPr>
          <w:rFonts w:cs="Arial"/>
          <w:szCs w:val="22"/>
        </w:rPr>
        <w:tab/>
      </w:r>
      <w:r w:rsidR="00954CD8">
        <w:rPr>
          <w:rFonts w:cs="Arial"/>
          <w:szCs w:val="22"/>
        </w:rPr>
        <w:t>Nejvyšší kontrolní úřad</w:t>
      </w:r>
    </w:p>
    <w:p w:rsidR="00AD600D" w:rsidRDefault="00AD600D" w:rsidP="00E332B1">
      <w:pPr>
        <w:tabs>
          <w:tab w:val="left" w:pos="2410"/>
          <w:tab w:val="left" w:pos="2977"/>
        </w:tabs>
        <w:ind w:left="2977" w:hanging="2977"/>
        <w:jc w:val="left"/>
        <w:rPr>
          <w:rFonts w:cs="Arial"/>
          <w:szCs w:val="22"/>
        </w:rPr>
      </w:pPr>
      <w:r w:rsidRPr="003266B0">
        <w:rPr>
          <w:rFonts w:cs="Arial"/>
          <w:szCs w:val="22"/>
        </w:rPr>
        <w:t>Podl. VZ PZ</w:t>
      </w:r>
      <w:r>
        <w:rPr>
          <w:rFonts w:cs="Arial"/>
          <w:szCs w:val="22"/>
        </w:rPr>
        <w:t xml:space="preserve"> </w:t>
      </w:r>
      <w:r>
        <w:rPr>
          <w:rFonts w:cs="Arial"/>
          <w:szCs w:val="22"/>
        </w:rPr>
        <w:tab/>
      </w:r>
      <w:r w:rsidR="00721E7F">
        <w:rPr>
          <w:rFonts w:cs="Arial"/>
          <w:szCs w:val="22"/>
        </w:rPr>
        <w:t>–</w:t>
      </w:r>
      <w:r>
        <w:rPr>
          <w:rFonts w:cs="Arial"/>
          <w:szCs w:val="22"/>
        </w:rPr>
        <w:tab/>
      </w:r>
      <w:r w:rsidR="00721E7F">
        <w:rPr>
          <w:rFonts w:cs="Arial"/>
          <w:szCs w:val="22"/>
        </w:rPr>
        <w:t>p</w:t>
      </w:r>
      <w:r>
        <w:rPr>
          <w:rFonts w:cs="Arial"/>
          <w:szCs w:val="22"/>
        </w:rPr>
        <w:t xml:space="preserve">odlimitní veřejná zakázka </w:t>
      </w:r>
      <w:r w:rsidR="00721E7F">
        <w:rPr>
          <w:rFonts w:cs="Arial"/>
          <w:szCs w:val="22"/>
        </w:rPr>
        <w:t>–</w:t>
      </w:r>
      <w:r w:rsidRPr="00F01D65">
        <w:rPr>
          <w:rFonts w:cs="Arial"/>
          <w:szCs w:val="22"/>
        </w:rPr>
        <w:t xml:space="preserve"> přímé zadání</w:t>
      </w:r>
    </w:p>
    <w:p w:rsidR="00FB0B50" w:rsidRDefault="00FB0B50" w:rsidP="00E332B1">
      <w:pPr>
        <w:tabs>
          <w:tab w:val="left" w:pos="2410"/>
          <w:tab w:val="left" w:pos="2977"/>
        </w:tabs>
        <w:ind w:left="2977" w:hanging="2977"/>
        <w:jc w:val="left"/>
        <w:rPr>
          <w:rFonts w:cs="Arial"/>
          <w:bCs/>
          <w:szCs w:val="22"/>
        </w:rPr>
      </w:pPr>
      <w:r>
        <w:rPr>
          <w:rFonts w:cs="Arial"/>
          <w:szCs w:val="22"/>
        </w:rPr>
        <w:t>Pravidla</w:t>
      </w:r>
      <w:r>
        <w:rPr>
          <w:rFonts w:cs="Arial"/>
          <w:szCs w:val="22"/>
        </w:rPr>
        <w:tab/>
        <w:t>–</w:t>
      </w:r>
      <w:r>
        <w:rPr>
          <w:rFonts w:cs="Arial"/>
          <w:szCs w:val="22"/>
        </w:rPr>
        <w:tab/>
      </w:r>
      <w:r w:rsidRPr="009F7855">
        <w:rPr>
          <w:rFonts w:cs="Arial"/>
          <w:bCs/>
          <w:i/>
          <w:szCs w:val="22"/>
        </w:rPr>
        <w:t>Pravidla systému používání elektronických tržišť subjekty veřejné správy při pořizování a obměně určených komodit</w:t>
      </w:r>
      <w:r w:rsidRPr="007D11C5">
        <w:rPr>
          <w:rFonts w:cs="Arial"/>
          <w:bCs/>
          <w:szCs w:val="22"/>
        </w:rPr>
        <w:t xml:space="preserve"> </w:t>
      </w:r>
      <w:r>
        <w:rPr>
          <w:rFonts w:cs="Arial"/>
          <w:bCs/>
          <w:szCs w:val="22"/>
        </w:rPr>
        <w:t>(pravidla tvoří přílohu k usnesení vlády ze dne 10. 5. 2010 č. 343)</w:t>
      </w:r>
    </w:p>
    <w:p w:rsidR="00FB0B50" w:rsidRDefault="00FB0B50" w:rsidP="00E332B1">
      <w:pPr>
        <w:tabs>
          <w:tab w:val="left" w:pos="2410"/>
          <w:tab w:val="left" w:pos="2977"/>
        </w:tabs>
        <w:ind w:left="2977" w:hanging="2977"/>
        <w:jc w:val="left"/>
        <w:rPr>
          <w:rFonts w:cs="Arial"/>
          <w:szCs w:val="22"/>
        </w:rPr>
      </w:pPr>
      <w:r>
        <w:rPr>
          <w:rFonts w:cs="Arial"/>
          <w:szCs w:val="22"/>
        </w:rPr>
        <w:t>ŘO MMR</w:t>
      </w:r>
      <w:r>
        <w:rPr>
          <w:rFonts w:cs="Arial"/>
          <w:szCs w:val="22"/>
        </w:rPr>
        <w:tab/>
        <w:t>–</w:t>
      </w:r>
      <w:r>
        <w:rPr>
          <w:rFonts w:cs="Arial"/>
          <w:szCs w:val="22"/>
        </w:rPr>
        <w:tab/>
        <w:t>řídicí orgán (MMR)</w:t>
      </w:r>
    </w:p>
    <w:p w:rsidR="00FB0B50" w:rsidRDefault="00FB0B50" w:rsidP="00E332B1">
      <w:pPr>
        <w:tabs>
          <w:tab w:val="left" w:pos="2410"/>
          <w:tab w:val="left" w:pos="2977"/>
        </w:tabs>
        <w:ind w:left="2977" w:hanging="2977"/>
        <w:jc w:val="left"/>
        <w:rPr>
          <w:rFonts w:cs="Arial"/>
          <w:szCs w:val="22"/>
        </w:rPr>
      </w:pPr>
      <w:r>
        <w:rPr>
          <w:rFonts w:cs="Arial"/>
          <w:szCs w:val="22"/>
        </w:rPr>
        <w:t>Seznam komodit</w:t>
      </w:r>
      <w:r>
        <w:rPr>
          <w:rFonts w:cs="Arial"/>
          <w:szCs w:val="22"/>
        </w:rPr>
        <w:tab/>
        <w:t>–</w:t>
      </w:r>
      <w:r>
        <w:rPr>
          <w:rFonts w:cs="Arial"/>
          <w:szCs w:val="22"/>
        </w:rPr>
        <w:tab/>
      </w:r>
      <w:r w:rsidRPr="00E332B1">
        <w:rPr>
          <w:rFonts w:cs="Arial"/>
          <w:i/>
          <w:szCs w:val="22"/>
        </w:rPr>
        <w:t>Seznam komodit, které budou pořizovány a obměňovány</w:t>
      </w:r>
      <w:r w:rsidRPr="00E332B1">
        <w:rPr>
          <w:rFonts w:cs="Arial"/>
          <w:i/>
        </w:rPr>
        <w:t xml:space="preserve"> </w:t>
      </w:r>
      <w:r w:rsidRPr="00E332B1">
        <w:rPr>
          <w:rFonts w:cs="Arial"/>
          <w:i/>
          <w:szCs w:val="22"/>
        </w:rPr>
        <w:t>prostřednictvím elektronického tržiště</w:t>
      </w:r>
      <w:r>
        <w:rPr>
          <w:rFonts w:cs="Arial"/>
          <w:szCs w:val="22"/>
        </w:rPr>
        <w:t xml:space="preserve"> (seznam byl schválen usnesením vlády ze dne 15. 6. 2011 č. 451)</w:t>
      </w:r>
    </w:p>
    <w:p w:rsidR="00954CD8" w:rsidRDefault="00721E7F" w:rsidP="00E332B1">
      <w:pPr>
        <w:tabs>
          <w:tab w:val="left" w:pos="2410"/>
          <w:tab w:val="left" w:pos="2977"/>
        </w:tabs>
        <w:ind w:left="2977" w:hanging="2977"/>
        <w:jc w:val="left"/>
      </w:pPr>
      <w:r>
        <w:rPr>
          <w:rFonts w:cs="Arial"/>
          <w:szCs w:val="22"/>
        </w:rPr>
        <w:t>ÚOSS</w:t>
      </w:r>
      <w:r w:rsidR="00954CD8">
        <w:rPr>
          <w:rFonts w:cs="Arial"/>
          <w:szCs w:val="22"/>
        </w:rPr>
        <w:tab/>
      </w:r>
      <w:r>
        <w:rPr>
          <w:rFonts w:cs="Arial"/>
          <w:szCs w:val="22"/>
        </w:rPr>
        <w:t>–</w:t>
      </w:r>
      <w:r w:rsidR="00AD600D">
        <w:rPr>
          <w:rFonts w:cs="Arial"/>
          <w:szCs w:val="22"/>
        </w:rPr>
        <w:tab/>
      </w:r>
      <w:r w:rsidR="00954CD8">
        <w:rPr>
          <w:rFonts w:cs="Arial"/>
          <w:szCs w:val="22"/>
        </w:rPr>
        <w:t>ústřední orgán státní správy</w:t>
      </w:r>
    </w:p>
    <w:p w:rsidR="00954CD8" w:rsidRDefault="00954CD8" w:rsidP="00E332B1">
      <w:pPr>
        <w:tabs>
          <w:tab w:val="left" w:pos="2410"/>
          <w:tab w:val="left" w:pos="2977"/>
        </w:tabs>
        <w:ind w:left="2977" w:hanging="2977"/>
        <w:jc w:val="left"/>
      </w:pPr>
      <w:r w:rsidRPr="00992A87">
        <w:rPr>
          <w:rFonts w:cs="Arial"/>
          <w:szCs w:val="22"/>
        </w:rPr>
        <w:t>UV</w:t>
      </w:r>
      <w:r>
        <w:rPr>
          <w:rFonts w:cs="Arial"/>
          <w:szCs w:val="22"/>
        </w:rPr>
        <w:tab/>
      </w:r>
      <w:r w:rsidR="00721E7F">
        <w:rPr>
          <w:rFonts w:cs="Arial"/>
          <w:szCs w:val="22"/>
        </w:rPr>
        <w:t>–</w:t>
      </w:r>
      <w:r w:rsidR="00AD600D">
        <w:rPr>
          <w:rFonts w:cs="Arial"/>
          <w:szCs w:val="22"/>
        </w:rPr>
        <w:tab/>
      </w:r>
      <w:r>
        <w:rPr>
          <w:rFonts w:cs="Arial"/>
          <w:szCs w:val="22"/>
        </w:rPr>
        <w:t>usnesení vlády</w:t>
      </w:r>
    </w:p>
    <w:p w:rsidR="00954CD8" w:rsidRDefault="00954CD8" w:rsidP="00E332B1">
      <w:pPr>
        <w:tabs>
          <w:tab w:val="left" w:pos="2410"/>
          <w:tab w:val="left" w:pos="2977"/>
        </w:tabs>
        <w:ind w:left="2977" w:hanging="2977"/>
        <w:jc w:val="left"/>
        <w:rPr>
          <w:rFonts w:cs="Arial"/>
          <w:szCs w:val="22"/>
        </w:rPr>
      </w:pPr>
      <w:r w:rsidRPr="00896424">
        <w:rPr>
          <w:rFonts w:cs="Arial"/>
          <w:szCs w:val="22"/>
        </w:rPr>
        <w:t>VZ</w:t>
      </w:r>
      <w:r>
        <w:rPr>
          <w:rFonts w:cs="Arial"/>
          <w:szCs w:val="22"/>
        </w:rPr>
        <w:tab/>
      </w:r>
      <w:r w:rsidR="00721E7F">
        <w:rPr>
          <w:rFonts w:cs="Arial"/>
          <w:szCs w:val="22"/>
        </w:rPr>
        <w:t>–</w:t>
      </w:r>
      <w:r w:rsidR="00AD600D">
        <w:rPr>
          <w:rFonts w:cs="Arial"/>
          <w:szCs w:val="22"/>
        </w:rPr>
        <w:tab/>
      </w:r>
      <w:r>
        <w:rPr>
          <w:rFonts w:cs="Arial"/>
          <w:szCs w:val="22"/>
        </w:rPr>
        <w:t>veřejná zakázka</w:t>
      </w:r>
    </w:p>
    <w:p w:rsidR="00AD600D" w:rsidRDefault="00AD600D" w:rsidP="00E332B1">
      <w:pPr>
        <w:tabs>
          <w:tab w:val="left" w:pos="2410"/>
          <w:tab w:val="left" w:pos="2977"/>
        </w:tabs>
        <w:ind w:left="2977" w:hanging="2977"/>
        <w:jc w:val="left"/>
        <w:rPr>
          <w:rFonts w:cs="Arial"/>
          <w:szCs w:val="22"/>
        </w:rPr>
      </w:pPr>
      <w:r w:rsidRPr="00DF1F2C">
        <w:rPr>
          <w:rFonts w:cs="Arial"/>
          <w:szCs w:val="22"/>
        </w:rPr>
        <w:t>VZ RS mimo ZVZ</w:t>
      </w:r>
      <w:r w:rsidRPr="00CD18D7">
        <w:rPr>
          <w:rFonts w:cs="Arial"/>
          <w:szCs w:val="22"/>
        </w:rPr>
        <w:t xml:space="preserve"> </w:t>
      </w:r>
      <w:r>
        <w:rPr>
          <w:rFonts w:cs="Arial"/>
          <w:szCs w:val="22"/>
        </w:rPr>
        <w:tab/>
      </w:r>
      <w:r w:rsidR="00721E7F">
        <w:rPr>
          <w:rFonts w:cs="Arial"/>
          <w:szCs w:val="22"/>
        </w:rPr>
        <w:t>–</w:t>
      </w:r>
      <w:r w:rsidR="00721E7F">
        <w:rPr>
          <w:rFonts w:cs="Arial"/>
          <w:szCs w:val="22"/>
        </w:rPr>
        <w:tab/>
      </w:r>
      <w:r>
        <w:rPr>
          <w:rFonts w:cs="Arial"/>
          <w:szCs w:val="22"/>
        </w:rPr>
        <w:t>veřejná zakázka na základě rámcové smlouvy mimo režim zákona o</w:t>
      </w:r>
      <w:r w:rsidR="002C671F">
        <w:rPr>
          <w:rFonts w:cs="Arial"/>
          <w:szCs w:val="22"/>
        </w:rPr>
        <w:t> </w:t>
      </w:r>
      <w:r>
        <w:rPr>
          <w:rFonts w:cs="Arial"/>
          <w:szCs w:val="22"/>
        </w:rPr>
        <w:t>veřejných zakázkách</w:t>
      </w:r>
    </w:p>
    <w:p w:rsidR="00AD600D" w:rsidRDefault="00AD600D" w:rsidP="00E332B1">
      <w:pPr>
        <w:tabs>
          <w:tab w:val="left" w:pos="2410"/>
          <w:tab w:val="left" w:pos="2977"/>
        </w:tabs>
        <w:ind w:left="2977" w:hanging="2977"/>
        <w:jc w:val="left"/>
        <w:rPr>
          <w:rFonts w:cs="Arial"/>
          <w:szCs w:val="22"/>
        </w:rPr>
      </w:pPr>
      <w:r w:rsidRPr="00510D5B">
        <w:rPr>
          <w:rFonts w:cs="Arial"/>
          <w:szCs w:val="22"/>
        </w:rPr>
        <w:t>VZ RS v režimu ZVZ</w:t>
      </w:r>
      <w:r w:rsidRPr="00CD18D7">
        <w:rPr>
          <w:rFonts w:cs="Arial"/>
          <w:szCs w:val="22"/>
        </w:rPr>
        <w:t xml:space="preserve"> </w:t>
      </w:r>
      <w:r w:rsidR="00721E7F">
        <w:rPr>
          <w:rFonts w:cs="Arial"/>
          <w:szCs w:val="22"/>
        </w:rPr>
        <w:tab/>
        <w:t>–</w:t>
      </w:r>
      <w:r w:rsidR="00721E7F">
        <w:rPr>
          <w:rFonts w:cs="Arial"/>
          <w:szCs w:val="22"/>
        </w:rPr>
        <w:tab/>
      </w:r>
      <w:r>
        <w:rPr>
          <w:rFonts w:cs="Arial"/>
          <w:szCs w:val="22"/>
        </w:rPr>
        <w:t>veřejná zakázka na základě rámcové smlouvy v režimu zákona o</w:t>
      </w:r>
      <w:r w:rsidR="002C671F">
        <w:rPr>
          <w:rFonts w:cs="Arial"/>
          <w:szCs w:val="22"/>
        </w:rPr>
        <w:t> </w:t>
      </w:r>
      <w:r>
        <w:rPr>
          <w:rFonts w:cs="Arial"/>
          <w:szCs w:val="22"/>
        </w:rPr>
        <w:t>veřejných zakázkách</w:t>
      </w:r>
    </w:p>
    <w:p w:rsidR="00954CD8" w:rsidRDefault="00954CD8" w:rsidP="00E332B1">
      <w:pPr>
        <w:tabs>
          <w:tab w:val="left" w:pos="2410"/>
          <w:tab w:val="left" w:pos="2977"/>
        </w:tabs>
        <w:ind w:left="2977" w:hanging="2977"/>
        <w:jc w:val="left"/>
        <w:rPr>
          <w:rFonts w:cs="Arial"/>
          <w:szCs w:val="22"/>
        </w:rPr>
      </w:pPr>
      <w:r w:rsidRPr="00CD18D7">
        <w:rPr>
          <w:rFonts w:cs="Arial"/>
          <w:szCs w:val="22"/>
        </w:rPr>
        <w:t>VZMR</w:t>
      </w:r>
      <w:r>
        <w:rPr>
          <w:rFonts w:cs="Arial"/>
          <w:szCs w:val="22"/>
        </w:rPr>
        <w:tab/>
      </w:r>
      <w:r w:rsidR="00721E7F">
        <w:rPr>
          <w:rFonts w:cs="Arial"/>
          <w:szCs w:val="22"/>
        </w:rPr>
        <w:t>–</w:t>
      </w:r>
      <w:r w:rsidR="00AD600D">
        <w:rPr>
          <w:rFonts w:cs="Arial"/>
          <w:szCs w:val="22"/>
        </w:rPr>
        <w:tab/>
      </w:r>
      <w:r>
        <w:rPr>
          <w:rFonts w:cs="Arial"/>
          <w:szCs w:val="22"/>
        </w:rPr>
        <w:t>veřejná zakázka malého rozsahu</w:t>
      </w:r>
    </w:p>
    <w:p w:rsidR="00AD600D" w:rsidRDefault="00AD600D" w:rsidP="00E332B1">
      <w:pPr>
        <w:tabs>
          <w:tab w:val="left" w:pos="2410"/>
          <w:tab w:val="left" w:pos="2977"/>
        </w:tabs>
        <w:ind w:left="2977" w:hanging="2977"/>
        <w:jc w:val="left"/>
        <w:rPr>
          <w:rFonts w:cs="Arial"/>
          <w:szCs w:val="22"/>
        </w:rPr>
      </w:pPr>
      <w:r w:rsidRPr="00FD2643">
        <w:rPr>
          <w:rFonts w:cs="Arial"/>
          <w:szCs w:val="22"/>
        </w:rPr>
        <w:t>VZMR OV</w:t>
      </w:r>
      <w:r>
        <w:rPr>
          <w:rFonts w:cs="Arial"/>
          <w:szCs w:val="22"/>
        </w:rPr>
        <w:t xml:space="preserve"> </w:t>
      </w:r>
      <w:r>
        <w:rPr>
          <w:rFonts w:cs="Arial"/>
          <w:szCs w:val="22"/>
        </w:rPr>
        <w:tab/>
      </w:r>
      <w:r w:rsidR="00721E7F">
        <w:rPr>
          <w:rFonts w:cs="Arial"/>
          <w:szCs w:val="22"/>
        </w:rPr>
        <w:t>–</w:t>
      </w:r>
      <w:r>
        <w:rPr>
          <w:rFonts w:cs="Arial"/>
          <w:szCs w:val="22"/>
        </w:rPr>
        <w:tab/>
        <w:t>veřejná zakázka malého rozsahu – otevřená výzva</w:t>
      </w:r>
    </w:p>
    <w:p w:rsidR="00AD600D" w:rsidRDefault="00AD600D" w:rsidP="00E332B1">
      <w:pPr>
        <w:tabs>
          <w:tab w:val="left" w:pos="2410"/>
          <w:tab w:val="left" w:pos="2977"/>
        </w:tabs>
        <w:ind w:left="2977" w:hanging="2977"/>
        <w:jc w:val="left"/>
        <w:rPr>
          <w:rFonts w:cs="Arial"/>
          <w:szCs w:val="22"/>
        </w:rPr>
      </w:pPr>
      <w:r w:rsidRPr="00D859ED">
        <w:rPr>
          <w:rFonts w:cs="Arial"/>
          <w:szCs w:val="22"/>
        </w:rPr>
        <w:t>VZMR PZ</w:t>
      </w:r>
      <w:r>
        <w:rPr>
          <w:rFonts w:cs="Arial"/>
          <w:szCs w:val="22"/>
        </w:rPr>
        <w:tab/>
      </w:r>
      <w:r w:rsidR="00721E7F">
        <w:rPr>
          <w:rFonts w:cs="Arial"/>
          <w:szCs w:val="22"/>
        </w:rPr>
        <w:t>–</w:t>
      </w:r>
      <w:r>
        <w:rPr>
          <w:rFonts w:cs="Arial"/>
          <w:szCs w:val="22"/>
        </w:rPr>
        <w:tab/>
        <w:t>veřejná zakázka malého rozsahu – přímé zadání</w:t>
      </w:r>
    </w:p>
    <w:p w:rsidR="00AD600D" w:rsidRDefault="00AD600D" w:rsidP="00E332B1">
      <w:pPr>
        <w:tabs>
          <w:tab w:val="left" w:pos="2410"/>
          <w:tab w:val="left" w:pos="2977"/>
        </w:tabs>
        <w:ind w:left="2977" w:hanging="2977"/>
        <w:jc w:val="left"/>
        <w:rPr>
          <w:rFonts w:cs="Arial"/>
          <w:szCs w:val="22"/>
        </w:rPr>
      </w:pPr>
      <w:r>
        <w:rPr>
          <w:rFonts w:cs="Arial"/>
          <w:szCs w:val="22"/>
        </w:rPr>
        <w:t>VZMR UV</w:t>
      </w:r>
      <w:r>
        <w:rPr>
          <w:rFonts w:cs="Arial"/>
          <w:szCs w:val="22"/>
        </w:rPr>
        <w:tab/>
      </w:r>
      <w:r w:rsidR="00721E7F">
        <w:rPr>
          <w:rFonts w:cs="Arial"/>
          <w:szCs w:val="22"/>
        </w:rPr>
        <w:t>–</w:t>
      </w:r>
      <w:r>
        <w:rPr>
          <w:rFonts w:cs="Arial"/>
          <w:szCs w:val="22"/>
        </w:rPr>
        <w:tab/>
        <w:t xml:space="preserve">veřejná zakázka malého rozsahu </w:t>
      </w:r>
      <w:r w:rsidR="002C671F">
        <w:rPr>
          <w:rFonts w:cs="Arial"/>
          <w:szCs w:val="22"/>
        </w:rPr>
        <w:t>–</w:t>
      </w:r>
      <w:r w:rsidRPr="006C7443">
        <w:rPr>
          <w:rFonts w:cs="Arial"/>
          <w:szCs w:val="22"/>
        </w:rPr>
        <w:t xml:space="preserve"> uzavřená výzva</w:t>
      </w:r>
    </w:p>
    <w:p w:rsidR="00954CD8" w:rsidRDefault="00721E7F" w:rsidP="00E332B1">
      <w:pPr>
        <w:tabs>
          <w:tab w:val="left" w:pos="2410"/>
          <w:tab w:val="left" w:pos="2977"/>
        </w:tabs>
        <w:ind w:left="2977" w:hanging="2977"/>
        <w:jc w:val="left"/>
        <w:rPr>
          <w:rFonts w:cs="Arial"/>
          <w:szCs w:val="22"/>
        </w:rPr>
      </w:pPr>
      <w:r>
        <w:rPr>
          <w:rFonts w:cs="Arial"/>
          <w:szCs w:val="22"/>
        </w:rPr>
        <w:t>KS ÚL</w:t>
      </w:r>
      <w:r w:rsidR="00954CD8">
        <w:rPr>
          <w:rFonts w:cs="Arial"/>
          <w:szCs w:val="22"/>
        </w:rPr>
        <w:tab/>
      </w:r>
      <w:r>
        <w:rPr>
          <w:rFonts w:cs="Arial"/>
          <w:szCs w:val="22"/>
        </w:rPr>
        <w:t>–</w:t>
      </w:r>
      <w:r w:rsidR="00AD600D">
        <w:rPr>
          <w:rFonts w:cs="Arial"/>
          <w:szCs w:val="22"/>
        </w:rPr>
        <w:tab/>
      </w:r>
      <w:r w:rsidR="00954CD8">
        <w:rPr>
          <w:rFonts w:cs="Arial"/>
          <w:szCs w:val="22"/>
        </w:rPr>
        <w:t>Krajský soud Ústí nad Labem</w:t>
      </w:r>
    </w:p>
    <w:p w:rsidR="00954CD8" w:rsidRDefault="00954CD8" w:rsidP="00E332B1">
      <w:pPr>
        <w:tabs>
          <w:tab w:val="left" w:pos="2410"/>
          <w:tab w:val="left" w:pos="2977"/>
        </w:tabs>
        <w:ind w:left="2977" w:hanging="2977"/>
        <w:jc w:val="left"/>
        <w:rPr>
          <w:rFonts w:cs="Arial"/>
          <w:szCs w:val="22"/>
        </w:rPr>
      </w:pPr>
      <w:r>
        <w:rPr>
          <w:rFonts w:cs="Arial"/>
          <w:szCs w:val="22"/>
        </w:rPr>
        <w:t>KS</w:t>
      </w:r>
      <w:r w:rsidR="00597CBC">
        <w:rPr>
          <w:rFonts w:cs="Arial"/>
          <w:szCs w:val="22"/>
        </w:rPr>
        <w:t>Z</w:t>
      </w:r>
      <w:r>
        <w:rPr>
          <w:rFonts w:cs="Arial"/>
          <w:szCs w:val="22"/>
        </w:rPr>
        <w:t xml:space="preserve"> ÚL</w:t>
      </w:r>
      <w:r>
        <w:rPr>
          <w:rFonts w:cs="Arial"/>
          <w:szCs w:val="22"/>
        </w:rPr>
        <w:tab/>
      </w:r>
      <w:r w:rsidR="00721E7F">
        <w:rPr>
          <w:rFonts w:cs="Arial"/>
          <w:szCs w:val="22"/>
        </w:rPr>
        <w:t>–</w:t>
      </w:r>
      <w:r w:rsidR="00AD600D">
        <w:rPr>
          <w:rFonts w:cs="Arial"/>
          <w:szCs w:val="22"/>
        </w:rPr>
        <w:tab/>
      </w:r>
      <w:r>
        <w:rPr>
          <w:rFonts w:cs="Arial"/>
          <w:szCs w:val="22"/>
        </w:rPr>
        <w:t>Krajské státní zastupitelství Ústí nad Labem</w:t>
      </w:r>
    </w:p>
    <w:p w:rsidR="00954CD8" w:rsidRDefault="00276661" w:rsidP="00E332B1">
      <w:pPr>
        <w:tabs>
          <w:tab w:val="left" w:pos="2410"/>
          <w:tab w:val="left" w:pos="2977"/>
        </w:tabs>
        <w:ind w:left="2977" w:hanging="2977"/>
        <w:jc w:val="left"/>
      </w:pPr>
      <w:r>
        <w:rPr>
          <w:rFonts w:cs="Arial"/>
          <w:szCs w:val="22"/>
        </w:rPr>
        <w:t>z</w:t>
      </w:r>
      <w:r w:rsidR="00954CD8">
        <w:rPr>
          <w:rFonts w:cs="Arial"/>
          <w:szCs w:val="22"/>
        </w:rPr>
        <w:t>ákon o VZ</w:t>
      </w:r>
      <w:r w:rsidR="00954CD8">
        <w:rPr>
          <w:rFonts w:cs="Arial"/>
          <w:szCs w:val="22"/>
        </w:rPr>
        <w:tab/>
      </w:r>
      <w:r w:rsidR="00721E7F">
        <w:rPr>
          <w:rFonts w:cs="Arial"/>
          <w:szCs w:val="22"/>
        </w:rPr>
        <w:t>–</w:t>
      </w:r>
      <w:r w:rsidR="00AD600D">
        <w:rPr>
          <w:rFonts w:cs="Arial"/>
          <w:szCs w:val="22"/>
        </w:rPr>
        <w:tab/>
      </w:r>
      <w:r>
        <w:rPr>
          <w:rFonts w:cs="Arial"/>
        </w:rPr>
        <w:t>z</w:t>
      </w:r>
      <w:r w:rsidR="00954CD8">
        <w:rPr>
          <w:rFonts w:cs="Arial"/>
        </w:rPr>
        <w:t>ákon č. 137/2006 Sb., o veřejných zakázkách</w:t>
      </w:r>
    </w:p>
    <w:p w:rsidR="00954CD8" w:rsidRDefault="00AD600D" w:rsidP="00E332B1">
      <w:pPr>
        <w:tabs>
          <w:tab w:val="left" w:pos="2410"/>
          <w:tab w:val="left" w:pos="2977"/>
        </w:tabs>
        <w:ind w:left="2977" w:hanging="2977"/>
        <w:jc w:val="left"/>
        <w:rPr>
          <w:rFonts w:cs="Arial"/>
          <w:szCs w:val="22"/>
        </w:rPr>
      </w:pPr>
      <w:r w:rsidRPr="00C45FFA">
        <w:rPr>
          <w:rFonts w:cs="Arial"/>
          <w:szCs w:val="22"/>
        </w:rPr>
        <w:t>ZPŘ</w:t>
      </w:r>
      <w:r>
        <w:rPr>
          <w:rFonts w:cs="Arial"/>
          <w:szCs w:val="22"/>
        </w:rPr>
        <w:tab/>
      </w:r>
      <w:r w:rsidR="00721E7F">
        <w:rPr>
          <w:rFonts w:cs="Arial"/>
          <w:szCs w:val="22"/>
        </w:rPr>
        <w:t>–</w:t>
      </w:r>
      <w:r>
        <w:rPr>
          <w:rFonts w:cs="Arial"/>
          <w:szCs w:val="22"/>
        </w:rPr>
        <w:tab/>
        <w:t>z</w:t>
      </w:r>
      <w:r w:rsidRPr="005A341D">
        <w:rPr>
          <w:rFonts w:cs="Arial"/>
          <w:szCs w:val="22"/>
        </w:rPr>
        <w:t>jednodušené podlimitní řízení</w:t>
      </w:r>
    </w:p>
    <w:p w:rsidR="00F61B58" w:rsidRDefault="00F61B58" w:rsidP="00E332B1">
      <w:pPr>
        <w:tabs>
          <w:tab w:val="left" w:pos="2410"/>
          <w:tab w:val="left" w:pos="2977"/>
        </w:tabs>
        <w:ind w:left="2977" w:hanging="2977"/>
        <w:jc w:val="left"/>
        <w:rPr>
          <w:rFonts w:cs="Arial"/>
          <w:szCs w:val="22"/>
        </w:rPr>
      </w:pPr>
    </w:p>
    <w:p w:rsidR="00954CD8" w:rsidRPr="00AD600D" w:rsidRDefault="00954CD8" w:rsidP="006C3F22">
      <w:pPr>
        <w:jc w:val="right"/>
        <w:rPr>
          <w:rFonts w:cs="Arial"/>
          <w:szCs w:val="22"/>
        </w:rPr>
      </w:pPr>
    </w:p>
    <w:p w:rsidR="00AD600D" w:rsidRPr="00AD600D" w:rsidRDefault="00AD600D" w:rsidP="006C3F22">
      <w:pPr>
        <w:jc w:val="right"/>
        <w:rPr>
          <w:rFonts w:cs="Arial"/>
          <w:szCs w:val="22"/>
        </w:rPr>
      </w:pPr>
    </w:p>
    <w:sectPr w:rsidR="00AD600D" w:rsidRPr="00AD600D" w:rsidSect="0009107F">
      <w:pgSz w:w="12240" w:h="15840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F157B" w:rsidRDefault="002F157B" w:rsidP="00896424">
      <w:r>
        <w:separator/>
      </w:r>
    </w:p>
  </w:endnote>
  <w:endnote w:type="continuationSeparator" w:id="0">
    <w:p w:rsidR="002F157B" w:rsidRDefault="002F157B" w:rsidP="00896424">
      <w:r>
        <w:continuationSeparator/>
      </w:r>
    </w:p>
  </w:endnote>
  <w:endnote w:type="continuationNotice" w:id="1">
    <w:p w:rsidR="002F157B" w:rsidRDefault="002F157B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440723052"/>
      <w:docPartObj>
        <w:docPartGallery w:val="Page Numbers (Bottom of Page)"/>
        <w:docPartUnique/>
      </w:docPartObj>
    </w:sdtPr>
    <w:sdtEndPr/>
    <w:sdtContent>
      <w:p w:rsidR="002F157B" w:rsidRDefault="002F157B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E1CDF">
          <w:rPr>
            <w:noProof/>
          </w:rPr>
          <w:t>22</w:t>
        </w:r>
        <w:r>
          <w:fldChar w:fldCharType="end"/>
        </w:r>
      </w:p>
    </w:sdtContent>
  </w:sdt>
  <w:p w:rsidR="002F157B" w:rsidRDefault="002F157B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F157B" w:rsidRDefault="002F157B" w:rsidP="00896424">
      <w:r>
        <w:separator/>
      </w:r>
    </w:p>
  </w:footnote>
  <w:footnote w:type="continuationSeparator" w:id="0">
    <w:p w:rsidR="002F157B" w:rsidRDefault="002F157B" w:rsidP="00896424">
      <w:r>
        <w:continuationSeparator/>
      </w:r>
    </w:p>
  </w:footnote>
  <w:footnote w:type="continuationNotice" w:id="1">
    <w:p w:rsidR="002F157B" w:rsidRDefault="002F157B">
      <w:pPr>
        <w:spacing w:after="0"/>
      </w:pPr>
    </w:p>
  </w:footnote>
  <w:footnote w:id="2">
    <w:p w:rsidR="002F157B" w:rsidRPr="00F853C8" w:rsidRDefault="002F157B" w:rsidP="00B82AEC">
      <w:pPr>
        <w:autoSpaceDE w:val="0"/>
        <w:autoSpaceDN w:val="0"/>
        <w:adjustRightInd w:val="0"/>
        <w:ind w:left="284" w:hanging="284"/>
        <w:rPr>
          <w:sz w:val="18"/>
          <w:szCs w:val="18"/>
        </w:rPr>
      </w:pPr>
      <w:r w:rsidRPr="00F853C8">
        <w:rPr>
          <w:rStyle w:val="Znakapoznpodarou"/>
          <w:sz w:val="18"/>
          <w:szCs w:val="18"/>
        </w:rPr>
        <w:footnoteRef/>
      </w:r>
      <w:r w:rsidRPr="00F853C8">
        <w:rPr>
          <w:sz w:val="18"/>
          <w:szCs w:val="18"/>
        </w:rPr>
        <w:t xml:space="preserve"> </w:t>
      </w:r>
      <w:r>
        <w:rPr>
          <w:sz w:val="18"/>
          <w:szCs w:val="18"/>
        </w:rPr>
        <w:tab/>
      </w:r>
      <w:r w:rsidRPr="007E2B43">
        <w:rPr>
          <w:rFonts w:cs="Arial"/>
          <w:bCs/>
          <w:sz w:val="18"/>
          <w:szCs w:val="18"/>
        </w:rPr>
        <w:t xml:space="preserve">Sdělení Komise Radě, Evropskému parlamentu, Evropskému hospodářskému a sociálnímu výboru a Výboru regionů: </w:t>
      </w:r>
      <w:r w:rsidRPr="007E2B43">
        <w:rPr>
          <w:rFonts w:cs="Arial"/>
          <w:bCs/>
          <w:i/>
          <w:sz w:val="18"/>
          <w:szCs w:val="18"/>
        </w:rPr>
        <w:t>Akční plán provádění právního rámce v oblasti elektronického zadávání veřejných zakázek</w:t>
      </w:r>
      <w:r w:rsidRPr="007E2B43">
        <w:rPr>
          <w:rFonts w:cs="Arial"/>
          <w:bCs/>
          <w:sz w:val="18"/>
          <w:szCs w:val="18"/>
        </w:rPr>
        <w:t xml:space="preserve">; </w:t>
      </w:r>
      <w:proofErr w:type="gramStart"/>
      <w:r w:rsidRPr="007E2B43">
        <w:rPr>
          <w:rFonts w:cs="Arial"/>
          <w:sz w:val="18"/>
          <w:szCs w:val="18"/>
        </w:rPr>
        <w:t>KOM(2004</w:t>
      </w:r>
      <w:proofErr w:type="gramEnd"/>
      <w:r w:rsidRPr="007E2B43">
        <w:rPr>
          <w:rFonts w:cs="Arial"/>
          <w:sz w:val="18"/>
          <w:szCs w:val="18"/>
        </w:rPr>
        <w:t>) 841</w:t>
      </w:r>
      <w:r>
        <w:rPr>
          <w:rFonts w:cs="Arial"/>
          <w:sz w:val="18"/>
          <w:szCs w:val="18"/>
        </w:rPr>
        <w:t xml:space="preserve"> ze dne 29. 12. 2004.</w:t>
      </w:r>
    </w:p>
  </w:footnote>
  <w:footnote w:id="3">
    <w:p w:rsidR="002F157B" w:rsidRPr="00F853C8" w:rsidRDefault="002F157B" w:rsidP="0000689C">
      <w:pPr>
        <w:pStyle w:val="Textpoznpodarou"/>
        <w:spacing w:after="0"/>
        <w:ind w:left="284" w:hanging="284"/>
        <w:rPr>
          <w:rFonts w:cs="Arial"/>
          <w:sz w:val="18"/>
          <w:szCs w:val="18"/>
        </w:rPr>
      </w:pPr>
      <w:r w:rsidRPr="00F853C8">
        <w:rPr>
          <w:rStyle w:val="Znakapoznpodarou"/>
          <w:sz w:val="18"/>
          <w:szCs w:val="18"/>
        </w:rPr>
        <w:footnoteRef/>
      </w:r>
      <w:r w:rsidRPr="00F853C8">
        <w:rPr>
          <w:sz w:val="18"/>
          <w:szCs w:val="18"/>
        </w:rPr>
        <w:t xml:space="preserve"> </w:t>
      </w:r>
      <w:r>
        <w:rPr>
          <w:sz w:val="18"/>
          <w:szCs w:val="18"/>
        </w:rPr>
        <w:tab/>
      </w:r>
      <w:r w:rsidRPr="00F853C8">
        <w:rPr>
          <w:rFonts w:cs="Arial"/>
          <w:sz w:val="18"/>
          <w:szCs w:val="18"/>
        </w:rPr>
        <w:t xml:space="preserve">Etapa č. 1 je období používání e-tržišť od 1. </w:t>
      </w:r>
      <w:r>
        <w:rPr>
          <w:rFonts w:cs="Arial"/>
          <w:sz w:val="18"/>
          <w:szCs w:val="18"/>
        </w:rPr>
        <w:t>července</w:t>
      </w:r>
      <w:r w:rsidRPr="00F853C8">
        <w:rPr>
          <w:rFonts w:cs="Arial"/>
          <w:sz w:val="18"/>
          <w:szCs w:val="18"/>
        </w:rPr>
        <w:t xml:space="preserve"> 2012 povinnými zadavateli uvedenými </w:t>
      </w:r>
      <w:r>
        <w:rPr>
          <w:rFonts w:cs="Arial"/>
          <w:sz w:val="18"/>
          <w:szCs w:val="18"/>
        </w:rPr>
        <w:t>v </w:t>
      </w:r>
      <w:r w:rsidRPr="00F853C8">
        <w:rPr>
          <w:rFonts w:cs="Arial"/>
          <w:sz w:val="18"/>
          <w:szCs w:val="18"/>
        </w:rPr>
        <w:t>čl. III odst. 2 písm.</w:t>
      </w:r>
      <w:r>
        <w:rPr>
          <w:rFonts w:cs="Arial"/>
          <w:sz w:val="18"/>
          <w:szCs w:val="18"/>
        </w:rPr>
        <w:t> </w:t>
      </w:r>
      <w:r w:rsidRPr="00F853C8">
        <w:rPr>
          <w:rFonts w:cs="Arial"/>
          <w:sz w:val="18"/>
          <w:szCs w:val="18"/>
        </w:rPr>
        <w:t xml:space="preserve">a) a písm. b) UV </w:t>
      </w:r>
      <w:r w:rsidRPr="00B82AEC">
        <w:rPr>
          <w:rFonts w:cs="Arial"/>
          <w:sz w:val="18"/>
          <w:szCs w:val="18"/>
        </w:rPr>
        <w:t>ze dne 1</w:t>
      </w:r>
      <w:r>
        <w:rPr>
          <w:rFonts w:cs="Arial"/>
          <w:sz w:val="18"/>
          <w:szCs w:val="18"/>
        </w:rPr>
        <w:t>0</w:t>
      </w:r>
      <w:r w:rsidRPr="00B82AEC">
        <w:rPr>
          <w:rFonts w:cs="Arial"/>
          <w:sz w:val="18"/>
          <w:szCs w:val="18"/>
        </w:rPr>
        <w:t xml:space="preserve">. </w:t>
      </w:r>
      <w:r>
        <w:rPr>
          <w:rFonts w:cs="Arial"/>
          <w:sz w:val="18"/>
          <w:szCs w:val="18"/>
        </w:rPr>
        <w:t>5</w:t>
      </w:r>
      <w:r w:rsidRPr="00B82AEC">
        <w:rPr>
          <w:rFonts w:cs="Arial"/>
          <w:sz w:val="18"/>
          <w:szCs w:val="18"/>
        </w:rPr>
        <w:t>. 201</w:t>
      </w:r>
      <w:r>
        <w:rPr>
          <w:rFonts w:cs="Arial"/>
          <w:sz w:val="18"/>
          <w:szCs w:val="18"/>
        </w:rPr>
        <w:t>0</w:t>
      </w:r>
      <w:r>
        <w:rPr>
          <w:rFonts w:cs="Arial"/>
          <w:szCs w:val="22"/>
        </w:rPr>
        <w:t xml:space="preserve"> </w:t>
      </w:r>
      <w:r w:rsidRPr="00F853C8">
        <w:rPr>
          <w:rFonts w:cs="Arial"/>
          <w:sz w:val="18"/>
          <w:szCs w:val="18"/>
        </w:rPr>
        <w:t xml:space="preserve">č. 343 ve znění UV </w:t>
      </w:r>
      <w:r w:rsidRPr="00B82AEC">
        <w:rPr>
          <w:rFonts w:cs="Arial"/>
          <w:sz w:val="18"/>
          <w:szCs w:val="18"/>
        </w:rPr>
        <w:t>ze dne 15. 6. 2011</w:t>
      </w:r>
      <w:r>
        <w:rPr>
          <w:rFonts w:cs="Arial"/>
          <w:szCs w:val="22"/>
        </w:rPr>
        <w:t xml:space="preserve"> </w:t>
      </w:r>
      <w:r w:rsidRPr="00F853C8">
        <w:rPr>
          <w:rFonts w:cs="Arial"/>
          <w:sz w:val="18"/>
          <w:szCs w:val="18"/>
        </w:rPr>
        <w:t>č. 451,</w:t>
      </w:r>
      <w:r>
        <w:rPr>
          <w:rFonts w:cs="Arial"/>
          <w:sz w:val="18"/>
          <w:szCs w:val="18"/>
        </w:rPr>
        <w:t xml:space="preserve"> </w:t>
      </w:r>
      <w:r w:rsidRPr="00F853C8">
        <w:rPr>
          <w:rFonts w:cs="Arial"/>
          <w:sz w:val="18"/>
          <w:szCs w:val="18"/>
        </w:rPr>
        <w:t xml:space="preserve">UV </w:t>
      </w:r>
      <w:r w:rsidRPr="00BB2AD5">
        <w:rPr>
          <w:rFonts w:cs="Arial"/>
          <w:sz w:val="18"/>
          <w:szCs w:val="18"/>
        </w:rPr>
        <w:t xml:space="preserve">ze dne </w:t>
      </w:r>
      <w:r>
        <w:rPr>
          <w:rFonts w:cs="Arial"/>
          <w:sz w:val="18"/>
          <w:szCs w:val="18"/>
        </w:rPr>
        <w:t>14. 12</w:t>
      </w:r>
      <w:r w:rsidRPr="00BB2AD5">
        <w:rPr>
          <w:rFonts w:cs="Arial"/>
          <w:sz w:val="18"/>
          <w:szCs w:val="18"/>
        </w:rPr>
        <w:t>. 201</w:t>
      </w:r>
      <w:r>
        <w:rPr>
          <w:rFonts w:cs="Arial"/>
          <w:sz w:val="18"/>
          <w:szCs w:val="18"/>
        </w:rPr>
        <w:t>1</w:t>
      </w:r>
      <w:r>
        <w:rPr>
          <w:rFonts w:cs="Arial"/>
          <w:szCs w:val="22"/>
        </w:rPr>
        <w:t xml:space="preserve"> č. </w:t>
      </w:r>
      <w:r w:rsidRPr="00F853C8">
        <w:rPr>
          <w:rFonts w:cs="Arial"/>
          <w:sz w:val="18"/>
          <w:szCs w:val="18"/>
        </w:rPr>
        <w:t>933 a</w:t>
      </w:r>
      <w:r>
        <w:rPr>
          <w:rFonts w:cs="Arial"/>
          <w:sz w:val="18"/>
          <w:szCs w:val="18"/>
        </w:rPr>
        <w:t xml:space="preserve"> </w:t>
      </w:r>
      <w:r w:rsidRPr="00F853C8">
        <w:rPr>
          <w:rFonts w:cs="Arial"/>
          <w:sz w:val="18"/>
          <w:szCs w:val="18"/>
        </w:rPr>
        <w:t>UV</w:t>
      </w:r>
      <w:r>
        <w:rPr>
          <w:rFonts w:cs="Arial"/>
          <w:sz w:val="18"/>
          <w:szCs w:val="18"/>
        </w:rPr>
        <w:t xml:space="preserve"> </w:t>
      </w:r>
      <w:r w:rsidRPr="00BB2AD5">
        <w:rPr>
          <w:rFonts w:cs="Arial"/>
          <w:sz w:val="18"/>
          <w:szCs w:val="18"/>
        </w:rPr>
        <w:t xml:space="preserve">ze dne </w:t>
      </w:r>
      <w:r>
        <w:rPr>
          <w:rFonts w:cs="Arial"/>
          <w:sz w:val="18"/>
          <w:szCs w:val="18"/>
        </w:rPr>
        <w:t>28</w:t>
      </w:r>
      <w:r w:rsidRPr="00BB2AD5">
        <w:rPr>
          <w:rFonts w:cs="Arial"/>
          <w:sz w:val="18"/>
          <w:szCs w:val="18"/>
        </w:rPr>
        <w:t xml:space="preserve">. </w:t>
      </w:r>
      <w:r>
        <w:rPr>
          <w:rFonts w:cs="Arial"/>
          <w:sz w:val="18"/>
          <w:szCs w:val="18"/>
        </w:rPr>
        <w:t>3</w:t>
      </w:r>
      <w:r w:rsidRPr="00BB2AD5">
        <w:rPr>
          <w:rFonts w:cs="Arial"/>
          <w:sz w:val="18"/>
          <w:szCs w:val="18"/>
        </w:rPr>
        <w:t>. 201</w:t>
      </w:r>
      <w:r>
        <w:rPr>
          <w:rFonts w:cs="Arial"/>
          <w:sz w:val="18"/>
          <w:szCs w:val="18"/>
        </w:rPr>
        <w:t>2</w:t>
      </w:r>
      <w:r w:rsidRPr="00F853C8">
        <w:rPr>
          <w:rFonts w:cs="Arial"/>
          <w:sz w:val="18"/>
          <w:szCs w:val="18"/>
        </w:rPr>
        <w:t xml:space="preserve"> </w:t>
      </w:r>
      <w:r>
        <w:rPr>
          <w:rFonts w:cs="Arial"/>
          <w:sz w:val="18"/>
          <w:szCs w:val="18"/>
        </w:rPr>
        <w:t xml:space="preserve">č. </w:t>
      </w:r>
      <w:r w:rsidRPr="00F853C8">
        <w:rPr>
          <w:rFonts w:cs="Arial"/>
          <w:sz w:val="18"/>
          <w:szCs w:val="18"/>
        </w:rPr>
        <w:t xml:space="preserve">222 u veřejných zakázek </w:t>
      </w:r>
      <w:r>
        <w:rPr>
          <w:rFonts w:cs="Arial"/>
          <w:sz w:val="18"/>
          <w:szCs w:val="18"/>
        </w:rPr>
        <w:t>v </w:t>
      </w:r>
      <w:r w:rsidRPr="00F853C8">
        <w:rPr>
          <w:rFonts w:cs="Arial"/>
          <w:sz w:val="18"/>
          <w:szCs w:val="18"/>
        </w:rPr>
        <w:t xml:space="preserve">předpokládané hodnotě </w:t>
      </w:r>
      <w:r w:rsidRPr="00C16FF5">
        <w:rPr>
          <w:rFonts w:cs="Arial"/>
          <w:sz w:val="18"/>
          <w:szCs w:val="18"/>
        </w:rPr>
        <w:t xml:space="preserve">od </w:t>
      </w:r>
      <w:r w:rsidRPr="002E60E7">
        <w:rPr>
          <w:rFonts w:cs="Arial"/>
          <w:sz w:val="18"/>
          <w:szCs w:val="18"/>
        </w:rPr>
        <w:t xml:space="preserve">50 000 Kč </w:t>
      </w:r>
      <w:r w:rsidRPr="000753DA">
        <w:rPr>
          <w:rFonts w:cs="Arial"/>
          <w:sz w:val="18"/>
          <w:szCs w:val="18"/>
        </w:rPr>
        <w:t>bez DPH</w:t>
      </w:r>
      <w:r>
        <w:rPr>
          <w:rFonts w:cs="Arial"/>
          <w:sz w:val="18"/>
          <w:szCs w:val="18"/>
        </w:rPr>
        <w:t xml:space="preserve"> </w:t>
      </w:r>
      <w:r w:rsidRPr="00F853C8">
        <w:rPr>
          <w:rFonts w:cs="Arial"/>
          <w:sz w:val="18"/>
          <w:szCs w:val="18"/>
        </w:rPr>
        <w:t xml:space="preserve">na povinné nakupované komodity dle </w:t>
      </w:r>
      <w:r>
        <w:rPr>
          <w:rFonts w:cs="Arial"/>
          <w:sz w:val="18"/>
          <w:szCs w:val="18"/>
        </w:rPr>
        <w:t>s</w:t>
      </w:r>
      <w:r w:rsidRPr="00F853C8">
        <w:rPr>
          <w:rFonts w:cs="Arial"/>
          <w:sz w:val="18"/>
          <w:szCs w:val="18"/>
        </w:rPr>
        <w:t>eznamu komodit schválen</w:t>
      </w:r>
      <w:r>
        <w:rPr>
          <w:rFonts w:cs="Arial"/>
          <w:sz w:val="18"/>
          <w:szCs w:val="18"/>
        </w:rPr>
        <w:t>ého</w:t>
      </w:r>
      <w:r w:rsidRPr="00F853C8">
        <w:rPr>
          <w:rFonts w:cs="Arial"/>
          <w:sz w:val="18"/>
          <w:szCs w:val="18"/>
        </w:rPr>
        <w:t xml:space="preserve"> UV </w:t>
      </w:r>
      <w:r w:rsidRPr="00BB2AD5">
        <w:rPr>
          <w:rFonts w:cs="Arial"/>
          <w:sz w:val="18"/>
          <w:szCs w:val="18"/>
        </w:rPr>
        <w:t>ze dne 1</w:t>
      </w:r>
      <w:r>
        <w:rPr>
          <w:rFonts w:cs="Arial"/>
          <w:sz w:val="18"/>
          <w:szCs w:val="18"/>
        </w:rPr>
        <w:t>5</w:t>
      </w:r>
      <w:r w:rsidRPr="00BB2AD5">
        <w:rPr>
          <w:rFonts w:cs="Arial"/>
          <w:sz w:val="18"/>
          <w:szCs w:val="18"/>
        </w:rPr>
        <w:t xml:space="preserve">. </w:t>
      </w:r>
      <w:r>
        <w:rPr>
          <w:rFonts w:cs="Arial"/>
          <w:sz w:val="18"/>
          <w:szCs w:val="18"/>
        </w:rPr>
        <w:t>6</w:t>
      </w:r>
      <w:r w:rsidRPr="00BB2AD5">
        <w:rPr>
          <w:rFonts w:cs="Arial"/>
          <w:sz w:val="18"/>
          <w:szCs w:val="18"/>
        </w:rPr>
        <w:t>. 201</w:t>
      </w:r>
      <w:r>
        <w:rPr>
          <w:rFonts w:cs="Arial"/>
          <w:sz w:val="18"/>
          <w:szCs w:val="18"/>
        </w:rPr>
        <w:t>1</w:t>
      </w:r>
      <w:r>
        <w:rPr>
          <w:rFonts w:cs="Arial"/>
          <w:szCs w:val="22"/>
        </w:rPr>
        <w:t xml:space="preserve"> </w:t>
      </w:r>
      <w:r w:rsidRPr="00F853C8">
        <w:rPr>
          <w:rFonts w:cs="Arial"/>
          <w:sz w:val="18"/>
          <w:szCs w:val="18"/>
        </w:rPr>
        <w:t>č. 451.</w:t>
      </w:r>
    </w:p>
  </w:footnote>
  <w:footnote w:id="4">
    <w:p w:rsidR="002F157B" w:rsidRPr="002A2FDB" w:rsidRDefault="002F157B" w:rsidP="00276661">
      <w:pPr>
        <w:pStyle w:val="Textpoznpodarou"/>
        <w:spacing w:after="0"/>
        <w:ind w:left="284" w:hanging="284"/>
        <w:rPr>
          <w:sz w:val="18"/>
          <w:szCs w:val="18"/>
        </w:rPr>
      </w:pPr>
      <w:r w:rsidRPr="00F853C8">
        <w:rPr>
          <w:rStyle w:val="Znakapoznpodarou"/>
          <w:sz w:val="18"/>
          <w:szCs w:val="18"/>
        </w:rPr>
        <w:footnoteRef/>
      </w:r>
      <w:r>
        <w:rPr>
          <w:sz w:val="18"/>
          <w:szCs w:val="18"/>
        </w:rPr>
        <w:t xml:space="preserve"> </w:t>
      </w:r>
      <w:r>
        <w:rPr>
          <w:sz w:val="18"/>
          <w:szCs w:val="18"/>
        </w:rPr>
        <w:tab/>
      </w:r>
      <w:r w:rsidRPr="00F853C8">
        <w:rPr>
          <w:sz w:val="18"/>
          <w:szCs w:val="18"/>
        </w:rPr>
        <w:t xml:space="preserve">Zdroj: </w:t>
      </w:r>
      <w:r w:rsidRPr="00B82AEC">
        <w:rPr>
          <w:i/>
          <w:sz w:val="18"/>
          <w:szCs w:val="18"/>
        </w:rPr>
        <w:t xml:space="preserve">Strategie používání e-tržiště pro veřejnou správu dle opatření </w:t>
      </w:r>
      <w:proofErr w:type="gramStart"/>
      <w:r w:rsidRPr="00B82AEC">
        <w:rPr>
          <w:i/>
          <w:sz w:val="18"/>
          <w:szCs w:val="18"/>
        </w:rPr>
        <w:t>J.6 Národního</w:t>
      </w:r>
      <w:proofErr w:type="gramEnd"/>
      <w:r w:rsidRPr="00B82AEC">
        <w:rPr>
          <w:i/>
          <w:sz w:val="18"/>
          <w:szCs w:val="18"/>
        </w:rPr>
        <w:t xml:space="preserve"> plánu</w:t>
      </w:r>
      <w:r w:rsidRPr="00F853C8">
        <w:rPr>
          <w:sz w:val="18"/>
          <w:szCs w:val="18"/>
        </w:rPr>
        <w:t xml:space="preserve">, dokument vzat na vědomí </w:t>
      </w:r>
      <w:r w:rsidRPr="002A2FDB">
        <w:rPr>
          <w:sz w:val="18"/>
          <w:szCs w:val="18"/>
        </w:rPr>
        <w:t xml:space="preserve">UV </w:t>
      </w:r>
      <w:r w:rsidRPr="00BB2AD5">
        <w:rPr>
          <w:rFonts w:cs="Arial"/>
          <w:sz w:val="18"/>
          <w:szCs w:val="18"/>
        </w:rPr>
        <w:t>ze dne 1</w:t>
      </w:r>
      <w:r>
        <w:rPr>
          <w:rFonts w:cs="Arial"/>
          <w:sz w:val="18"/>
          <w:szCs w:val="18"/>
        </w:rPr>
        <w:t>0</w:t>
      </w:r>
      <w:r w:rsidRPr="00BB2AD5">
        <w:rPr>
          <w:rFonts w:cs="Arial"/>
          <w:sz w:val="18"/>
          <w:szCs w:val="18"/>
        </w:rPr>
        <w:t xml:space="preserve">. </w:t>
      </w:r>
      <w:r>
        <w:rPr>
          <w:rFonts w:cs="Arial"/>
          <w:sz w:val="18"/>
          <w:szCs w:val="18"/>
        </w:rPr>
        <w:t>5</w:t>
      </w:r>
      <w:r w:rsidRPr="00BB2AD5">
        <w:rPr>
          <w:rFonts w:cs="Arial"/>
          <w:sz w:val="18"/>
          <w:szCs w:val="18"/>
        </w:rPr>
        <w:t>. 201</w:t>
      </w:r>
      <w:r>
        <w:rPr>
          <w:rFonts w:cs="Arial"/>
          <w:sz w:val="18"/>
          <w:szCs w:val="18"/>
        </w:rPr>
        <w:t>0</w:t>
      </w:r>
      <w:r>
        <w:rPr>
          <w:rFonts w:cs="Arial"/>
          <w:szCs w:val="22"/>
        </w:rPr>
        <w:t xml:space="preserve"> </w:t>
      </w:r>
      <w:r w:rsidRPr="002A2FDB">
        <w:rPr>
          <w:sz w:val="18"/>
          <w:szCs w:val="18"/>
        </w:rPr>
        <w:t>č. 343</w:t>
      </w:r>
      <w:r>
        <w:rPr>
          <w:sz w:val="18"/>
          <w:szCs w:val="18"/>
        </w:rPr>
        <w:t>.</w:t>
      </w:r>
    </w:p>
  </w:footnote>
  <w:footnote w:id="5">
    <w:p w:rsidR="002F157B" w:rsidRPr="0000689C" w:rsidRDefault="002F157B" w:rsidP="0000689C">
      <w:pPr>
        <w:pStyle w:val="Textpoznpodarou"/>
        <w:spacing w:after="0"/>
        <w:ind w:left="284" w:hanging="284"/>
        <w:rPr>
          <w:sz w:val="18"/>
          <w:szCs w:val="18"/>
        </w:rPr>
      </w:pPr>
      <w:r w:rsidRPr="0000689C">
        <w:rPr>
          <w:rStyle w:val="Znakapoznpodarou"/>
          <w:sz w:val="18"/>
          <w:szCs w:val="18"/>
        </w:rPr>
        <w:footnoteRef/>
      </w:r>
      <w:r w:rsidRPr="0000689C">
        <w:rPr>
          <w:sz w:val="18"/>
          <w:szCs w:val="18"/>
        </w:rPr>
        <w:t xml:space="preserve"> </w:t>
      </w:r>
      <w:r w:rsidRPr="0000689C">
        <w:rPr>
          <w:sz w:val="18"/>
          <w:szCs w:val="18"/>
        </w:rPr>
        <w:tab/>
        <w:t xml:space="preserve">Projekt </w:t>
      </w:r>
      <w:r w:rsidRPr="00305D42">
        <w:rPr>
          <w:i/>
          <w:sz w:val="18"/>
          <w:szCs w:val="18"/>
        </w:rPr>
        <w:t>Národní infrastruktura pro elektronické zadávání veřejných zakázek</w:t>
      </w:r>
      <w:r w:rsidRPr="0000689C">
        <w:rPr>
          <w:sz w:val="18"/>
          <w:szCs w:val="18"/>
        </w:rPr>
        <w:t xml:space="preserve"> </w:t>
      </w:r>
      <w:r>
        <w:rPr>
          <w:sz w:val="18"/>
          <w:szCs w:val="18"/>
        </w:rPr>
        <w:t>(</w:t>
      </w:r>
      <w:r w:rsidRPr="0000689C">
        <w:rPr>
          <w:rFonts w:cs="Arial"/>
          <w:sz w:val="18"/>
          <w:szCs w:val="18"/>
        </w:rPr>
        <w:t>č. CZ</w:t>
      </w:r>
      <w:r>
        <w:rPr>
          <w:rFonts w:cs="Arial"/>
          <w:sz w:val="18"/>
          <w:szCs w:val="18"/>
        </w:rPr>
        <w:t>.</w:t>
      </w:r>
      <w:r w:rsidRPr="0000689C">
        <w:rPr>
          <w:rFonts w:cs="Arial"/>
          <w:sz w:val="18"/>
          <w:szCs w:val="18"/>
        </w:rPr>
        <w:t>1.06/1.1.00/07.06384</w:t>
      </w:r>
      <w:r>
        <w:rPr>
          <w:rFonts w:cs="Arial"/>
          <w:sz w:val="18"/>
          <w:szCs w:val="18"/>
        </w:rPr>
        <w:t>)</w:t>
      </w:r>
      <w:r w:rsidRPr="0000689C">
        <w:rPr>
          <w:rFonts w:cs="Arial"/>
          <w:sz w:val="18"/>
          <w:szCs w:val="18"/>
        </w:rPr>
        <w:t>.</w:t>
      </w:r>
    </w:p>
  </w:footnote>
  <w:footnote w:id="6">
    <w:p w:rsidR="002F157B" w:rsidRPr="0000689C" w:rsidRDefault="002F157B" w:rsidP="0000689C">
      <w:pPr>
        <w:pStyle w:val="Textpoznpodarou"/>
        <w:spacing w:after="0"/>
        <w:ind w:left="284" w:hanging="284"/>
        <w:rPr>
          <w:sz w:val="18"/>
          <w:szCs w:val="18"/>
        </w:rPr>
      </w:pPr>
      <w:r w:rsidRPr="0000689C">
        <w:rPr>
          <w:rStyle w:val="Znakapoznpodarou"/>
          <w:sz w:val="18"/>
          <w:szCs w:val="18"/>
        </w:rPr>
        <w:footnoteRef/>
      </w:r>
      <w:r w:rsidRPr="0000689C">
        <w:rPr>
          <w:sz w:val="18"/>
          <w:szCs w:val="18"/>
        </w:rPr>
        <w:t xml:space="preserve"> </w:t>
      </w:r>
      <w:r w:rsidRPr="0000689C">
        <w:rPr>
          <w:sz w:val="18"/>
          <w:szCs w:val="18"/>
        </w:rPr>
        <w:tab/>
      </w:r>
      <w:r w:rsidRPr="0000689C">
        <w:rPr>
          <w:rFonts w:cs="Arial"/>
          <w:sz w:val="18"/>
          <w:szCs w:val="18"/>
        </w:rPr>
        <w:t xml:space="preserve">Projekt </w:t>
      </w:r>
      <w:r w:rsidRPr="00305D42">
        <w:rPr>
          <w:rFonts w:cs="Arial"/>
          <w:i/>
          <w:sz w:val="18"/>
          <w:szCs w:val="18"/>
        </w:rPr>
        <w:t>Vzdělávání uživatelů e-tržišť jako součásti NIPEZ</w:t>
      </w:r>
      <w:r w:rsidRPr="0000689C">
        <w:rPr>
          <w:rFonts w:cs="Arial"/>
          <w:sz w:val="18"/>
          <w:szCs w:val="18"/>
        </w:rPr>
        <w:t xml:space="preserve"> </w:t>
      </w:r>
      <w:r>
        <w:rPr>
          <w:rFonts w:cs="Arial"/>
          <w:sz w:val="18"/>
          <w:szCs w:val="18"/>
        </w:rPr>
        <w:t>(</w:t>
      </w:r>
      <w:r w:rsidRPr="0000689C">
        <w:rPr>
          <w:rFonts w:cs="Arial"/>
          <w:sz w:val="18"/>
          <w:szCs w:val="18"/>
        </w:rPr>
        <w:t>č. CZ.1.04/4.1.00/62.00006</w:t>
      </w:r>
      <w:r>
        <w:rPr>
          <w:rFonts w:cs="Arial"/>
          <w:sz w:val="18"/>
          <w:szCs w:val="18"/>
        </w:rPr>
        <w:t>)</w:t>
      </w:r>
      <w:r w:rsidRPr="0000689C">
        <w:rPr>
          <w:rFonts w:cs="Arial"/>
          <w:sz w:val="18"/>
          <w:szCs w:val="18"/>
        </w:rPr>
        <w:t>.</w:t>
      </w:r>
    </w:p>
  </w:footnote>
  <w:footnote w:id="7">
    <w:p w:rsidR="002F157B" w:rsidRPr="00305D42" w:rsidRDefault="002F157B" w:rsidP="0000689C">
      <w:pPr>
        <w:pStyle w:val="Textpoznpodarou"/>
        <w:spacing w:after="0"/>
        <w:ind w:left="284" w:hanging="284"/>
        <w:rPr>
          <w:sz w:val="18"/>
          <w:szCs w:val="18"/>
        </w:rPr>
      </w:pPr>
      <w:r w:rsidRPr="00305D42">
        <w:rPr>
          <w:rStyle w:val="Znakapoznpodarou"/>
          <w:sz w:val="18"/>
          <w:szCs w:val="18"/>
        </w:rPr>
        <w:footnoteRef/>
      </w:r>
      <w:r w:rsidRPr="00305D42">
        <w:rPr>
          <w:sz w:val="18"/>
          <w:szCs w:val="18"/>
        </w:rPr>
        <w:t xml:space="preserve"> </w:t>
      </w:r>
      <w:r w:rsidRPr="00305D42">
        <w:rPr>
          <w:sz w:val="18"/>
          <w:szCs w:val="18"/>
        </w:rPr>
        <w:tab/>
      </w:r>
      <w:r w:rsidRPr="0000689C">
        <w:rPr>
          <w:sz w:val="18"/>
          <w:szCs w:val="18"/>
        </w:rPr>
        <w:t xml:space="preserve">Zdroj: </w:t>
      </w:r>
      <w:r>
        <w:rPr>
          <w:sz w:val="18"/>
          <w:szCs w:val="18"/>
        </w:rPr>
        <w:t>p</w:t>
      </w:r>
      <w:r w:rsidRPr="0000689C">
        <w:rPr>
          <w:sz w:val="18"/>
          <w:szCs w:val="18"/>
        </w:rPr>
        <w:t xml:space="preserve">říloha č. 2 </w:t>
      </w:r>
      <w:r w:rsidRPr="00305D42">
        <w:rPr>
          <w:i/>
          <w:sz w:val="18"/>
          <w:szCs w:val="18"/>
        </w:rPr>
        <w:t>Příručky pro žadatele a příjemce finanční podpory v rámci IOP</w:t>
      </w:r>
      <w:r w:rsidRPr="0000689C">
        <w:rPr>
          <w:sz w:val="18"/>
          <w:szCs w:val="18"/>
        </w:rPr>
        <w:t xml:space="preserve"> </w:t>
      </w:r>
      <w:r>
        <w:rPr>
          <w:sz w:val="18"/>
          <w:szCs w:val="18"/>
        </w:rPr>
        <w:t>(</w:t>
      </w:r>
      <w:r w:rsidRPr="0000689C">
        <w:rPr>
          <w:sz w:val="18"/>
          <w:szCs w:val="18"/>
        </w:rPr>
        <w:t>prioritní os</w:t>
      </w:r>
      <w:r>
        <w:rPr>
          <w:sz w:val="18"/>
          <w:szCs w:val="18"/>
        </w:rPr>
        <w:t>a</w:t>
      </w:r>
      <w:r w:rsidRPr="0000689C">
        <w:rPr>
          <w:sz w:val="18"/>
          <w:szCs w:val="18"/>
        </w:rPr>
        <w:t xml:space="preserve">: 1; </w:t>
      </w:r>
      <w:r>
        <w:rPr>
          <w:sz w:val="18"/>
          <w:szCs w:val="18"/>
        </w:rPr>
        <w:t>o</w:t>
      </w:r>
      <w:r w:rsidRPr="0000689C">
        <w:rPr>
          <w:sz w:val="18"/>
          <w:szCs w:val="18"/>
        </w:rPr>
        <w:t xml:space="preserve">blast podpory: 1.1a a 1.1b; </w:t>
      </w:r>
      <w:r>
        <w:rPr>
          <w:sz w:val="18"/>
          <w:szCs w:val="18"/>
        </w:rPr>
        <w:t>v</w:t>
      </w:r>
      <w:r w:rsidRPr="0000689C">
        <w:rPr>
          <w:sz w:val="18"/>
          <w:szCs w:val="18"/>
        </w:rPr>
        <w:t>ýzva č. 7</w:t>
      </w:r>
      <w:r>
        <w:rPr>
          <w:sz w:val="18"/>
          <w:szCs w:val="18"/>
        </w:rPr>
        <w:t>;</w:t>
      </w:r>
      <w:r w:rsidRPr="0000689C">
        <w:rPr>
          <w:sz w:val="18"/>
          <w:szCs w:val="18"/>
        </w:rPr>
        <w:t xml:space="preserve"> </w:t>
      </w:r>
      <w:r>
        <w:rPr>
          <w:sz w:val="18"/>
          <w:szCs w:val="18"/>
        </w:rPr>
        <w:t>v</w:t>
      </w:r>
      <w:r w:rsidRPr="0000689C">
        <w:rPr>
          <w:sz w:val="18"/>
          <w:szCs w:val="18"/>
        </w:rPr>
        <w:t>erze 1.0</w:t>
      </w:r>
      <w:r>
        <w:rPr>
          <w:sz w:val="18"/>
          <w:szCs w:val="18"/>
        </w:rPr>
        <w:t>)</w:t>
      </w:r>
      <w:r w:rsidRPr="0000689C">
        <w:rPr>
          <w:sz w:val="18"/>
          <w:szCs w:val="18"/>
        </w:rPr>
        <w:t>.</w:t>
      </w:r>
    </w:p>
  </w:footnote>
  <w:footnote w:id="8">
    <w:p w:rsidR="002F157B" w:rsidRPr="0000689C" w:rsidRDefault="002F157B" w:rsidP="00305D42">
      <w:pPr>
        <w:pStyle w:val="Textpoznpodarou"/>
        <w:spacing w:after="0"/>
        <w:ind w:left="284" w:hanging="284"/>
        <w:rPr>
          <w:sz w:val="18"/>
          <w:szCs w:val="18"/>
        </w:rPr>
      </w:pPr>
      <w:r w:rsidRPr="0000689C">
        <w:rPr>
          <w:rStyle w:val="Znakapoznpodarou"/>
          <w:sz w:val="18"/>
          <w:szCs w:val="18"/>
        </w:rPr>
        <w:footnoteRef/>
      </w:r>
      <w:r w:rsidRPr="0000689C">
        <w:rPr>
          <w:sz w:val="18"/>
          <w:szCs w:val="18"/>
        </w:rPr>
        <w:t xml:space="preserve"> </w:t>
      </w:r>
      <w:r>
        <w:rPr>
          <w:sz w:val="18"/>
          <w:szCs w:val="18"/>
        </w:rPr>
        <w:tab/>
      </w:r>
      <w:r w:rsidRPr="0000689C">
        <w:rPr>
          <w:sz w:val="18"/>
          <w:szCs w:val="18"/>
        </w:rPr>
        <w:t xml:space="preserve">Viz </w:t>
      </w:r>
      <w:r>
        <w:rPr>
          <w:sz w:val="18"/>
          <w:szCs w:val="18"/>
        </w:rPr>
        <w:t>p</w:t>
      </w:r>
      <w:r w:rsidRPr="0000689C">
        <w:rPr>
          <w:sz w:val="18"/>
          <w:szCs w:val="18"/>
        </w:rPr>
        <w:t>říloha č. 1 kontrolního závěru.</w:t>
      </w:r>
    </w:p>
  </w:footnote>
  <w:footnote w:id="9">
    <w:p w:rsidR="002F157B" w:rsidRPr="00305D42" w:rsidRDefault="002F157B" w:rsidP="00305D42">
      <w:pPr>
        <w:pStyle w:val="Textpoznpodarou"/>
        <w:spacing w:after="0"/>
        <w:ind w:left="284" w:hanging="284"/>
        <w:rPr>
          <w:sz w:val="18"/>
          <w:szCs w:val="18"/>
        </w:rPr>
      </w:pPr>
      <w:r w:rsidRPr="0000689C">
        <w:rPr>
          <w:rStyle w:val="Znakapoznpodarou"/>
          <w:sz w:val="18"/>
          <w:szCs w:val="18"/>
        </w:rPr>
        <w:footnoteRef/>
      </w:r>
      <w:r w:rsidRPr="0000689C">
        <w:rPr>
          <w:sz w:val="18"/>
          <w:szCs w:val="18"/>
        </w:rPr>
        <w:t xml:space="preserve"> </w:t>
      </w:r>
      <w:r>
        <w:rPr>
          <w:sz w:val="18"/>
          <w:szCs w:val="18"/>
        </w:rPr>
        <w:tab/>
      </w:r>
      <w:r w:rsidRPr="0000689C">
        <w:rPr>
          <w:sz w:val="18"/>
          <w:szCs w:val="18"/>
        </w:rPr>
        <w:t xml:space="preserve">Jedná se o smluvní cenu </w:t>
      </w:r>
      <w:r>
        <w:rPr>
          <w:sz w:val="18"/>
          <w:szCs w:val="18"/>
        </w:rPr>
        <w:t>VZ (</w:t>
      </w:r>
      <w:r w:rsidRPr="0000689C">
        <w:rPr>
          <w:sz w:val="18"/>
          <w:szCs w:val="18"/>
        </w:rPr>
        <w:t>bez DPH</w:t>
      </w:r>
      <w:r>
        <w:rPr>
          <w:sz w:val="18"/>
          <w:szCs w:val="18"/>
        </w:rPr>
        <w:t>)</w:t>
      </w:r>
      <w:r w:rsidRPr="0000689C">
        <w:rPr>
          <w:sz w:val="18"/>
          <w:szCs w:val="18"/>
        </w:rPr>
        <w:t xml:space="preserve"> ve výši 85 % způsobilých veřejných výdajů krytých z rozpočtu</w:t>
      </w:r>
      <w:r w:rsidRPr="00305D42">
        <w:rPr>
          <w:sz w:val="18"/>
          <w:szCs w:val="18"/>
        </w:rPr>
        <w:t xml:space="preserve"> </w:t>
      </w:r>
      <w:r w:rsidRPr="0000689C">
        <w:rPr>
          <w:sz w:val="18"/>
          <w:szCs w:val="18"/>
        </w:rPr>
        <w:t>EU.</w:t>
      </w:r>
    </w:p>
  </w:footnote>
  <w:footnote w:id="10">
    <w:p w:rsidR="002F157B" w:rsidRPr="0000689C" w:rsidRDefault="002F157B" w:rsidP="00305D42">
      <w:pPr>
        <w:pStyle w:val="Textpoznpodarou"/>
        <w:spacing w:after="0"/>
        <w:ind w:left="284" w:hanging="284"/>
        <w:rPr>
          <w:sz w:val="18"/>
          <w:szCs w:val="18"/>
        </w:rPr>
      </w:pPr>
      <w:r w:rsidRPr="00305D42">
        <w:rPr>
          <w:rStyle w:val="Znakapoznpodarou"/>
          <w:sz w:val="18"/>
          <w:szCs w:val="18"/>
        </w:rPr>
        <w:footnoteRef/>
      </w:r>
      <w:r w:rsidRPr="00305D42">
        <w:rPr>
          <w:sz w:val="18"/>
          <w:szCs w:val="18"/>
        </w:rPr>
        <w:t xml:space="preserve"> </w:t>
      </w:r>
      <w:r>
        <w:rPr>
          <w:sz w:val="18"/>
          <w:szCs w:val="18"/>
        </w:rPr>
        <w:tab/>
      </w:r>
      <w:r w:rsidRPr="0000689C">
        <w:rPr>
          <w:sz w:val="18"/>
          <w:szCs w:val="18"/>
        </w:rPr>
        <w:t>Podrobné informace jsou uvedeny v </w:t>
      </w:r>
      <w:r>
        <w:rPr>
          <w:sz w:val="18"/>
          <w:szCs w:val="18"/>
        </w:rPr>
        <w:t>p</w:t>
      </w:r>
      <w:r w:rsidRPr="0000689C">
        <w:rPr>
          <w:sz w:val="18"/>
          <w:szCs w:val="18"/>
        </w:rPr>
        <w:t>říloze 2.</w:t>
      </w:r>
    </w:p>
  </w:footnote>
  <w:footnote w:id="11">
    <w:p w:rsidR="002F157B" w:rsidRPr="00F86B35" w:rsidRDefault="002F157B" w:rsidP="00305D42">
      <w:pPr>
        <w:pStyle w:val="Textpoznpodarou"/>
        <w:spacing w:after="0"/>
        <w:ind w:left="284" w:hanging="284"/>
        <w:rPr>
          <w:sz w:val="18"/>
          <w:szCs w:val="18"/>
        </w:rPr>
      </w:pPr>
      <w:r w:rsidRPr="0083641C">
        <w:rPr>
          <w:rStyle w:val="Znakapoznpodarou"/>
          <w:sz w:val="18"/>
          <w:szCs w:val="18"/>
        </w:rPr>
        <w:footnoteRef/>
      </w:r>
      <w:r w:rsidRPr="0083641C">
        <w:rPr>
          <w:sz w:val="18"/>
          <w:szCs w:val="18"/>
        </w:rPr>
        <w:t xml:space="preserve"> </w:t>
      </w:r>
      <w:r>
        <w:rPr>
          <w:sz w:val="18"/>
          <w:szCs w:val="18"/>
        </w:rPr>
        <w:tab/>
      </w:r>
      <w:r w:rsidRPr="0083641C">
        <w:rPr>
          <w:rFonts w:cs="Arial"/>
          <w:sz w:val="18"/>
          <w:szCs w:val="18"/>
        </w:rPr>
        <w:t xml:space="preserve">Model odhadu použitého pro výpočet </w:t>
      </w:r>
      <w:r w:rsidRPr="00F86B35">
        <w:rPr>
          <w:rFonts w:cs="Arial"/>
          <w:sz w:val="18"/>
          <w:szCs w:val="18"/>
        </w:rPr>
        <w:t>navýšení ceny (1,2 %) zpracovaný MMR</w:t>
      </w:r>
      <w:r>
        <w:rPr>
          <w:rFonts w:cs="Arial"/>
          <w:sz w:val="18"/>
          <w:szCs w:val="18"/>
        </w:rPr>
        <w:t>.</w:t>
      </w:r>
    </w:p>
  </w:footnote>
  <w:footnote w:id="12">
    <w:p w:rsidR="002F157B" w:rsidRPr="002C1607" w:rsidRDefault="002F157B" w:rsidP="00305D42">
      <w:pPr>
        <w:pStyle w:val="Textpoznpodarou"/>
        <w:spacing w:after="0"/>
        <w:ind w:left="284" w:hanging="284"/>
        <w:rPr>
          <w:sz w:val="18"/>
          <w:szCs w:val="18"/>
        </w:rPr>
      </w:pPr>
      <w:r w:rsidRPr="002C1607">
        <w:rPr>
          <w:rStyle w:val="Znakapoznpodarou"/>
          <w:sz w:val="18"/>
          <w:szCs w:val="18"/>
        </w:rPr>
        <w:footnoteRef/>
      </w:r>
      <w:r w:rsidRPr="002C1607">
        <w:rPr>
          <w:sz w:val="18"/>
          <w:szCs w:val="18"/>
        </w:rPr>
        <w:t xml:space="preserve"> </w:t>
      </w:r>
      <w:r>
        <w:rPr>
          <w:sz w:val="18"/>
          <w:szCs w:val="18"/>
        </w:rPr>
        <w:tab/>
      </w:r>
      <w:r w:rsidRPr="002C1607">
        <w:rPr>
          <w:rFonts w:cs="Arial"/>
          <w:sz w:val="18"/>
          <w:szCs w:val="18"/>
        </w:rPr>
        <w:t>Smlouva CES 4983, VZ s poř. č. 9 z </w:t>
      </w:r>
      <w:r>
        <w:rPr>
          <w:rFonts w:cs="Arial"/>
          <w:sz w:val="18"/>
          <w:szCs w:val="18"/>
        </w:rPr>
        <w:t>p</w:t>
      </w:r>
      <w:r w:rsidRPr="002C1607">
        <w:rPr>
          <w:rFonts w:cs="Arial"/>
          <w:sz w:val="18"/>
          <w:szCs w:val="18"/>
        </w:rPr>
        <w:t>řílohy č. 2</w:t>
      </w:r>
      <w:r>
        <w:rPr>
          <w:rFonts w:cs="Arial"/>
          <w:sz w:val="18"/>
          <w:szCs w:val="18"/>
        </w:rPr>
        <w:t xml:space="preserve"> tohoto kontrolního závěru.</w:t>
      </w:r>
    </w:p>
  </w:footnote>
  <w:footnote w:id="13">
    <w:p w:rsidR="002F157B" w:rsidRPr="00F853C8" w:rsidRDefault="002F157B" w:rsidP="00305D42">
      <w:pPr>
        <w:pStyle w:val="Textpoznpodarou"/>
        <w:spacing w:after="0"/>
        <w:ind w:left="284" w:hanging="284"/>
        <w:rPr>
          <w:sz w:val="18"/>
          <w:szCs w:val="18"/>
        </w:rPr>
      </w:pPr>
      <w:r w:rsidRPr="00F853C8">
        <w:rPr>
          <w:rStyle w:val="Znakapoznpodarou"/>
          <w:sz w:val="18"/>
          <w:szCs w:val="18"/>
        </w:rPr>
        <w:footnoteRef/>
      </w:r>
      <w:r>
        <w:rPr>
          <w:sz w:val="18"/>
          <w:szCs w:val="18"/>
        </w:rPr>
        <w:t xml:space="preserve"> </w:t>
      </w:r>
      <w:r>
        <w:rPr>
          <w:sz w:val="18"/>
          <w:szCs w:val="18"/>
        </w:rPr>
        <w:tab/>
      </w:r>
      <w:r w:rsidRPr="00F853C8">
        <w:rPr>
          <w:sz w:val="18"/>
          <w:szCs w:val="18"/>
        </w:rPr>
        <w:t xml:space="preserve">Číselník NIPEZ </w:t>
      </w:r>
      <w:r>
        <w:rPr>
          <w:sz w:val="18"/>
          <w:szCs w:val="18"/>
        </w:rPr>
        <w:t>je</w:t>
      </w:r>
      <w:r w:rsidRPr="00F853C8">
        <w:rPr>
          <w:sz w:val="18"/>
          <w:szCs w:val="18"/>
        </w:rPr>
        <w:t xml:space="preserve"> speciální klasifikační číselník</w:t>
      </w:r>
      <w:r>
        <w:rPr>
          <w:sz w:val="18"/>
          <w:szCs w:val="18"/>
        </w:rPr>
        <w:t>, který</w:t>
      </w:r>
      <w:r w:rsidRPr="00F853C8">
        <w:rPr>
          <w:sz w:val="18"/>
          <w:szCs w:val="18"/>
        </w:rPr>
        <w:t xml:space="preserve"> obsahuje schválené položky zboží a služeb, </w:t>
      </w:r>
      <w:r>
        <w:rPr>
          <w:sz w:val="18"/>
          <w:szCs w:val="18"/>
        </w:rPr>
        <w:t>jež</w:t>
      </w:r>
      <w:r w:rsidRPr="00F853C8">
        <w:rPr>
          <w:sz w:val="18"/>
          <w:szCs w:val="18"/>
        </w:rPr>
        <w:t xml:space="preserve"> jsou předmětem trhu veřejných zakázek. Tento číselník vychází </w:t>
      </w:r>
      <w:r>
        <w:rPr>
          <w:sz w:val="18"/>
          <w:szCs w:val="18"/>
        </w:rPr>
        <w:t>z </w:t>
      </w:r>
      <w:r w:rsidRPr="00F853C8">
        <w:rPr>
          <w:sz w:val="18"/>
          <w:szCs w:val="18"/>
        </w:rPr>
        <w:t xml:space="preserve">kódů společného slovníku pro veřejné zakázky </w:t>
      </w:r>
      <w:proofErr w:type="spellStart"/>
      <w:r w:rsidRPr="00F853C8">
        <w:rPr>
          <w:sz w:val="18"/>
          <w:szCs w:val="18"/>
        </w:rPr>
        <w:t>CPV</w:t>
      </w:r>
      <w:proofErr w:type="spellEnd"/>
      <w:r w:rsidRPr="00F853C8">
        <w:rPr>
          <w:sz w:val="18"/>
          <w:szCs w:val="18"/>
        </w:rPr>
        <w:t xml:space="preserve"> (</w:t>
      </w:r>
      <w:proofErr w:type="spellStart"/>
      <w:r w:rsidRPr="00EB7E60">
        <w:rPr>
          <w:i/>
          <w:sz w:val="18"/>
          <w:szCs w:val="18"/>
        </w:rPr>
        <w:t>Common</w:t>
      </w:r>
      <w:proofErr w:type="spellEnd"/>
      <w:r w:rsidRPr="00EB7E60">
        <w:rPr>
          <w:i/>
          <w:sz w:val="18"/>
          <w:szCs w:val="18"/>
        </w:rPr>
        <w:t xml:space="preserve"> </w:t>
      </w:r>
      <w:proofErr w:type="spellStart"/>
      <w:r w:rsidRPr="00EB7E60">
        <w:rPr>
          <w:i/>
          <w:sz w:val="18"/>
          <w:szCs w:val="18"/>
        </w:rPr>
        <w:t>Procurement</w:t>
      </w:r>
      <w:proofErr w:type="spellEnd"/>
      <w:r w:rsidRPr="00EB7E60">
        <w:rPr>
          <w:i/>
          <w:sz w:val="18"/>
          <w:szCs w:val="18"/>
        </w:rPr>
        <w:t xml:space="preserve"> </w:t>
      </w:r>
      <w:proofErr w:type="spellStart"/>
      <w:r w:rsidRPr="00EB7E60">
        <w:rPr>
          <w:i/>
          <w:sz w:val="18"/>
          <w:szCs w:val="18"/>
        </w:rPr>
        <w:t>Vocabulary</w:t>
      </w:r>
      <w:proofErr w:type="spellEnd"/>
      <w:r w:rsidRPr="00F853C8">
        <w:rPr>
          <w:sz w:val="18"/>
          <w:szCs w:val="18"/>
        </w:rPr>
        <w:t>) a má stromovou strukturu, která usnadňuje</w:t>
      </w:r>
      <w:r>
        <w:rPr>
          <w:sz w:val="18"/>
          <w:szCs w:val="18"/>
        </w:rPr>
        <w:t xml:space="preserve"> vyhledávání koncové komodity a jejího</w:t>
      </w:r>
      <w:r w:rsidRPr="00F853C8">
        <w:rPr>
          <w:sz w:val="18"/>
          <w:szCs w:val="18"/>
        </w:rPr>
        <w:t xml:space="preserve"> kód</w:t>
      </w:r>
      <w:r>
        <w:rPr>
          <w:sz w:val="18"/>
          <w:szCs w:val="18"/>
        </w:rPr>
        <w:t>u</w:t>
      </w:r>
      <w:r w:rsidRPr="00F853C8">
        <w:rPr>
          <w:sz w:val="18"/>
          <w:szCs w:val="18"/>
        </w:rPr>
        <w:t>.</w:t>
      </w:r>
    </w:p>
  </w:footnote>
  <w:footnote w:id="14">
    <w:p w:rsidR="002F157B" w:rsidRPr="0000689C" w:rsidRDefault="002F157B" w:rsidP="001B72A1">
      <w:pPr>
        <w:pStyle w:val="Textpoznpodarou"/>
        <w:spacing w:after="0"/>
        <w:ind w:left="284" w:hanging="284"/>
        <w:jc w:val="left"/>
        <w:rPr>
          <w:sz w:val="18"/>
          <w:szCs w:val="18"/>
        </w:rPr>
      </w:pPr>
      <w:r w:rsidRPr="0000689C">
        <w:rPr>
          <w:rStyle w:val="Znakapoznpodarou"/>
          <w:sz w:val="18"/>
          <w:szCs w:val="18"/>
        </w:rPr>
        <w:footnoteRef/>
      </w:r>
      <w:r w:rsidRPr="0000689C">
        <w:rPr>
          <w:sz w:val="18"/>
          <w:szCs w:val="18"/>
        </w:rPr>
        <w:t xml:space="preserve"> </w:t>
      </w:r>
      <w:r w:rsidRPr="0000689C">
        <w:rPr>
          <w:sz w:val="18"/>
          <w:szCs w:val="18"/>
        </w:rPr>
        <w:tab/>
        <w:t>Jedná se o datový soubor</w:t>
      </w:r>
      <w:r>
        <w:rPr>
          <w:sz w:val="18"/>
          <w:szCs w:val="18"/>
        </w:rPr>
        <w:t xml:space="preserve"> </w:t>
      </w:r>
      <w:r w:rsidRPr="0000689C">
        <w:rPr>
          <w:sz w:val="18"/>
          <w:szCs w:val="18"/>
        </w:rPr>
        <w:t xml:space="preserve">MMR </w:t>
      </w:r>
      <w:r>
        <w:rPr>
          <w:sz w:val="18"/>
          <w:szCs w:val="18"/>
        </w:rPr>
        <w:t xml:space="preserve">poskytnutý </w:t>
      </w:r>
      <w:r w:rsidRPr="0000689C">
        <w:rPr>
          <w:sz w:val="18"/>
          <w:szCs w:val="18"/>
        </w:rPr>
        <w:t>dne 27. září 2013, který byl vygenerován z </w:t>
      </w:r>
      <w:r w:rsidRPr="001114AA">
        <w:rPr>
          <w:i/>
          <w:sz w:val="18"/>
          <w:szCs w:val="18"/>
        </w:rPr>
        <w:t>Informačního systému o veřejných zakázkách</w:t>
      </w:r>
      <w:r w:rsidRPr="0000689C">
        <w:rPr>
          <w:sz w:val="18"/>
          <w:szCs w:val="18"/>
        </w:rPr>
        <w:t>, kde jsou shromažďovány informace o stavu zakázek evidovaných na všech e-tržištích.</w:t>
      </w:r>
    </w:p>
  </w:footnote>
  <w:footnote w:id="15">
    <w:p w:rsidR="002F157B" w:rsidRPr="0000689C" w:rsidRDefault="002F157B" w:rsidP="001B72A1">
      <w:pPr>
        <w:pStyle w:val="Textpoznpodarou"/>
        <w:spacing w:after="0"/>
        <w:ind w:left="284" w:hanging="284"/>
        <w:rPr>
          <w:sz w:val="18"/>
          <w:szCs w:val="18"/>
        </w:rPr>
      </w:pPr>
      <w:r w:rsidRPr="0000689C">
        <w:rPr>
          <w:rStyle w:val="Znakapoznpodarou"/>
          <w:sz w:val="18"/>
          <w:szCs w:val="18"/>
        </w:rPr>
        <w:footnoteRef/>
      </w:r>
      <w:r>
        <w:rPr>
          <w:sz w:val="18"/>
          <w:szCs w:val="18"/>
        </w:rPr>
        <w:t xml:space="preserve"> </w:t>
      </w:r>
      <w:r>
        <w:rPr>
          <w:sz w:val="18"/>
          <w:szCs w:val="18"/>
        </w:rPr>
        <w:tab/>
        <w:t>Rozumí se VZ v </w:t>
      </w:r>
      <w:r w:rsidRPr="0000689C">
        <w:rPr>
          <w:sz w:val="18"/>
          <w:szCs w:val="18"/>
        </w:rPr>
        <w:t>zadávací</w:t>
      </w:r>
      <w:r>
        <w:rPr>
          <w:sz w:val="18"/>
          <w:szCs w:val="18"/>
        </w:rPr>
        <w:t>m</w:t>
      </w:r>
      <w:r w:rsidRPr="0000689C">
        <w:rPr>
          <w:sz w:val="18"/>
          <w:szCs w:val="18"/>
        </w:rPr>
        <w:t xml:space="preserve"> řízení, zad</w:t>
      </w:r>
      <w:r>
        <w:rPr>
          <w:sz w:val="18"/>
          <w:szCs w:val="18"/>
        </w:rPr>
        <w:t>ané</w:t>
      </w:r>
      <w:r w:rsidRPr="0000689C">
        <w:rPr>
          <w:sz w:val="18"/>
          <w:szCs w:val="18"/>
        </w:rPr>
        <w:t xml:space="preserve"> </w:t>
      </w:r>
      <w:r>
        <w:rPr>
          <w:sz w:val="18"/>
          <w:szCs w:val="18"/>
        </w:rPr>
        <w:t xml:space="preserve">i </w:t>
      </w:r>
      <w:r w:rsidRPr="0000689C">
        <w:rPr>
          <w:sz w:val="18"/>
          <w:szCs w:val="18"/>
        </w:rPr>
        <w:t>zrušen</w:t>
      </w:r>
      <w:r>
        <w:rPr>
          <w:sz w:val="18"/>
          <w:szCs w:val="18"/>
        </w:rPr>
        <w:t>é</w:t>
      </w:r>
      <w:r w:rsidRPr="0000689C">
        <w:rPr>
          <w:sz w:val="18"/>
          <w:szCs w:val="18"/>
        </w:rPr>
        <w:t>.</w:t>
      </w:r>
    </w:p>
  </w:footnote>
  <w:footnote w:id="16">
    <w:p w:rsidR="002F157B" w:rsidRPr="001B72A1" w:rsidRDefault="002F157B" w:rsidP="001B72A1">
      <w:pPr>
        <w:pStyle w:val="Textpoznpodarou"/>
        <w:ind w:left="284" w:hanging="284"/>
        <w:rPr>
          <w:sz w:val="18"/>
          <w:szCs w:val="18"/>
        </w:rPr>
      </w:pPr>
      <w:r w:rsidRPr="001B72A1">
        <w:rPr>
          <w:rStyle w:val="Znakapoznpodarou"/>
          <w:sz w:val="18"/>
          <w:szCs w:val="18"/>
        </w:rPr>
        <w:footnoteRef/>
      </w:r>
      <w:r w:rsidRPr="001B72A1">
        <w:rPr>
          <w:sz w:val="18"/>
          <w:szCs w:val="18"/>
        </w:rPr>
        <w:t xml:space="preserve"> </w:t>
      </w:r>
      <w:r w:rsidRPr="001B72A1">
        <w:rPr>
          <w:sz w:val="18"/>
          <w:szCs w:val="18"/>
        </w:rPr>
        <w:tab/>
      </w:r>
      <w:r w:rsidRPr="0000689C">
        <w:rPr>
          <w:sz w:val="18"/>
          <w:szCs w:val="18"/>
        </w:rPr>
        <w:t xml:space="preserve">Zdroj: </w:t>
      </w:r>
      <w:r w:rsidRPr="0000689C">
        <w:rPr>
          <w:rFonts w:cs="Arial"/>
          <w:sz w:val="18"/>
          <w:szCs w:val="18"/>
        </w:rPr>
        <w:t>Model odhadu použitého pro výpočet navýšení ceny (1,2 %) zpracovaný MMR.</w:t>
      </w:r>
    </w:p>
  </w:footnote>
  <w:footnote w:id="17">
    <w:p w:rsidR="002F157B" w:rsidRPr="00F853C8" w:rsidRDefault="002F157B" w:rsidP="006A6E87">
      <w:pPr>
        <w:pStyle w:val="Textpoznpodarou"/>
        <w:spacing w:after="0"/>
        <w:ind w:left="284" w:hanging="284"/>
        <w:rPr>
          <w:sz w:val="18"/>
          <w:szCs w:val="18"/>
        </w:rPr>
      </w:pPr>
      <w:r w:rsidRPr="00F853C8">
        <w:rPr>
          <w:rStyle w:val="Znakapoznpodarou"/>
          <w:sz w:val="18"/>
          <w:szCs w:val="18"/>
        </w:rPr>
        <w:footnoteRef/>
      </w:r>
      <w:r w:rsidRPr="00F853C8">
        <w:rPr>
          <w:sz w:val="18"/>
          <w:szCs w:val="18"/>
        </w:rPr>
        <w:t xml:space="preserve"> </w:t>
      </w:r>
      <w:r>
        <w:rPr>
          <w:sz w:val="18"/>
          <w:szCs w:val="18"/>
        </w:rPr>
        <w:tab/>
        <w:t>Z toho 434 zadavatelů bylo registrováno dle UV ze dne 10. 5. 2010 č. 343 povinně (tj. 90 % ze všech 482 povinných zadavatelů).</w:t>
      </w:r>
    </w:p>
  </w:footnote>
  <w:footnote w:id="18">
    <w:p w:rsidR="002F157B" w:rsidRPr="008875A3" w:rsidRDefault="002F157B" w:rsidP="006A6E87">
      <w:pPr>
        <w:pStyle w:val="Textpoznpodarou"/>
        <w:spacing w:after="0"/>
        <w:ind w:left="284" w:hanging="284"/>
        <w:rPr>
          <w:sz w:val="18"/>
          <w:szCs w:val="18"/>
        </w:rPr>
      </w:pPr>
      <w:r w:rsidRPr="008875A3">
        <w:rPr>
          <w:rStyle w:val="Znakapoznpodarou"/>
          <w:sz w:val="18"/>
          <w:szCs w:val="18"/>
        </w:rPr>
        <w:footnoteRef/>
      </w:r>
      <w:r w:rsidRPr="008875A3">
        <w:rPr>
          <w:sz w:val="18"/>
          <w:szCs w:val="18"/>
        </w:rPr>
        <w:t xml:space="preserve"> </w:t>
      </w:r>
      <w:r>
        <w:rPr>
          <w:sz w:val="18"/>
          <w:szCs w:val="18"/>
        </w:rPr>
        <w:tab/>
      </w:r>
      <w:r w:rsidRPr="008875A3">
        <w:rPr>
          <w:sz w:val="18"/>
          <w:szCs w:val="18"/>
        </w:rPr>
        <w:t xml:space="preserve">Zdroj: </w:t>
      </w:r>
      <w:proofErr w:type="spellStart"/>
      <w:r w:rsidRPr="008875A3">
        <w:rPr>
          <w:sz w:val="18"/>
          <w:szCs w:val="18"/>
        </w:rPr>
        <w:t>MMR</w:t>
      </w:r>
      <w:proofErr w:type="spellEnd"/>
      <w:r>
        <w:rPr>
          <w:sz w:val="18"/>
          <w:szCs w:val="18"/>
        </w:rPr>
        <w:t xml:space="preserve"> – </w:t>
      </w:r>
      <w:proofErr w:type="spellStart"/>
      <w:r w:rsidRPr="008875A3">
        <w:rPr>
          <w:sz w:val="18"/>
          <w:szCs w:val="18"/>
        </w:rPr>
        <w:t>dataset</w:t>
      </w:r>
      <w:proofErr w:type="spellEnd"/>
      <w:r w:rsidRPr="008875A3">
        <w:rPr>
          <w:sz w:val="18"/>
          <w:szCs w:val="18"/>
        </w:rPr>
        <w:t xml:space="preserve"> uživatelů</w:t>
      </w:r>
      <w:r>
        <w:rPr>
          <w:sz w:val="18"/>
          <w:szCs w:val="18"/>
        </w:rPr>
        <w:t xml:space="preserve"> e-tržišť.</w:t>
      </w:r>
    </w:p>
  </w:footnote>
  <w:footnote w:id="19">
    <w:p w:rsidR="002F157B" w:rsidRPr="00F853C8" w:rsidRDefault="002F157B" w:rsidP="006A6E87">
      <w:pPr>
        <w:pStyle w:val="Textpoznpodarou"/>
        <w:spacing w:after="0"/>
        <w:ind w:left="284" w:hanging="284"/>
        <w:rPr>
          <w:sz w:val="18"/>
          <w:szCs w:val="18"/>
        </w:rPr>
      </w:pPr>
      <w:r w:rsidRPr="00F853C8">
        <w:rPr>
          <w:rStyle w:val="Znakapoznpodarou"/>
          <w:sz w:val="18"/>
          <w:szCs w:val="18"/>
        </w:rPr>
        <w:footnoteRef/>
      </w:r>
      <w:r w:rsidRPr="00F853C8">
        <w:rPr>
          <w:sz w:val="18"/>
          <w:szCs w:val="18"/>
        </w:rPr>
        <w:t xml:space="preserve"> </w:t>
      </w:r>
      <w:r>
        <w:rPr>
          <w:sz w:val="18"/>
          <w:szCs w:val="18"/>
        </w:rPr>
        <w:tab/>
      </w:r>
      <w:r w:rsidRPr="00F853C8">
        <w:rPr>
          <w:sz w:val="18"/>
          <w:szCs w:val="18"/>
        </w:rPr>
        <w:t>Toto šetření bylo realizováno prostřednictvím on</w:t>
      </w:r>
      <w:r>
        <w:rPr>
          <w:sz w:val="18"/>
          <w:szCs w:val="18"/>
        </w:rPr>
        <w:t>-</w:t>
      </w:r>
      <w:r w:rsidRPr="00F853C8">
        <w:rPr>
          <w:sz w:val="18"/>
          <w:szCs w:val="18"/>
        </w:rPr>
        <w:t xml:space="preserve">line dotazníku </w:t>
      </w:r>
      <w:r w:rsidRPr="00F853C8">
        <w:rPr>
          <w:rFonts w:cs="Arial"/>
          <w:sz w:val="18"/>
          <w:szCs w:val="18"/>
        </w:rPr>
        <w:t>(www.i-dotaznik.cz)</w:t>
      </w:r>
      <w:r>
        <w:rPr>
          <w:rFonts w:cs="Arial"/>
          <w:sz w:val="18"/>
          <w:szCs w:val="18"/>
        </w:rPr>
        <w:t>.</w:t>
      </w:r>
      <w:r w:rsidRPr="00F853C8">
        <w:rPr>
          <w:rFonts w:cs="Arial"/>
          <w:sz w:val="18"/>
          <w:szCs w:val="18"/>
        </w:rPr>
        <w:t xml:space="preserve"> </w:t>
      </w:r>
    </w:p>
  </w:footnote>
  <w:footnote w:id="20">
    <w:p w:rsidR="002F157B" w:rsidRPr="002C1607" w:rsidRDefault="002F157B" w:rsidP="00CB0B4E">
      <w:pPr>
        <w:pStyle w:val="Textpoznpodarou"/>
        <w:spacing w:after="0"/>
        <w:ind w:left="284" w:hanging="284"/>
        <w:rPr>
          <w:sz w:val="18"/>
          <w:szCs w:val="18"/>
        </w:rPr>
      </w:pPr>
      <w:r w:rsidRPr="002C1607">
        <w:rPr>
          <w:rStyle w:val="Znakapoznpodarou"/>
          <w:sz w:val="18"/>
          <w:szCs w:val="18"/>
        </w:rPr>
        <w:footnoteRef/>
      </w:r>
      <w:r>
        <w:rPr>
          <w:sz w:val="18"/>
          <w:szCs w:val="18"/>
        </w:rPr>
        <w:t xml:space="preserve"> </w:t>
      </w:r>
      <w:r>
        <w:rPr>
          <w:sz w:val="18"/>
          <w:szCs w:val="18"/>
        </w:rPr>
        <w:tab/>
      </w:r>
      <w:r w:rsidRPr="002C1607">
        <w:rPr>
          <w:sz w:val="18"/>
          <w:szCs w:val="18"/>
        </w:rPr>
        <w:t>Aditivní služby jsou služby, které poskytuje zadavatelům i dodavatelům</w:t>
      </w:r>
      <w:r>
        <w:rPr>
          <w:sz w:val="18"/>
          <w:szCs w:val="18"/>
        </w:rPr>
        <w:t xml:space="preserve"> příslušný provozovatel e-tržiště. Jedná se o deset druhů služeb vymezených v koncesní smlouvě a platby za jejich využití hradí konkrétní uživatelé.</w:t>
      </w:r>
    </w:p>
  </w:footnote>
  <w:footnote w:id="21">
    <w:p w:rsidR="002F157B" w:rsidRPr="002C1607" w:rsidRDefault="002F157B" w:rsidP="00CB0B4E">
      <w:pPr>
        <w:pStyle w:val="Textpoznpodarou"/>
        <w:spacing w:after="0"/>
        <w:ind w:left="284" w:hanging="284"/>
        <w:rPr>
          <w:sz w:val="18"/>
          <w:szCs w:val="18"/>
        </w:rPr>
      </w:pPr>
      <w:r w:rsidRPr="002C1607">
        <w:rPr>
          <w:rStyle w:val="Znakapoznpodarou"/>
          <w:sz w:val="18"/>
          <w:szCs w:val="18"/>
        </w:rPr>
        <w:footnoteRef/>
      </w:r>
      <w:r w:rsidRPr="002C1607">
        <w:rPr>
          <w:sz w:val="18"/>
          <w:szCs w:val="18"/>
        </w:rPr>
        <w:t xml:space="preserve"> </w:t>
      </w:r>
      <w:r>
        <w:rPr>
          <w:sz w:val="18"/>
          <w:szCs w:val="18"/>
        </w:rPr>
        <w:tab/>
      </w:r>
      <w:r w:rsidRPr="002C1607">
        <w:rPr>
          <w:sz w:val="18"/>
          <w:szCs w:val="18"/>
        </w:rPr>
        <w:t xml:space="preserve">Viz </w:t>
      </w:r>
      <w:r>
        <w:rPr>
          <w:sz w:val="18"/>
          <w:szCs w:val="18"/>
        </w:rPr>
        <w:t>p</w:t>
      </w:r>
      <w:r w:rsidRPr="002C1607">
        <w:rPr>
          <w:sz w:val="18"/>
          <w:szCs w:val="18"/>
        </w:rPr>
        <w:t>říloha č. 1 kontrolního závěru</w:t>
      </w:r>
      <w:r>
        <w:rPr>
          <w:sz w:val="18"/>
          <w:szCs w:val="18"/>
        </w:rPr>
        <w:t>.</w:t>
      </w:r>
    </w:p>
  </w:footnote>
  <w:footnote w:id="22">
    <w:p w:rsidR="002F157B" w:rsidRPr="00995000" w:rsidRDefault="002F157B" w:rsidP="00995000">
      <w:pPr>
        <w:pStyle w:val="Textpoznpodarou"/>
        <w:spacing w:after="0"/>
        <w:ind w:left="284" w:hanging="284"/>
        <w:rPr>
          <w:sz w:val="18"/>
          <w:szCs w:val="18"/>
        </w:rPr>
      </w:pPr>
      <w:r w:rsidRPr="00995000">
        <w:rPr>
          <w:rStyle w:val="Znakapoznpodarou"/>
          <w:sz w:val="18"/>
          <w:szCs w:val="18"/>
        </w:rPr>
        <w:footnoteRef/>
      </w:r>
      <w:r w:rsidRPr="00995000">
        <w:rPr>
          <w:sz w:val="18"/>
          <w:szCs w:val="18"/>
        </w:rPr>
        <w:t xml:space="preserve"> </w:t>
      </w:r>
      <w:r>
        <w:rPr>
          <w:sz w:val="18"/>
          <w:szCs w:val="18"/>
        </w:rPr>
        <w:tab/>
      </w:r>
      <w:r w:rsidRPr="0000689C">
        <w:rPr>
          <w:sz w:val="18"/>
          <w:szCs w:val="18"/>
        </w:rPr>
        <w:t xml:space="preserve">Zdroj: </w:t>
      </w:r>
      <w:r w:rsidRPr="00995000">
        <w:rPr>
          <w:rFonts w:cs="Arial"/>
          <w:i/>
          <w:sz w:val="18"/>
          <w:szCs w:val="18"/>
        </w:rPr>
        <w:t xml:space="preserve">Strategie používání e-tržiště pro veřejnou správu dle opatření </w:t>
      </w:r>
      <w:proofErr w:type="gramStart"/>
      <w:r w:rsidRPr="00995000">
        <w:rPr>
          <w:rFonts w:cs="Arial"/>
          <w:i/>
          <w:sz w:val="18"/>
          <w:szCs w:val="18"/>
        </w:rPr>
        <w:t>J.6 Národního</w:t>
      </w:r>
      <w:proofErr w:type="gramEnd"/>
      <w:r w:rsidRPr="00995000">
        <w:rPr>
          <w:rFonts w:cs="Arial"/>
          <w:i/>
          <w:sz w:val="18"/>
          <w:szCs w:val="18"/>
        </w:rPr>
        <w:t xml:space="preserve"> plánu</w:t>
      </w:r>
      <w:r w:rsidRPr="0000689C">
        <w:rPr>
          <w:rFonts w:cs="Arial"/>
          <w:sz w:val="18"/>
          <w:szCs w:val="18"/>
        </w:rPr>
        <w:t xml:space="preserve">, dokument vzat na vědomí </w:t>
      </w:r>
      <w:r>
        <w:rPr>
          <w:rFonts w:cs="Arial"/>
          <w:sz w:val="18"/>
          <w:szCs w:val="18"/>
        </w:rPr>
        <w:t>usnesením vlády ze dne 10. 5. 2010</w:t>
      </w:r>
      <w:r w:rsidRPr="0000689C">
        <w:rPr>
          <w:rFonts w:cs="Arial"/>
          <w:sz w:val="18"/>
          <w:szCs w:val="18"/>
        </w:rPr>
        <w:t xml:space="preserve"> č. 343.</w:t>
      </w:r>
    </w:p>
  </w:footnote>
  <w:footnote w:id="23">
    <w:p w:rsidR="002F157B" w:rsidRPr="006A6FE2" w:rsidRDefault="002F157B" w:rsidP="00995000">
      <w:pPr>
        <w:pStyle w:val="Textpoznpodarou"/>
        <w:spacing w:after="0"/>
        <w:ind w:left="284" w:hanging="284"/>
        <w:rPr>
          <w:rFonts w:cs="Arial"/>
          <w:sz w:val="18"/>
          <w:szCs w:val="18"/>
        </w:rPr>
      </w:pPr>
      <w:r w:rsidRPr="0000689C">
        <w:rPr>
          <w:rStyle w:val="Znakapoznpodarou"/>
          <w:sz w:val="18"/>
          <w:szCs w:val="18"/>
        </w:rPr>
        <w:footnoteRef/>
      </w:r>
      <w:r w:rsidRPr="0000689C">
        <w:rPr>
          <w:sz w:val="18"/>
          <w:szCs w:val="18"/>
        </w:rPr>
        <w:t xml:space="preserve"> </w:t>
      </w:r>
      <w:r>
        <w:rPr>
          <w:sz w:val="18"/>
          <w:szCs w:val="18"/>
        </w:rPr>
        <w:tab/>
      </w:r>
      <w:r w:rsidRPr="0000689C">
        <w:rPr>
          <w:sz w:val="18"/>
          <w:szCs w:val="18"/>
        </w:rPr>
        <w:t xml:space="preserve">Data byla očištěna </w:t>
      </w:r>
      <w:r w:rsidRPr="0000689C">
        <w:rPr>
          <w:rFonts w:cs="Arial"/>
          <w:sz w:val="18"/>
          <w:szCs w:val="18"/>
        </w:rPr>
        <w:t xml:space="preserve">o zakázky s uvedenou chybou </w:t>
      </w:r>
      <w:r>
        <w:rPr>
          <w:rFonts w:cs="Arial"/>
          <w:sz w:val="18"/>
          <w:szCs w:val="18"/>
        </w:rPr>
        <w:t>(</w:t>
      </w:r>
      <w:r w:rsidRPr="0000689C">
        <w:rPr>
          <w:rFonts w:cs="Arial"/>
          <w:sz w:val="18"/>
          <w:szCs w:val="18"/>
        </w:rPr>
        <w:t>např. neuvedena celková smluvní cena</w:t>
      </w:r>
      <w:r>
        <w:rPr>
          <w:rFonts w:cs="Arial"/>
          <w:sz w:val="18"/>
          <w:szCs w:val="18"/>
        </w:rPr>
        <w:t>)</w:t>
      </w:r>
      <w:r w:rsidRPr="0000689C">
        <w:rPr>
          <w:rFonts w:cs="Arial"/>
          <w:sz w:val="18"/>
          <w:szCs w:val="18"/>
        </w:rPr>
        <w:t xml:space="preserve"> a následně o odlehl</w:t>
      </w:r>
      <w:r>
        <w:rPr>
          <w:rFonts w:cs="Arial"/>
          <w:sz w:val="18"/>
          <w:szCs w:val="18"/>
        </w:rPr>
        <w:t>é</w:t>
      </w:r>
      <w:r w:rsidRPr="0000689C">
        <w:rPr>
          <w:rFonts w:cs="Arial"/>
          <w:sz w:val="18"/>
          <w:szCs w:val="18"/>
        </w:rPr>
        <w:t xml:space="preserve"> </w:t>
      </w:r>
      <w:r>
        <w:rPr>
          <w:rFonts w:cs="Arial"/>
          <w:sz w:val="18"/>
          <w:szCs w:val="18"/>
        </w:rPr>
        <w:t>hodnoty</w:t>
      </w:r>
      <w:r w:rsidRPr="0000689C">
        <w:rPr>
          <w:rFonts w:cs="Arial"/>
          <w:sz w:val="18"/>
          <w:szCs w:val="18"/>
        </w:rPr>
        <w:t xml:space="preserve"> detekovan</w:t>
      </w:r>
      <w:r>
        <w:rPr>
          <w:rFonts w:cs="Arial"/>
          <w:sz w:val="18"/>
          <w:szCs w:val="18"/>
        </w:rPr>
        <w:t>é</w:t>
      </w:r>
      <w:r w:rsidRPr="0000689C">
        <w:rPr>
          <w:rFonts w:cs="Arial"/>
          <w:sz w:val="18"/>
          <w:szCs w:val="18"/>
        </w:rPr>
        <w:t xml:space="preserve"> pomocí metody tzv. „vnitřní hradby“.</w:t>
      </w:r>
      <w:r w:rsidRPr="0000689C">
        <w:rPr>
          <w:rStyle w:val="TextbublinyChar"/>
          <w:rFonts w:cs="Arial"/>
          <w:sz w:val="18"/>
          <w:szCs w:val="18"/>
        </w:rPr>
        <w:t xml:space="preserve"> </w:t>
      </w:r>
      <w:r w:rsidRPr="006A6FE2">
        <w:rPr>
          <w:rStyle w:val="TextbublinyChar"/>
          <w:rFonts w:ascii="Arial" w:hAnsi="Arial" w:cs="Arial"/>
          <w:sz w:val="18"/>
          <w:szCs w:val="18"/>
        </w:rPr>
        <w:t>Za odlehlou se považuje taková</w:t>
      </w:r>
      <w:r w:rsidRPr="006A6FE2">
        <w:rPr>
          <w:rFonts w:cs="Arial"/>
          <w:sz w:val="18"/>
          <w:szCs w:val="18"/>
        </w:rPr>
        <w:t xml:space="preserve"> hodnota, která je od dolního nebo horního </w:t>
      </w:r>
      <w:proofErr w:type="spellStart"/>
      <w:r w:rsidRPr="006A6FE2">
        <w:rPr>
          <w:rFonts w:cs="Arial"/>
          <w:sz w:val="18"/>
          <w:szCs w:val="18"/>
        </w:rPr>
        <w:t>kvartilu</w:t>
      </w:r>
      <w:proofErr w:type="spellEnd"/>
      <w:r w:rsidRPr="006A6FE2">
        <w:rPr>
          <w:rFonts w:cs="Arial"/>
          <w:sz w:val="18"/>
          <w:szCs w:val="18"/>
        </w:rPr>
        <w:t xml:space="preserve"> vzdálena o více než 1,5 násobek </w:t>
      </w:r>
      <w:proofErr w:type="spellStart"/>
      <w:r w:rsidRPr="006A6FE2">
        <w:rPr>
          <w:rFonts w:cs="Arial"/>
          <w:sz w:val="18"/>
          <w:szCs w:val="18"/>
        </w:rPr>
        <w:t>interkvartilového</w:t>
      </w:r>
      <w:proofErr w:type="spellEnd"/>
      <w:r w:rsidRPr="006A6FE2">
        <w:rPr>
          <w:rFonts w:cs="Arial"/>
          <w:sz w:val="18"/>
          <w:szCs w:val="18"/>
        </w:rPr>
        <w:t xml:space="preserve"> rozpětí.</w:t>
      </w:r>
    </w:p>
  </w:footnote>
  <w:footnote w:id="24">
    <w:p w:rsidR="002F157B" w:rsidRPr="0096519F" w:rsidRDefault="002F157B" w:rsidP="001668DA">
      <w:pPr>
        <w:pStyle w:val="Textpoznpodarou"/>
        <w:spacing w:after="0"/>
        <w:ind w:left="284" w:hanging="284"/>
        <w:rPr>
          <w:sz w:val="18"/>
          <w:szCs w:val="18"/>
        </w:rPr>
      </w:pPr>
      <w:r w:rsidRPr="0096519F">
        <w:rPr>
          <w:rStyle w:val="Znakapoznpodarou"/>
          <w:sz w:val="18"/>
          <w:szCs w:val="18"/>
        </w:rPr>
        <w:footnoteRef/>
      </w:r>
      <w:r w:rsidRPr="0096519F">
        <w:rPr>
          <w:sz w:val="18"/>
          <w:szCs w:val="18"/>
        </w:rPr>
        <w:t xml:space="preserve"> </w:t>
      </w:r>
      <w:r>
        <w:rPr>
          <w:sz w:val="18"/>
          <w:szCs w:val="18"/>
        </w:rPr>
        <w:tab/>
      </w:r>
      <w:r w:rsidRPr="0096519F">
        <w:rPr>
          <w:sz w:val="18"/>
          <w:szCs w:val="18"/>
        </w:rPr>
        <w:t>U MMR se jednalo o 16 VZ, u MSp o 15 VZ, KSZ ÚL o 17 VZ a KS ÚL o 19 VZ.</w:t>
      </w:r>
    </w:p>
  </w:footnote>
  <w:footnote w:id="25">
    <w:p w:rsidR="002F157B" w:rsidRPr="00F853C8" w:rsidRDefault="002F157B" w:rsidP="001668DA">
      <w:pPr>
        <w:pStyle w:val="Textpoznpodarou"/>
        <w:spacing w:after="0"/>
        <w:ind w:left="284" w:hanging="284"/>
        <w:rPr>
          <w:sz w:val="18"/>
          <w:szCs w:val="18"/>
        </w:rPr>
      </w:pPr>
      <w:r w:rsidRPr="00F853C8">
        <w:rPr>
          <w:rStyle w:val="Znakapoznpodarou"/>
          <w:sz w:val="18"/>
          <w:szCs w:val="18"/>
        </w:rPr>
        <w:footnoteRef/>
      </w:r>
      <w:r w:rsidRPr="00F853C8">
        <w:rPr>
          <w:sz w:val="18"/>
          <w:szCs w:val="18"/>
        </w:rPr>
        <w:t xml:space="preserve"> </w:t>
      </w:r>
      <w:r>
        <w:rPr>
          <w:sz w:val="18"/>
          <w:szCs w:val="18"/>
        </w:rPr>
        <w:tab/>
      </w:r>
      <w:r w:rsidRPr="00F853C8">
        <w:rPr>
          <w:sz w:val="18"/>
          <w:szCs w:val="18"/>
        </w:rPr>
        <w:t>Přesný objem zakázek u e-tržiš</w:t>
      </w:r>
      <w:r>
        <w:rPr>
          <w:sz w:val="18"/>
          <w:szCs w:val="18"/>
        </w:rPr>
        <w:t>ť</w:t>
      </w:r>
      <w:r w:rsidRPr="00F853C8">
        <w:rPr>
          <w:sz w:val="18"/>
          <w:szCs w:val="18"/>
        </w:rPr>
        <w:t xml:space="preserve"> SEPO a E-ZAK nebyl </w:t>
      </w:r>
      <w:r>
        <w:rPr>
          <w:sz w:val="18"/>
          <w:szCs w:val="18"/>
        </w:rPr>
        <w:t>ve statistikách MMR u</w:t>
      </w:r>
      <w:r w:rsidRPr="00F853C8">
        <w:rPr>
          <w:sz w:val="18"/>
          <w:szCs w:val="18"/>
        </w:rPr>
        <w:t>veřejně</w:t>
      </w:r>
      <w:r>
        <w:rPr>
          <w:sz w:val="18"/>
          <w:szCs w:val="18"/>
        </w:rPr>
        <w:t>n.</w:t>
      </w:r>
    </w:p>
  </w:footnote>
  <w:footnote w:id="26">
    <w:p w:rsidR="002F157B" w:rsidRPr="00AF7C2F" w:rsidRDefault="002F157B" w:rsidP="001668DA">
      <w:pPr>
        <w:pStyle w:val="Textpoznpodarou"/>
        <w:ind w:left="284" w:hanging="284"/>
        <w:rPr>
          <w:sz w:val="18"/>
          <w:szCs w:val="18"/>
        </w:rPr>
      </w:pPr>
      <w:r w:rsidRPr="00AF7C2F">
        <w:rPr>
          <w:rStyle w:val="Znakapoznpodarou"/>
          <w:sz w:val="18"/>
          <w:szCs w:val="18"/>
        </w:rPr>
        <w:footnoteRef/>
      </w:r>
      <w:r w:rsidRPr="00AF7C2F">
        <w:rPr>
          <w:sz w:val="18"/>
          <w:szCs w:val="18"/>
        </w:rPr>
        <w:t xml:space="preserve"> </w:t>
      </w:r>
      <w:r>
        <w:rPr>
          <w:sz w:val="18"/>
          <w:szCs w:val="18"/>
        </w:rPr>
        <w:tab/>
      </w:r>
      <w:r w:rsidRPr="00AF7C2F">
        <w:rPr>
          <w:sz w:val="18"/>
          <w:szCs w:val="18"/>
        </w:rPr>
        <w:t xml:space="preserve">Rejstřík veřejných zakázek je opatření zavedené </w:t>
      </w:r>
      <w:r>
        <w:rPr>
          <w:sz w:val="18"/>
          <w:szCs w:val="18"/>
        </w:rPr>
        <w:t>i</w:t>
      </w:r>
      <w:r w:rsidRPr="00AF7C2F">
        <w:rPr>
          <w:sz w:val="18"/>
          <w:szCs w:val="18"/>
        </w:rPr>
        <w:t>nstrukcí Ministerstva</w:t>
      </w:r>
      <w:r w:rsidRPr="00AF7C2F">
        <w:rPr>
          <w:rFonts w:cs="Arial"/>
          <w:sz w:val="18"/>
          <w:szCs w:val="18"/>
        </w:rPr>
        <w:t xml:space="preserve"> spravedlnosti ze dne 17. června 2011, č.</w:t>
      </w:r>
      <w:r>
        <w:rPr>
          <w:rFonts w:cs="Arial"/>
          <w:sz w:val="18"/>
          <w:szCs w:val="18"/>
        </w:rPr>
        <w:t> </w:t>
      </w:r>
      <w:r w:rsidRPr="00AF7C2F">
        <w:rPr>
          <w:rFonts w:cs="Arial"/>
          <w:sz w:val="18"/>
          <w:szCs w:val="18"/>
        </w:rPr>
        <w:t>j.:</w:t>
      </w:r>
      <w:r>
        <w:rPr>
          <w:rFonts w:cs="Arial"/>
          <w:sz w:val="18"/>
          <w:szCs w:val="18"/>
        </w:rPr>
        <w:t> </w:t>
      </w:r>
      <w:r w:rsidRPr="00AF7C2F">
        <w:rPr>
          <w:rFonts w:cs="Arial"/>
          <w:sz w:val="18"/>
          <w:szCs w:val="18"/>
        </w:rPr>
        <w:t>65/2011-INV-SP, o zadávání veřejných zakázek v resortu Ministerstva spravedlnosti</w:t>
      </w:r>
      <w:r>
        <w:rPr>
          <w:rFonts w:cs="Arial"/>
          <w:sz w:val="18"/>
          <w:szCs w:val="18"/>
        </w:rPr>
        <w:t>,</w:t>
      </w:r>
      <w:r w:rsidRPr="00AF7C2F">
        <w:rPr>
          <w:rFonts w:cs="Arial"/>
          <w:sz w:val="18"/>
          <w:szCs w:val="18"/>
        </w:rPr>
        <w:t xml:space="preserve"> </w:t>
      </w:r>
      <w:r>
        <w:rPr>
          <w:rFonts w:cs="Arial"/>
          <w:sz w:val="18"/>
          <w:szCs w:val="18"/>
        </w:rPr>
        <w:t xml:space="preserve">v platném znění. </w:t>
      </w:r>
    </w:p>
  </w:footnote>
  <w:footnote w:id="27">
    <w:p w:rsidR="002F157B" w:rsidRPr="001668DA" w:rsidRDefault="002F157B" w:rsidP="001668DA">
      <w:pPr>
        <w:pStyle w:val="Textpoznpodarou"/>
        <w:ind w:left="284" w:hanging="284"/>
        <w:rPr>
          <w:sz w:val="18"/>
          <w:szCs w:val="18"/>
        </w:rPr>
      </w:pPr>
      <w:r w:rsidRPr="001668DA">
        <w:rPr>
          <w:rStyle w:val="Znakapoznpodarou"/>
          <w:sz w:val="18"/>
          <w:szCs w:val="18"/>
        </w:rPr>
        <w:footnoteRef/>
      </w:r>
      <w:r w:rsidRPr="001668DA">
        <w:rPr>
          <w:sz w:val="18"/>
          <w:szCs w:val="18"/>
        </w:rPr>
        <w:t xml:space="preserve"> </w:t>
      </w:r>
      <w:r w:rsidRPr="001668DA">
        <w:rPr>
          <w:sz w:val="18"/>
          <w:szCs w:val="18"/>
        </w:rPr>
        <w:tab/>
      </w:r>
      <w:r w:rsidRPr="0000689C">
        <w:rPr>
          <w:sz w:val="18"/>
          <w:szCs w:val="18"/>
        </w:rPr>
        <w:t>Realizace vzdělávacích kurzů pro uživatele nového systému e-tržišť byla v důsledku reakce na změnu legislativy upravena. Tato úprava vzdělávání byla provedena dodatkem ke smlouvě</w:t>
      </w:r>
      <w:r>
        <w:rPr>
          <w:sz w:val="18"/>
          <w:szCs w:val="18"/>
        </w:rPr>
        <w:t xml:space="preserve">, přičemž bylo využito </w:t>
      </w:r>
      <w:r w:rsidRPr="0000689C">
        <w:rPr>
          <w:sz w:val="18"/>
          <w:szCs w:val="18"/>
        </w:rPr>
        <w:t>je</w:t>
      </w:r>
      <w:r w:rsidRPr="00502DDA">
        <w:rPr>
          <w:sz w:val="18"/>
          <w:szCs w:val="18"/>
        </w:rPr>
        <w:t>dnací</w:t>
      </w:r>
      <w:r>
        <w:rPr>
          <w:sz w:val="18"/>
          <w:szCs w:val="18"/>
        </w:rPr>
        <w:t>ho</w:t>
      </w:r>
      <w:r w:rsidRPr="00502DDA">
        <w:rPr>
          <w:sz w:val="18"/>
          <w:szCs w:val="18"/>
        </w:rPr>
        <w:t xml:space="preserve"> řízení bez uveřejnění.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8F3F05"/>
    <w:multiLevelType w:val="hybridMultilevel"/>
    <w:tmpl w:val="1F7AD0A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FAA2240"/>
    <w:multiLevelType w:val="hybridMultilevel"/>
    <w:tmpl w:val="5448DB2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B4F6CC6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>
    <w:nsid w:val="1C7A1B5D"/>
    <w:multiLevelType w:val="hybridMultilevel"/>
    <w:tmpl w:val="0FF4850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C885595"/>
    <w:multiLevelType w:val="hybridMultilevel"/>
    <w:tmpl w:val="D3E6B4F8"/>
    <w:lvl w:ilvl="0" w:tplc="5B7AE002">
      <w:numFmt w:val="bullet"/>
      <w:lvlText w:val="-"/>
      <w:lvlJc w:val="left"/>
      <w:pPr>
        <w:ind w:left="720" w:hanging="360"/>
      </w:pPr>
      <w:rPr>
        <w:rFonts w:ascii="Calibri" w:hAnsi="Calibri" w:hint="default"/>
        <w:spacing w:val="-24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6984DED"/>
    <w:multiLevelType w:val="hybridMultilevel"/>
    <w:tmpl w:val="67D84AE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9A43830"/>
    <w:multiLevelType w:val="hybridMultilevel"/>
    <w:tmpl w:val="945CF95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0DE70BF"/>
    <w:multiLevelType w:val="hybridMultilevel"/>
    <w:tmpl w:val="366A0330"/>
    <w:lvl w:ilvl="0" w:tplc="56B015D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8F42B01"/>
    <w:multiLevelType w:val="hybridMultilevel"/>
    <w:tmpl w:val="F5B8471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A4A67B0"/>
    <w:multiLevelType w:val="hybridMultilevel"/>
    <w:tmpl w:val="54247FFC"/>
    <w:lvl w:ilvl="0" w:tplc="3B709382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FB54DB1"/>
    <w:multiLevelType w:val="hybridMultilevel"/>
    <w:tmpl w:val="7ACEC1C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FCE10C6"/>
    <w:multiLevelType w:val="hybridMultilevel"/>
    <w:tmpl w:val="6A8052E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56C7AA9"/>
    <w:multiLevelType w:val="hybridMultilevel"/>
    <w:tmpl w:val="DFAA158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5896272"/>
    <w:multiLevelType w:val="hybridMultilevel"/>
    <w:tmpl w:val="C974F17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65854CE"/>
    <w:multiLevelType w:val="hybridMultilevel"/>
    <w:tmpl w:val="471ECFA4"/>
    <w:lvl w:ilvl="0" w:tplc="0405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5">
    <w:nsid w:val="4E3632E5"/>
    <w:multiLevelType w:val="hybridMultilevel"/>
    <w:tmpl w:val="A4504402"/>
    <w:lvl w:ilvl="0" w:tplc="C93EC204"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FC4521B"/>
    <w:multiLevelType w:val="multilevel"/>
    <w:tmpl w:val="372A9B1C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7">
    <w:nsid w:val="503F3B1E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>
    <w:nsid w:val="52402B49"/>
    <w:multiLevelType w:val="multilevel"/>
    <w:tmpl w:val="C74429A2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9">
    <w:nsid w:val="54520BB6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">
    <w:nsid w:val="574E1EDF"/>
    <w:multiLevelType w:val="hybridMultilevel"/>
    <w:tmpl w:val="C8A8625C"/>
    <w:lvl w:ilvl="0" w:tplc="E3EEC6E4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/>
        <w:i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1">
    <w:nsid w:val="5F871507"/>
    <w:multiLevelType w:val="hybridMultilevel"/>
    <w:tmpl w:val="A11C2D8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63365F5B"/>
    <w:multiLevelType w:val="hybridMultilevel"/>
    <w:tmpl w:val="12B0490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4B8417E"/>
    <w:multiLevelType w:val="hybridMultilevel"/>
    <w:tmpl w:val="9F167FE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67C11EE6"/>
    <w:multiLevelType w:val="hybridMultilevel"/>
    <w:tmpl w:val="D7AEB7CA"/>
    <w:lvl w:ilvl="0" w:tplc="58C02526">
      <w:start w:val="1"/>
      <w:numFmt w:val="decimal"/>
      <w:lvlText w:val="%1."/>
      <w:lvlJc w:val="left"/>
      <w:pPr>
        <w:ind w:left="791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511" w:hanging="360"/>
      </w:pPr>
    </w:lvl>
    <w:lvl w:ilvl="2" w:tplc="0405001B" w:tentative="1">
      <w:start w:val="1"/>
      <w:numFmt w:val="lowerRoman"/>
      <w:lvlText w:val="%3."/>
      <w:lvlJc w:val="right"/>
      <w:pPr>
        <w:ind w:left="2231" w:hanging="180"/>
      </w:pPr>
    </w:lvl>
    <w:lvl w:ilvl="3" w:tplc="0405000F" w:tentative="1">
      <w:start w:val="1"/>
      <w:numFmt w:val="decimal"/>
      <w:lvlText w:val="%4."/>
      <w:lvlJc w:val="left"/>
      <w:pPr>
        <w:ind w:left="2951" w:hanging="360"/>
      </w:pPr>
    </w:lvl>
    <w:lvl w:ilvl="4" w:tplc="04050019" w:tentative="1">
      <w:start w:val="1"/>
      <w:numFmt w:val="lowerLetter"/>
      <w:lvlText w:val="%5."/>
      <w:lvlJc w:val="left"/>
      <w:pPr>
        <w:ind w:left="3671" w:hanging="360"/>
      </w:pPr>
    </w:lvl>
    <w:lvl w:ilvl="5" w:tplc="0405001B" w:tentative="1">
      <w:start w:val="1"/>
      <w:numFmt w:val="lowerRoman"/>
      <w:lvlText w:val="%6."/>
      <w:lvlJc w:val="right"/>
      <w:pPr>
        <w:ind w:left="4391" w:hanging="180"/>
      </w:pPr>
    </w:lvl>
    <w:lvl w:ilvl="6" w:tplc="0405000F" w:tentative="1">
      <w:start w:val="1"/>
      <w:numFmt w:val="decimal"/>
      <w:lvlText w:val="%7."/>
      <w:lvlJc w:val="left"/>
      <w:pPr>
        <w:ind w:left="5111" w:hanging="360"/>
      </w:pPr>
    </w:lvl>
    <w:lvl w:ilvl="7" w:tplc="04050019" w:tentative="1">
      <w:start w:val="1"/>
      <w:numFmt w:val="lowerLetter"/>
      <w:lvlText w:val="%8."/>
      <w:lvlJc w:val="left"/>
      <w:pPr>
        <w:ind w:left="5831" w:hanging="360"/>
      </w:pPr>
    </w:lvl>
    <w:lvl w:ilvl="8" w:tplc="0405001B" w:tentative="1">
      <w:start w:val="1"/>
      <w:numFmt w:val="lowerRoman"/>
      <w:lvlText w:val="%9."/>
      <w:lvlJc w:val="right"/>
      <w:pPr>
        <w:ind w:left="6551" w:hanging="180"/>
      </w:pPr>
    </w:lvl>
  </w:abstractNum>
  <w:abstractNum w:abstractNumId="25">
    <w:nsid w:val="6E405B5B"/>
    <w:multiLevelType w:val="hybridMultilevel"/>
    <w:tmpl w:val="4DF8A4DC"/>
    <w:lvl w:ilvl="0" w:tplc="15EEB83C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6E4C2A72"/>
    <w:multiLevelType w:val="hybridMultilevel"/>
    <w:tmpl w:val="643CB7C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F4200AF"/>
    <w:multiLevelType w:val="hybridMultilevel"/>
    <w:tmpl w:val="E61E92AC"/>
    <w:lvl w:ilvl="0" w:tplc="5CB87716"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  <w:b w:val="0"/>
        <w:i w:val="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73CA6A8E"/>
    <w:multiLevelType w:val="hybridMultilevel"/>
    <w:tmpl w:val="4BF6B3E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75A750F0"/>
    <w:multiLevelType w:val="hybridMultilevel"/>
    <w:tmpl w:val="ADA4042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7AE20103"/>
    <w:multiLevelType w:val="hybridMultilevel"/>
    <w:tmpl w:val="FD92796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7B1C2BFB"/>
    <w:multiLevelType w:val="hybridMultilevel"/>
    <w:tmpl w:val="F574F63A"/>
    <w:lvl w:ilvl="0" w:tplc="0060B10E"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7C047AAA"/>
    <w:multiLevelType w:val="hybridMultilevel"/>
    <w:tmpl w:val="2CFE557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7F360FF4"/>
    <w:multiLevelType w:val="hybridMultilevel"/>
    <w:tmpl w:val="C69ABCA8"/>
    <w:lvl w:ilvl="0" w:tplc="5648933A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8"/>
  </w:num>
  <w:num w:numId="2">
    <w:abstractNumId w:val="22"/>
  </w:num>
  <w:num w:numId="3">
    <w:abstractNumId w:val="8"/>
  </w:num>
  <w:num w:numId="4">
    <w:abstractNumId w:val="23"/>
  </w:num>
  <w:num w:numId="5">
    <w:abstractNumId w:val="5"/>
  </w:num>
  <w:num w:numId="6">
    <w:abstractNumId w:val="17"/>
  </w:num>
  <w:num w:numId="7">
    <w:abstractNumId w:val="32"/>
  </w:num>
  <w:num w:numId="8">
    <w:abstractNumId w:val="9"/>
  </w:num>
  <w:num w:numId="9">
    <w:abstractNumId w:val="29"/>
  </w:num>
  <w:num w:numId="10">
    <w:abstractNumId w:val="14"/>
  </w:num>
  <w:num w:numId="11">
    <w:abstractNumId w:val="26"/>
  </w:num>
  <w:num w:numId="12">
    <w:abstractNumId w:val="11"/>
  </w:num>
  <w:num w:numId="13">
    <w:abstractNumId w:val="5"/>
  </w:num>
  <w:num w:numId="14">
    <w:abstractNumId w:val="2"/>
  </w:num>
  <w:num w:numId="15">
    <w:abstractNumId w:val="13"/>
  </w:num>
  <w:num w:numId="16">
    <w:abstractNumId w:val="10"/>
  </w:num>
  <w:num w:numId="17">
    <w:abstractNumId w:val="6"/>
  </w:num>
  <w:num w:numId="18">
    <w:abstractNumId w:val="1"/>
  </w:num>
  <w:num w:numId="19">
    <w:abstractNumId w:val="21"/>
  </w:num>
  <w:num w:numId="20">
    <w:abstractNumId w:val="0"/>
  </w:num>
  <w:num w:numId="21">
    <w:abstractNumId w:val="25"/>
  </w:num>
  <w:num w:numId="22">
    <w:abstractNumId w:val="3"/>
  </w:num>
  <w:num w:numId="23">
    <w:abstractNumId w:val="18"/>
  </w:num>
  <w:num w:numId="24">
    <w:abstractNumId w:val="16"/>
  </w:num>
  <w:num w:numId="25">
    <w:abstractNumId w:val="24"/>
  </w:num>
  <w:num w:numId="26">
    <w:abstractNumId w:val="33"/>
  </w:num>
  <w:num w:numId="27">
    <w:abstractNumId w:val="15"/>
  </w:num>
  <w:num w:numId="28">
    <w:abstractNumId w:val="31"/>
  </w:num>
  <w:num w:numId="29">
    <w:abstractNumId w:val="27"/>
  </w:num>
  <w:num w:numId="30">
    <w:abstractNumId w:val="20"/>
  </w:num>
  <w:num w:numId="31">
    <w:abstractNumId w:val="12"/>
  </w:num>
  <w:num w:numId="32">
    <w:abstractNumId w:val="30"/>
  </w:num>
  <w:num w:numId="33">
    <w:abstractNumId w:val="7"/>
  </w:num>
  <w:num w:numId="34">
    <w:abstractNumId w:val="4"/>
  </w:num>
  <w:num w:numId="35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16DA"/>
    <w:rsid w:val="00001C43"/>
    <w:rsid w:val="00002BA1"/>
    <w:rsid w:val="000033CA"/>
    <w:rsid w:val="0000404F"/>
    <w:rsid w:val="0000689C"/>
    <w:rsid w:val="00006FB2"/>
    <w:rsid w:val="000076AB"/>
    <w:rsid w:val="0001350F"/>
    <w:rsid w:val="00021828"/>
    <w:rsid w:val="00022DA3"/>
    <w:rsid w:val="000234E7"/>
    <w:rsid w:val="00024979"/>
    <w:rsid w:val="0002661A"/>
    <w:rsid w:val="00031C48"/>
    <w:rsid w:val="000323B9"/>
    <w:rsid w:val="000326FE"/>
    <w:rsid w:val="0003320A"/>
    <w:rsid w:val="000355C0"/>
    <w:rsid w:val="00036D78"/>
    <w:rsid w:val="00045528"/>
    <w:rsid w:val="00046763"/>
    <w:rsid w:val="00050FFF"/>
    <w:rsid w:val="00051C72"/>
    <w:rsid w:val="00051FD9"/>
    <w:rsid w:val="0005468C"/>
    <w:rsid w:val="00056411"/>
    <w:rsid w:val="00057E87"/>
    <w:rsid w:val="00057EE8"/>
    <w:rsid w:val="0006089E"/>
    <w:rsid w:val="00060D48"/>
    <w:rsid w:val="000624B4"/>
    <w:rsid w:val="00062A03"/>
    <w:rsid w:val="0006320E"/>
    <w:rsid w:val="00064059"/>
    <w:rsid w:val="00064325"/>
    <w:rsid w:val="00064E2F"/>
    <w:rsid w:val="00065DEB"/>
    <w:rsid w:val="000665F7"/>
    <w:rsid w:val="0006704C"/>
    <w:rsid w:val="00070129"/>
    <w:rsid w:val="00070613"/>
    <w:rsid w:val="000718FB"/>
    <w:rsid w:val="00071D31"/>
    <w:rsid w:val="000734DE"/>
    <w:rsid w:val="00074CAE"/>
    <w:rsid w:val="000753DA"/>
    <w:rsid w:val="00083791"/>
    <w:rsid w:val="000843F2"/>
    <w:rsid w:val="000847D2"/>
    <w:rsid w:val="00085055"/>
    <w:rsid w:val="0008672C"/>
    <w:rsid w:val="0009107F"/>
    <w:rsid w:val="00091215"/>
    <w:rsid w:val="00093E05"/>
    <w:rsid w:val="000A1E17"/>
    <w:rsid w:val="000B0A43"/>
    <w:rsid w:val="000B3409"/>
    <w:rsid w:val="000B47E0"/>
    <w:rsid w:val="000C3EB1"/>
    <w:rsid w:val="000C424B"/>
    <w:rsid w:val="000C4FA1"/>
    <w:rsid w:val="000C78DD"/>
    <w:rsid w:val="000D0B69"/>
    <w:rsid w:val="000D2A29"/>
    <w:rsid w:val="000D320B"/>
    <w:rsid w:val="000D4918"/>
    <w:rsid w:val="000D50DC"/>
    <w:rsid w:val="000E0E5A"/>
    <w:rsid w:val="000E1625"/>
    <w:rsid w:val="000E432D"/>
    <w:rsid w:val="000E45FA"/>
    <w:rsid w:val="000F11CC"/>
    <w:rsid w:val="000F21B3"/>
    <w:rsid w:val="000F3B09"/>
    <w:rsid w:val="000F478F"/>
    <w:rsid w:val="000F519C"/>
    <w:rsid w:val="000F58F0"/>
    <w:rsid w:val="000F675A"/>
    <w:rsid w:val="000F756A"/>
    <w:rsid w:val="000F756C"/>
    <w:rsid w:val="000F75C9"/>
    <w:rsid w:val="00105004"/>
    <w:rsid w:val="001054DD"/>
    <w:rsid w:val="001066B6"/>
    <w:rsid w:val="00107FF0"/>
    <w:rsid w:val="001114AA"/>
    <w:rsid w:val="0011175D"/>
    <w:rsid w:val="001150E7"/>
    <w:rsid w:val="00115D7D"/>
    <w:rsid w:val="00115EAF"/>
    <w:rsid w:val="00116E14"/>
    <w:rsid w:val="00123D0D"/>
    <w:rsid w:val="001257E4"/>
    <w:rsid w:val="0013173A"/>
    <w:rsid w:val="001318EE"/>
    <w:rsid w:val="001328CE"/>
    <w:rsid w:val="0013564A"/>
    <w:rsid w:val="00135FC5"/>
    <w:rsid w:val="0013647C"/>
    <w:rsid w:val="00137D3B"/>
    <w:rsid w:val="00137D7A"/>
    <w:rsid w:val="00140B1C"/>
    <w:rsid w:val="001417C1"/>
    <w:rsid w:val="00142709"/>
    <w:rsid w:val="00144600"/>
    <w:rsid w:val="001452A1"/>
    <w:rsid w:val="00147064"/>
    <w:rsid w:val="001471FA"/>
    <w:rsid w:val="001522FE"/>
    <w:rsid w:val="00153334"/>
    <w:rsid w:val="00155863"/>
    <w:rsid w:val="00155E00"/>
    <w:rsid w:val="00156BA1"/>
    <w:rsid w:val="00161C1A"/>
    <w:rsid w:val="00164F0F"/>
    <w:rsid w:val="00165079"/>
    <w:rsid w:val="001650E1"/>
    <w:rsid w:val="00165398"/>
    <w:rsid w:val="00165C18"/>
    <w:rsid w:val="001668DA"/>
    <w:rsid w:val="00167846"/>
    <w:rsid w:val="00167937"/>
    <w:rsid w:val="00167B2C"/>
    <w:rsid w:val="001701BD"/>
    <w:rsid w:val="0017121C"/>
    <w:rsid w:val="001731E1"/>
    <w:rsid w:val="0018064E"/>
    <w:rsid w:val="00180758"/>
    <w:rsid w:val="00181379"/>
    <w:rsid w:val="001816DC"/>
    <w:rsid w:val="00185100"/>
    <w:rsid w:val="00186626"/>
    <w:rsid w:val="001871B5"/>
    <w:rsid w:val="00187769"/>
    <w:rsid w:val="001911EC"/>
    <w:rsid w:val="00191952"/>
    <w:rsid w:val="00191A3E"/>
    <w:rsid w:val="001928F8"/>
    <w:rsid w:val="00193893"/>
    <w:rsid w:val="00195D10"/>
    <w:rsid w:val="0019648E"/>
    <w:rsid w:val="0019676D"/>
    <w:rsid w:val="00197F97"/>
    <w:rsid w:val="001A0657"/>
    <w:rsid w:val="001A0F87"/>
    <w:rsid w:val="001A577B"/>
    <w:rsid w:val="001A6465"/>
    <w:rsid w:val="001A6826"/>
    <w:rsid w:val="001A7A15"/>
    <w:rsid w:val="001B03E3"/>
    <w:rsid w:val="001B074C"/>
    <w:rsid w:val="001B09E2"/>
    <w:rsid w:val="001B221B"/>
    <w:rsid w:val="001B2BB3"/>
    <w:rsid w:val="001B3A5D"/>
    <w:rsid w:val="001B4875"/>
    <w:rsid w:val="001B5689"/>
    <w:rsid w:val="001B72A1"/>
    <w:rsid w:val="001C06E4"/>
    <w:rsid w:val="001C235F"/>
    <w:rsid w:val="001C29B2"/>
    <w:rsid w:val="001C3231"/>
    <w:rsid w:val="001C366C"/>
    <w:rsid w:val="001C4366"/>
    <w:rsid w:val="001C43BB"/>
    <w:rsid w:val="001C4717"/>
    <w:rsid w:val="001C60B7"/>
    <w:rsid w:val="001C62EF"/>
    <w:rsid w:val="001C7333"/>
    <w:rsid w:val="001C7A38"/>
    <w:rsid w:val="001C7A50"/>
    <w:rsid w:val="001D19B4"/>
    <w:rsid w:val="001D4289"/>
    <w:rsid w:val="001D71FD"/>
    <w:rsid w:val="001E777E"/>
    <w:rsid w:val="001F02D0"/>
    <w:rsid w:val="001F09F9"/>
    <w:rsid w:val="001F5165"/>
    <w:rsid w:val="00203002"/>
    <w:rsid w:val="00204E8C"/>
    <w:rsid w:val="00204FA5"/>
    <w:rsid w:val="002055FA"/>
    <w:rsid w:val="0020734C"/>
    <w:rsid w:val="00211BCE"/>
    <w:rsid w:val="0021330D"/>
    <w:rsid w:val="002161EE"/>
    <w:rsid w:val="002164FB"/>
    <w:rsid w:val="00216AE7"/>
    <w:rsid w:val="002170C7"/>
    <w:rsid w:val="00222838"/>
    <w:rsid w:val="0022645A"/>
    <w:rsid w:val="00230117"/>
    <w:rsid w:val="00230611"/>
    <w:rsid w:val="00231C83"/>
    <w:rsid w:val="0023255A"/>
    <w:rsid w:val="00233560"/>
    <w:rsid w:val="00234755"/>
    <w:rsid w:val="00236A40"/>
    <w:rsid w:val="0023790C"/>
    <w:rsid w:val="002424BC"/>
    <w:rsid w:val="002425DD"/>
    <w:rsid w:val="00242C69"/>
    <w:rsid w:val="0024407A"/>
    <w:rsid w:val="00244CAA"/>
    <w:rsid w:val="00247920"/>
    <w:rsid w:val="0025037D"/>
    <w:rsid w:val="00254746"/>
    <w:rsid w:val="00255169"/>
    <w:rsid w:val="00255711"/>
    <w:rsid w:val="00257663"/>
    <w:rsid w:val="002579CF"/>
    <w:rsid w:val="002600A4"/>
    <w:rsid w:val="00261FB1"/>
    <w:rsid w:val="00262DDC"/>
    <w:rsid w:val="00264C38"/>
    <w:rsid w:val="00264CAF"/>
    <w:rsid w:val="00265AF4"/>
    <w:rsid w:val="002673DB"/>
    <w:rsid w:val="00270153"/>
    <w:rsid w:val="00271E98"/>
    <w:rsid w:val="00272833"/>
    <w:rsid w:val="002731AD"/>
    <w:rsid w:val="00274A32"/>
    <w:rsid w:val="00275153"/>
    <w:rsid w:val="00275261"/>
    <w:rsid w:val="00275457"/>
    <w:rsid w:val="002754F6"/>
    <w:rsid w:val="0027609C"/>
    <w:rsid w:val="00276661"/>
    <w:rsid w:val="00281A42"/>
    <w:rsid w:val="00283359"/>
    <w:rsid w:val="002834BB"/>
    <w:rsid w:val="00286116"/>
    <w:rsid w:val="00290096"/>
    <w:rsid w:val="00290F51"/>
    <w:rsid w:val="002916C5"/>
    <w:rsid w:val="00292C28"/>
    <w:rsid w:val="00294971"/>
    <w:rsid w:val="002A094D"/>
    <w:rsid w:val="002A0EEE"/>
    <w:rsid w:val="002A28F6"/>
    <w:rsid w:val="002A2FDB"/>
    <w:rsid w:val="002A3085"/>
    <w:rsid w:val="002A4058"/>
    <w:rsid w:val="002A405F"/>
    <w:rsid w:val="002A61BD"/>
    <w:rsid w:val="002A62A7"/>
    <w:rsid w:val="002A62AA"/>
    <w:rsid w:val="002A78ED"/>
    <w:rsid w:val="002A7E3E"/>
    <w:rsid w:val="002B1302"/>
    <w:rsid w:val="002B1F6B"/>
    <w:rsid w:val="002B6354"/>
    <w:rsid w:val="002B6504"/>
    <w:rsid w:val="002B6949"/>
    <w:rsid w:val="002C0A1E"/>
    <w:rsid w:val="002C0AF1"/>
    <w:rsid w:val="002C1607"/>
    <w:rsid w:val="002C4807"/>
    <w:rsid w:val="002C48E4"/>
    <w:rsid w:val="002C5498"/>
    <w:rsid w:val="002C671F"/>
    <w:rsid w:val="002C68F7"/>
    <w:rsid w:val="002D4581"/>
    <w:rsid w:val="002E066E"/>
    <w:rsid w:val="002E0847"/>
    <w:rsid w:val="002E089B"/>
    <w:rsid w:val="002E0B60"/>
    <w:rsid w:val="002E1287"/>
    <w:rsid w:val="002E3B7D"/>
    <w:rsid w:val="002E438E"/>
    <w:rsid w:val="002E4630"/>
    <w:rsid w:val="002E4C17"/>
    <w:rsid w:val="002E4C6E"/>
    <w:rsid w:val="002E6044"/>
    <w:rsid w:val="002E60E7"/>
    <w:rsid w:val="002E7E29"/>
    <w:rsid w:val="002F1141"/>
    <w:rsid w:val="002F157B"/>
    <w:rsid w:val="002F15A4"/>
    <w:rsid w:val="002F4882"/>
    <w:rsid w:val="002F5958"/>
    <w:rsid w:val="003035DC"/>
    <w:rsid w:val="0030376F"/>
    <w:rsid w:val="003050E7"/>
    <w:rsid w:val="00305D42"/>
    <w:rsid w:val="00305FA3"/>
    <w:rsid w:val="00307277"/>
    <w:rsid w:val="00307684"/>
    <w:rsid w:val="00312565"/>
    <w:rsid w:val="00312587"/>
    <w:rsid w:val="00312C5E"/>
    <w:rsid w:val="003135B6"/>
    <w:rsid w:val="00315438"/>
    <w:rsid w:val="003154C8"/>
    <w:rsid w:val="00315630"/>
    <w:rsid w:val="00316B21"/>
    <w:rsid w:val="00316D0E"/>
    <w:rsid w:val="00317759"/>
    <w:rsid w:val="003179DF"/>
    <w:rsid w:val="00320938"/>
    <w:rsid w:val="0032243D"/>
    <w:rsid w:val="00322928"/>
    <w:rsid w:val="00322E91"/>
    <w:rsid w:val="00322ED8"/>
    <w:rsid w:val="00323F98"/>
    <w:rsid w:val="0032444E"/>
    <w:rsid w:val="00324637"/>
    <w:rsid w:val="00324C53"/>
    <w:rsid w:val="00325482"/>
    <w:rsid w:val="003258C5"/>
    <w:rsid w:val="0032794F"/>
    <w:rsid w:val="003302A5"/>
    <w:rsid w:val="003306C9"/>
    <w:rsid w:val="003356CA"/>
    <w:rsid w:val="003360C7"/>
    <w:rsid w:val="003420F1"/>
    <w:rsid w:val="00343E45"/>
    <w:rsid w:val="00346B7C"/>
    <w:rsid w:val="00347B30"/>
    <w:rsid w:val="00350848"/>
    <w:rsid w:val="003540D5"/>
    <w:rsid w:val="00355846"/>
    <w:rsid w:val="0036025D"/>
    <w:rsid w:val="00360671"/>
    <w:rsid w:val="00362970"/>
    <w:rsid w:val="00363672"/>
    <w:rsid w:val="00366B56"/>
    <w:rsid w:val="00367412"/>
    <w:rsid w:val="00367498"/>
    <w:rsid w:val="003707BF"/>
    <w:rsid w:val="003722EE"/>
    <w:rsid w:val="00372C57"/>
    <w:rsid w:val="003816C2"/>
    <w:rsid w:val="003827EB"/>
    <w:rsid w:val="0038285A"/>
    <w:rsid w:val="00383F2A"/>
    <w:rsid w:val="003865EC"/>
    <w:rsid w:val="00386881"/>
    <w:rsid w:val="00387F66"/>
    <w:rsid w:val="003901EF"/>
    <w:rsid w:val="00390826"/>
    <w:rsid w:val="00391BC5"/>
    <w:rsid w:val="00391F24"/>
    <w:rsid w:val="00392665"/>
    <w:rsid w:val="00394280"/>
    <w:rsid w:val="003956C4"/>
    <w:rsid w:val="003956C9"/>
    <w:rsid w:val="00397087"/>
    <w:rsid w:val="003974D5"/>
    <w:rsid w:val="003A17C4"/>
    <w:rsid w:val="003A1950"/>
    <w:rsid w:val="003A1BC3"/>
    <w:rsid w:val="003A1CA9"/>
    <w:rsid w:val="003A3336"/>
    <w:rsid w:val="003A4970"/>
    <w:rsid w:val="003A5D20"/>
    <w:rsid w:val="003A7F67"/>
    <w:rsid w:val="003B0B21"/>
    <w:rsid w:val="003B1C69"/>
    <w:rsid w:val="003B1E2D"/>
    <w:rsid w:val="003B21E8"/>
    <w:rsid w:val="003B4BC4"/>
    <w:rsid w:val="003B65EB"/>
    <w:rsid w:val="003B6E78"/>
    <w:rsid w:val="003C01C8"/>
    <w:rsid w:val="003C144B"/>
    <w:rsid w:val="003C2385"/>
    <w:rsid w:val="003C3866"/>
    <w:rsid w:val="003C47DE"/>
    <w:rsid w:val="003C4812"/>
    <w:rsid w:val="003C4C53"/>
    <w:rsid w:val="003C5706"/>
    <w:rsid w:val="003D028D"/>
    <w:rsid w:val="003D10A8"/>
    <w:rsid w:val="003D12F5"/>
    <w:rsid w:val="003D3C9E"/>
    <w:rsid w:val="003D44AC"/>
    <w:rsid w:val="003D4FC8"/>
    <w:rsid w:val="003D52DD"/>
    <w:rsid w:val="003D7923"/>
    <w:rsid w:val="003D7C21"/>
    <w:rsid w:val="003E1267"/>
    <w:rsid w:val="003E1503"/>
    <w:rsid w:val="003E2637"/>
    <w:rsid w:val="003E69D0"/>
    <w:rsid w:val="003E7411"/>
    <w:rsid w:val="003E7E88"/>
    <w:rsid w:val="003F2018"/>
    <w:rsid w:val="003F2EDF"/>
    <w:rsid w:val="003F496C"/>
    <w:rsid w:val="003F74D2"/>
    <w:rsid w:val="003F7735"/>
    <w:rsid w:val="003F7D85"/>
    <w:rsid w:val="00401292"/>
    <w:rsid w:val="00401F91"/>
    <w:rsid w:val="004051A0"/>
    <w:rsid w:val="00410607"/>
    <w:rsid w:val="00411A0D"/>
    <w:rsid w:val="00411F22"/>
    <w:rsid w:val="00414B16"/>
    <w:rsid w:val="00414F29"/>
    <w:rsid w:val="00416EBD"/>
    <w:rsid w:val="00422812"/>
    <w:rsid w:val="004231C1"/>
    <w:rsid w:val="0042383C"/>
    <w:rsid w:val="00423DAD"/>
    <w:rsid w:val="00424D87"/>
    <w:rsid w:val="0042515E"/>
    <w:rsid w:val="004262A3"/>
    <w:rsid w:val="00431356"/>
    <w:rsid w:val="0043177E"/>
    <w:rsid w:val="00433A61"/>
    <w:rsid w:val="00433C80"/>
    <w:rsid w:val="00434872"/>
    <w:rsid w:val="004354BB"/>
    <w:rsid w:val="00435C42"/>
    <w:rsid w:val="00440DB9"/>
    <w:rsid w:val="004410ED"/>
    <w:rsid w:val="00441B89"/>
    <w:rsid w:val="00443EDF"/>
    <w:rsid w:val="004444A5"/>
    <w:rsid w:val="00444C57"/>
    <w:rsid w:val="00447262"/>
    <w:rsid w:val="00447D77"/>
    <w:rsid w:val="004513E7"/>
    <w:rsid w:val="00452CB4"/>
    <w:rsid w:val="004538D6"/>
    <w:rsid w:val="0045482A"/>
    <w:rsid w:val="004575E8"/>
    <w:rsid w:val="00457835"/>
    <w:rsid w:val="0046056A"/>
    <w:rsid w:val="00460691"/>
    <w:rsid w:val="00460F21"/>
    <w:rsid w:val="004629F7"/>
    <w:rsid w:val="00463635"/>
    <w:rsid w:val="004638A2"/>
    <w:rsid w:val="004638CD"/>
    <w:rsid w:val="0046533C"/>
    <w:rsid w:val="00466E68"/>
    <w:rsid w:val="0046741B"/>
    <w:rsid w:val="00470B13"/>
    <w:rsid w:val="004713D2"/>
    <w:rsid w:val="004740A7"/>
    <w:rsid w:val="00474B82"/>
    <w:rsid w:val="00475CD2"/>
    <w:rsid w:val="004763F9"/>
    <w:rsid w:val="00485858"/>
    <w:rsid w:val="00487DFD"/>
    <w:rsid w:val="0049004F"/>
    <w:rsid w:val="00493741"/>
    <w:rsid w:val="00494248"/>
    <w:rsid w:val="00494596"/>
    <w:rsid w:val="0049646B"/>
    <w:rsid w:val="00497182"/>
    <w:rsid w:val="00497759"/>
    <w:rsid w:val="004A016E"/>
    <w:rsid w:val="004A12A7"/>
    <w:rsid w:val="004A16C0"/>
    <w:rsid w:val="004A1F54"/>
    <w:rsid w:val="004A1FA6"/>
    <w:rsid w:val="004A4B68"/>
    <w:rsid w:val="004A59EF"/>
    <w:rsid w:val="004A6784"/>
    <w:rsid w:val="004A6C8F"/>
    <w:rsid w:val="004A709F"/>
    <w:rsid w:val="004B0DBF"/>
    <w:rsid w:val="004B11FE"/>
    <w:rsid w:val="004B3F6C"/>
    <w:rsid w:val="004B5800"/>
    <w:rsid w:val="004C0686"/>
    <w:rsid w:val="004C0C13"/>
    <w:rsid w:val="004C272F"/>
    <w:rsid w:val="004C2FB2"/>
    <w:rsid w:val="004C411C"/>
    <w:rsid w:val="004C512F"/>
    <w:rsid w:val="004C7DD1"/>
    <w:rsid w:val="004D017B"/>
    <w:rsid w:val="004D0E34"/>
    <w:rsid w:val="004D0E8F"/>
    <w:rsid w:val="004D1EE9"/>
    <w:rsid w:val="004D463D"/>
    <w:rsid w:val="004D7BB9"/>
    <w:rsid w:val="004E16C7"/>
    <w:rsid w:val="004E188B"/>
    <w:rsid w:val="004E1B29"/>
    <w:rsid w:val="004E1CDF"/>
    <w:rsid w:val="004E2C51"/>
    <w:rsid w:val="004E468D"/>
    <w:rsid w:val="004E4E31"/>
    <w:rsid w:val="004F0C81"/>
    <w:rsid w:val="004F4B81"/>
    <w:rsid w:val="004F756A"/>
    <w:rsid w:val="0050104D"/>
    <w:rsid w:val="00501FEC"/>
    <w:rsid w:val="00502195"/>
    <w:rsid w:val="00502DDA"/>
    <w:rsid w:val="00504465"/>
    <w:rsid w:val="00504DA0"/>
    <w:rsid w:val="00506098"/>
    <w:rsid w:val="00507952"/>
    <w:rsid w:val="00510767"/>
    <w:rsid w:val="005117FB"/>
    <w:rsid w:val="00511CF7"/>
    <w:rsid w:val="0051204F"/>
    <w:rsid w:val="00516F50"/>
    <w:rsid w:val="0052001D"/>
    <w:rsid w:val="00520A37"/>
    <w:rsid w:val="005240F1"/>
    <w:rsid w:val="00524B96"/>
    <w:rsid w:val="005251B2"/>
    <w:rsid w:val="00526BF6"/>
    <w:rsid w:val="00530A58"/>
    <w:rsid w:val="005326BB"/>
    <w:rsid w:val="0053316B"/>
    <w:rsid w:val="00534594"/>
    <w:rsid w:val="00534DB7"/>
    <w:rsid w:val="00535351"/>
    <w:rsid w:val="00537ED2"/>
    <w:rsid w:val="005407F7"/>
    <w:rsid w:val="00540CF0"/>
    <w:rsid w:val="00542905"/>
    <w:rsid w:val="00542F31"/>
    <w:rsid w:val="00543288"/>
    <w:rsid w:val="005443AA"/>
    <w:rsid w:val="0054573C"/>
    <w:rsid w:val="005478B1"/>
    <w:rsid w:val="00547DBF"/>
    <w:rsid w:val="00547EF5"/>
    <w:rsid w:val="00550650"/>
    <w:rsid w:val="00551325"/>
    <w:rsid w:val="005528A1"/>
    <w:rsid w:val="005541EC"/>
    <w:rsid w:val="00556E1C"/>
    <w:rsid w:val="00560125"/>
    <w:rsid w:val="005611D3"/>
    <w:rsid w:val="005636F2"/>
    <w:rsid w:val="00564457"/>
    <w:rsid w:val="00564F73"/>
    <w:rsid w:val="00565466"/>
    <w:rsid w:val="005661F0"/>
    <w:rsid w:val="0056702B"/>
    <w:rsid w:val="00567C91"/>
    <w:rsid w:val="00570CFA"/>
    <w:rsid w:val="00571354"/>
    <w:rsid w:val="0057136F"/>
    <w:rsid w:val="00571BC4"/>
    <w:rsid w:val="00572533"/>
    <w:rsid w:val="005770BD"/>
    <w:rsid w:val="005826D5"/>
    <w:rsid w:val="00584CF0"/>
    <w:rsid w:val="00585A43"/>
    <w:rsid w:val="00590634"/>
    <w:rsid w:val="00590845"/>
    <w:rsid w:val="00592FFC"/>
    <w:rsid w:val="00593BBA"/>
    <w:rsid w:val="00594265"/>
    <w:rsid w:val="005944B9"/>
    <w:rsid w:val="00594E29"/>
    <w:rsid w:val="00597CBC"/>
    <w:rsid w:val="005A398D"/>
    <w:rsid w:val="005A3AD8"/>
    <w:rsid w:val="005A3D15"/>
    <w:rsid w:val="005A764F"/>
    <w:rsid w:val="005B0632"/>
    <w:rsid w:val="005B1371"/>
    <w:rsid w:val="005B4940"/>
    <w:rsid w:val="005B54E9"/>
    <w:rsid w:val="005C01C0"/>
    <w:rsid w:val="005C2ABA"/>
    <w:rsid w:val="005C2DFE"/>
    <w:rsid w:val="005C39CE"/>
    <w:rsid w:val="005C4DEB"/>
    <w:rsid w:val="005C4E4C"/>
    <w:rsid w:val="005D2B9B"/>
    <w:rsid w:val="005D56B7"/>
    <w:rsid w:val="005D62BF"/>
    <w:rsid w:val="005E099C"/>
    <w:rsid w:val="005E196A"/>
    <w:rsid w:val="005E248C"/>
    <w:rsid w:val="005E5F98"/>
    <w:rsid w:val="005E6207"/>
    <w:rsid w:val="005E674B"/>
    <w:rsid w:val="005F0902"/>
    <w:rsid w:val="005F0A07"/>
    <w:rsid w:val="005F0B51"/>
    <w:rsid w:val="005F4FBF"/>
    <w:rsid w:val="005F689A"/>
    <w:rsid w:val="005F6ADD"/>
    <w:rsid w:val="00603A0B"/>
    <w:rsid w:val="006053E5"/>
    <w:rsid w:val="006054F0"/>
    <w:rsid w:val="0061537A"/>
    <w:rsid w:val="0062172E"/>
    <w:rsid w:val="006237A8"/>
    <w:rsid w:val="0062440B"/>
    <w:rsid w:val="00624C20"/>
    <w:rsid w:val="00630853"/>
    <w:rsid w:val="00630BA2"/>
    <w:rsid w:val="00630C59"/>
    <w:rsid w:val="006321E6"/>
    <w:rsid w:val="006353B4"/>
    <w:rsid w:val="006378F9"/>
    <w:rsid w:val="00640D0E"/>
    <w:rsid w:val="00642421"/>
    <w:rsid w:val="006433C9"/>
    <w:rsid w:val="006436AF"/>
    <w:rsid w:val="0064393A"/>
    <w:rsid w:val="006448B8"/>
    <w:rsid w:val="006509E8"/>
    <w:rsid w:val="00651293"/>
    <w:rsid w:val="00651637"/>
    <w:rsid w:val="00651823"/>
    <w:rsid w:val="00651B12"/>
    <w:rsid w:val="00652859"/>
    <w:rsid w:val="00654496"/>
    <w:rsid w:val="0065591B"/>
    <w:rsid w:val="00655D1D"/>
    <w:rsid w:val="00662710"/>
    <w:rsid w:val="00666156"/>
    <w:rsid w:val="00674A4C"/>
    <w:rsid w:val="00676994"/>
    <w:rsid w:val="0068276B"/>
    <w:rsid w:val="00686C0B"/>
    <w:rsid w:val="0068703B"/>
    <w:rsid w:val="006904F5"/>
    <w:rsid w:val="00690DB0"/>
    <w:rsid w:val="00691505"/>
    <w:rsid w:val="0069183C"/>
    <w:rsid w:val="00691970"/>
    <w:rsid w:val="006929BA"/>
    <w:rsid w:val="0069342A"/>
    <w:rsid w:val="00695200"/>
    <w:rsid w:val="0069662D"/>
    <w:rsid w:val="006A0C21"/>
    <w:rsid w:val="006A5FA0"/>
    <w:rsid w:val="006A6299"/>
    <w:rsid w:val="006A6821"/>
    <w:rsid w:val="006A6E87"/>
    <w:rsid w:val="006A6FE2"/>
    <w:rsid w:val="006B378B"/>
    <w:rsid w:val="006B398D"/>
    <w:rsid w:val="006B3C91"/>
    <w:rsid w:val="006B7471"/>
    <w:rsid w:val="006C0E97"/>
    <w:rsid w:val="006C2411"/>
    <w:rsid w:val="006C3851"/>
    <w:rsid w:val="006C3F22"/>
    <w:rsid w:val="006C5A85"/>
    <w:rsid w:val="006C6093"/>
    <w:rsid w:val="006C6594"/>
    <w:rsid w:val="006D0D0E"/>
    <w:rsid w:val="006D1CEC"/>
    <w:rsid w:val="006D291A"/>
    <w:rsid w:val="006D43AC"/>
    <w:rsid w:val="006D7BA3"/>
    <w:rsid w:val="006E0181"/>
    <w:rsid w:val="006E2FCB"/>
    <w:rsid w:val="006E31BE"/>
    <w:rsid w:val="006E352D"/>
    <w:rsid w:val="006E3ADB"/>
    <w:rsid w:val="006E42C3"/>
    <w:rsid w:val="006F002E"/>
    <w:rsid w:val="006F0228"/>
    <w:rsid w:val="006F24A7"/>
    <w:rsid w:val="006F251C"/>
    <w:rsid w:val="006F2635"/>
    <w:rsid w:val="006F417C"/>
    <w:rsid w:val="006F678B"/>
    <w:rsid w:val="006F6AFE"/>
    <w:rsid w:val="006F6F29"/>
    <w:rsid w:val="0070219F"/>
    <w:rsid w:val="00702C05"/>
    <w:rsid w:val="00705A6B"/>
    <w:rsid w:val="00705E3D"/>
    <w:rsid w:val="00711225"/>
    <w:rsid w:val="007113F0"/>
    <w:rsid w:val="00712024"/>
    <w:rsid w:val="0071453F"/>
    <w:rsid w:val="0071682C"/>
    <w:rsid w:val="00721E7F"/>
    <w:rsid w:val="00721E8C"/>
    <w:rsid w:val="0072233D"/>
    <w:rsid w:val="00723955"/>
    <w:rsid w:val="00723A13"/>
    <w:rsid w:val="00724FC4"/>
    <w:rsid w:val="0072512E"/>
    <w:rsid w:val="00725EB8"/>
    <w:rsid w:val="00731292"/>
    <w:rsid w:val="00731A18"/>
    <w:rsid w:val="007328A0"/>
    <w:rsid w:val="0073386E"/>
    <w:rsid w:val="00733C03"/>
    <w:rsid w:val="00734009"/>
    <w:rsid w:val="007346A9"/>
    <w:rsid w:val="007348D4"/>
    <w:rsid w:val="00735771"/>
    <w:rsid w:val="0073588A"/>
    <w:rsid w:val="00735D94"/>
    <w:rsid w:val="00737360"/>
    <w:rsid w:val="00741093"/>
    <w:rsid w:val="00741A74"/>
    <w:rsid w:val="00741E0F"/>
    <w:rsid w:val="00746ED2"/>
    <w:rsid w:val="00751CC4"/>
    <w:rsid w:val="0075335F"/>
    <w:rsid w:val="007561F1"/>
    <w:rsid w:val="00756877"/>
    <w:rsid w:val="00760967"/>
    <w:rsid w:val="007609E1"/>
    <w:rsid w:val="00762865"/>
    <w:rsid w:val="00770DDC"/>
    <w:rsid w:val="00771DB6"/>
    <w:rsid w:val="00774423"/>
    <w:rsid w:val="007767A8"/>
    <w:rsid w:val="00777379"/>
    <w:rsid w:val="007815EA"/>
    <w:rsid w:val="00782218"/>
    <w:rsid w:val="00782CD2"/>
    <w:rsid w:val="00785486"/>
    <w:rsid w:val="007877DF"/>
    <w:rsid w:val="00790275"/>
    <w:rsid w:val="00790509"/>
    <w:rsid w:val="00790663"/>
    <w:rsid w:val="00790E93"/>
    <w:rsid w:val="00791C23"/>
    <w:rsid w:val="007920A5"/>
    <w:rsid w:val="007921A4"/>
    <w:rsid w:val="00792C81"/>
    <w:rsid w:val="00793E93"/>
    <w:rsid w:val="007942A6"/>
    <w:rsid w:val="00794579"/>
    <w:rsid w:val="00795129"/>
    <w:rsid w:val="007956DC"/>
    <w:rsid w:val="00797348"/>
    <w:rsid w:val="00797926"/>
    <w:rsid w:val="007A071D"/>
    <w:rsid w:val="007A6A5A"/>
    <w:rsid w:val="007A7DF9"/>
    <w:rsid w:val="007B0E70"/>
    <w:rsid w:val="007B205E"/>
    <w:rsid w:val="007B4E69"/>
    <w:rsid w:val="007B63DC"/>
    <w:rsid w:val="007C2A54"/>
    <w:rsid w:val="007C310C"/>
    <w:rsid w:val="007C46D0"/>
    <w:rsid w:val="007C4D26"/>
    <w:rsid w:val="007C6132"/>
    <w:rsid w:val="007C6E92"/>
    <w:rsid w:val="007D2A80"/>
    <w:rsid w:val="007D378C"/>
    <w:rsid w:val="007D4697"/>
    <w:rsid w:val="007D4D3E"/>
    <w:rsid w:val="007D776F"/>
    <w:rsid w:val="007E1E13"/>
    <w:rsid w:val="007E4D93"/>
    <w:rsid w:val="007E6B66"/>
    <w:rsid w:val="007E6F4D"/>
    <w:rsid w:val="007E7767"/>
    <w:rsid w:val="007E7AB8"/>
    <w:rsid w:val="007F19C0"/>
    <w:rsid w:val="007F27A5"/>
    <w:rsid w:val="007F29A0"/>
    <w:rsid w:val="007F2F73"/>
    <w:rsid w:val="007F3676"/>
    <w:rsid w:val="007F51B4"/>
    <w:rsid w:val="007F5E24"/>
    <w:rsid w:val="007F5F7B"/>
    <w:rsid w:val="00800308"/>
    <w:rsid w:val="008033C2"/>
    <w:rsid w:val="00805C9A"/>
    <w:rsid w:val="0080759A"/>
    <w:rsid w:val="008121AE"/>
    <w:rsid w:val="00812F66"/>
    <w:rsid w:val="00814434"/>
    <w:rsid w:val="00814E60"/>
    <w:rsid w:val="00817A2C"/>
    <w:rsid w:val="00817A89"/>
    <w:rsid w:val="00817F57"/>
    <w:rsid w:val="00823148"/>
    <w:rsid w:val="00823B07"/>
    <w:rsid w:val="00824EF4"/>
    <w:rsid w:val="0082784D"/>
    <w:rsid w:val="00827E19"/>
    <w:rsid w:val="00827EF8"/>
    <w:rsid w:val="00830DAC"/>
    <w:rsid w:val="00830EBE"/>
    <w:rsid w:val="008328AA"/>
    <w:rsid w:val="00832CC5"/>
    <w:rsid w:val="008352D8"/>
    <w:rsid w:val="00835EDF"/>
    <w:rsid w:val="0083641C"/>
    <w:rsid w:val="00843468"/>
    <w:rsid w:val="0084691E"/>
    <w:rsid w:val="0084754F"/>
    <w:rsid w:val="00852F5A"/>
    <w:rsid w:val="008532F8"/>
    <w:rsid w:val="00856300"/>
    <w:rsid w:val="0085652D"/>
    <w:rsid w:val="008569CB"/>
    <w:rsid w:val="00856C69"/>
    <w:rsid w:val="008605CF"/>
    <w:rsid w:val="00861F4E"/>
    <w:rsid w:val="00863C4D"/>
    <w:rsid w:val="00864EA1"/>
    <w:rsid w:val="008741DB"/>
    <w:rsid w:val="008767DE"/>
    <w:rsid w:val="008777B5"/>
    <w:rsid w:val="00883DF2"/>
    <w:rsid w:val="00886482"/>
    <w:rsid w:val="008875A3"/>
    <w:rsid w:val="00892DF0"/>
    <w:rsid w:val="008938A8"/>
    <w:rsid w:val="00895327"/>
    <w:rsid w:val="00896424"/>
    <w:rsid w:val="008A0B87"/>
    <w:rsid w:val="008A3189"/>
    <w:rsid w:val="008A64CF"/>
    <w:rsid w:val="008A658F"/>
    <w:rsid w:val="008B0BAF"/>
    <w:rsid w:val="008B15AB"/>
    <w:rsid w:val="008B251B"/>
    <w:rsid w:val="008B5901"/>
    <w:rsid w:val="008B6090"/>
    <w:rsid w:val="008C007D"/>
    <w:rsid w:val="008C0AE4"/>
    <w:rsid w:val="008C34B5"/>
    <w:rsid w:val="008C3503"/>
    <w:rsid w:val="008C4A67"/>
    <w:rsid w:val="008C5DAC"/>
    <w:rsid w:val="008D0206"/>
    <w:rsid w:val="008D0F8F"/>
    <w:rsid w:val="008D12EB"/>
    <w:rsid w:val="008D27DE"/>
    <w:rsid w:val="008D53C7"/>
    <w:rsid w:val="008D6AB7"/>
    <w:rsid w:val="008E21BF"/>
    <w:rsid w:val="008E4558"/>
    <w:rsid w:val="008E75E6"/>
    <w:rsid w:val="008F0464"/>
    <w:rsid w:val="008F0951"/>
    <w:rsid w:val="008F39FF"/>
    <w:rsid w:val="008F3E86"/>
    <w:rsid w:val="008F660C"/>
    <w:rsid w:val="009002C1"/>
    <w:rsid w:val="009013BE"/>
    <w:rsid w:val="00902B37"/>
    <w:rsid w:val="00906634"/>
    <w:rsid w:val="009070BF"/>
    <w:rsid w:val="00907EC6"/>
    <w:rsid w:val="009115EE"/>
    <w:rsid w:val="009125CC"/>
    <w:rsid w:val="00913D9B"/>
    <w:rsid w:val="009143E6"/>
    <w:rsid w:val="00917447"/>
    <w:rsid w:val="0092027E"/>
    <w:rsid w:val="009210CC"/>
    <w:rsid w:val="00921C12"/>
    <w:rsid w:val="0092202D"/>
    <w:rsid w:val="0093036E"/>
    <w:rsid w:val="00933065"/>
    <w:rsid w:val="00937FC2"/>
    <w:rsid w:val="00940C1A"/>
    <w:rsid w:val="00943095"/>
    <w:rsid w:val="00944048"/>
    <w:rsid w:val="009451FB"/>
    <w:rsid w:val="0094614D"/>
    <w:rsid w:val="009469F6"/>
    <w:rsid w:val="00947EAC"/>
    <w:rsid w:val="009500AA"/>
    <w:rsid w:val="00951FE3"/>
    <w:rsid w:val="009540A2"/>
    <w:rsid w:val="00954CD8"/>
    <w:rsid w:val="00955788"/>
    <w:rsid w:val="009559EA"/>
    <w:rsid w:val="0095716D"/>
    <w:rsid w:val="009601F7"/>
    <w:rsid w:val="0096077A"/>
    <w:rsid w:val="009616F5"/>
    <w:rsid w:val="00963795"/>
    <w:rsid w:val="009640A5"/>
    <w:rsid w:val="0096519F"/>
    <w:rsid w:val="00973AA8"/>
    <w:rsid w:val="00974CC9"/>
    <w:rsid w:val="0097566F"/>
    <w:rsid w:val="00976C7D"/>
    <w:rsid w:val="00977563"/>
    <w:rsid w:val="00981034"/>
    <w:rsid w:val="0098114E"/>
    <w:rsid w:val="00981AAD"/>
    <w:rsid w:val="00981DFA"/>
    <w:rsid w:val="00982F10"/>
    <w:rsid w:val="00982F72"/>
    <w:rsid w:val="0098394A"/>
    <w:rsid w:val="00983D6C"/>
    <w:rsid w:val="0099247D"/>
    <w:rsid w:val="00992A87"/>
    <w:rsid w:val="00992B61"/>
    <w:rsid w:val="00993ABF"/>
    <w:rsid w:val="00995000"/>
    <w:rsid w:val="00995A94"/>
    <w:rsid w:val="009977C9"/>
    <w:rsid w:val="009A08AD"/>
    <w:rsid w:val="009A2BBD"/>
    <w:rsid w:val="009A484D"/>
    <w:rsid w:val="009A6A50"/>
    <w:rsid w:val="009A7C7B"/>
    <w:rsid w:val="009B0DB9"/>
    <w:rsid w:val="009B2F5D"/>
    <w:rsid w:val="009B343A"/>
    <w:rsid w:val="009B4201"/>
    <w:rsid w:val="009B5244"/>
    <w:rsid w:val="009B6C1B"/>
    <w:rsid w:val="009B7FCF"/>
    <w:rsid w:val="009C0027"/>
    <w:rsid w:val="009C066B"/>
    <w:rsid w:val="009C1955"/>
    <w:rsid w:val="009C4BF4"/>
    <w:rsid w:val="009C4CE7"/>
    <w:rsid w:val="009C5CBD"/>
    <w:rsid w:val="009D0298"/>
    <w:rsid w:val="009D03A1"/>
    <w:rsid w:val="009D14BB"/>
    <w:rsid w:val="009D3789"/>
    <w:rsid w:val="009D4836"/>
    <w:rsid w:val="009E04F6"/>
    <w:rsid w:val="009E1C35"/>
    <w:rsid w:val="009E28C8"/>
    <w:rsid w:val="009E316C"/>
    <w:rsid w:val="009E3FCC"/>
    <w:rsid w:val="009E517A"/>
    <w:rsid w:val="009E56FF"/>
    <w:rsid w:val="009F4899"/>
    <w:rsid w:val="00A02669"/>
    <w:rsid w:val="00A03548"/>
    <w:rsid w:val="00A04A35"/>
    <w:rsid w:val="00A05D9E"/>
    <w:rsid w:val="00A11304"/>
    <w:rsid w:val="00A11620"/>
    <w:rsid w:val="00A12FBA"/>
    <w:rsid w:val="00A133E2"/>
    <w:rsid w:val="00A13CD2"/>
    <w:rsid w:val="00A144C7"/>
    <w:rsid w:val="00A16A49"/>
    <w:rsid w:val="00A16B7B"/>
    <w:rsid w:val="00A17DC0"/>
    <w:rsid w:val="00A2065D"/>
    <w:rsid w:val="00A22114"/>
    <w:rsid w:val="00A22502"/>
    <w:rsid w:val="00A22A4C"/>
    <w:rsid w:val="00A236C5"/>
    <w:rsid w:val="00A23DE8"/>
    <w:rsid w:val="00A24535"/>
    <w:rsid w:val="00A25CE4"/>
    <w:rsid w:val="00A26E0C"/>
    <w:rsid w:val="00A27FC9"/>
    <w:rsid w:val="00A30465"/>
    <w:rsid w:val="00A30D1E"/>
    <w:rsid w:val="00A319A0"/>
    <w:rsid w:val="00A32612"/>
    <w:rsid w:val="00A33CFA"/>
    <w:rsid w:val="00A34700"/>
    <w:rsid w:val="00A375D4"/>
    <w:rsid w:val="00A40823"/>
    <w:rsid w:val="00A41CC6"/>
    <w:rsid w:val="00A41EE2"/>
    <w:rsid w:val="00A422D1"/>
    <w:rsid w:val="00A444EF"/>
    <w:rsid w:val="00A44D10"/>
    <w:rsid w:val="00A457A4"/>
    <w:rsid w:val="00A4593E"/>
    <w:rsid w:val="00A507D0"/>
    <w:rsid w:val="00A52776"/>
    <w:rsid w:val="00A55E7D"/>
    <w:rsid w:val="00A57FCC"/>
    <w:rsid w:val="00A61A81"/>
    <w:rsid w:val="00A61B3D"/>
    <w:rsid w:val="00A644B2"/>
    <w:rsid w:val="00A6520D"/>
    <w:rsid w:val="00A676D7"/>
    <w:rsid w:val="00A7008E"/>
    <w:rsid w:val="00A716E2"/>
    <w:rsid w:val="00A72119"/>
    <w:rsid w:val="00A76568"/>
    <w:rsid w:val="00A8010A"/>
    <w:rsid w:val="00A87780"/>
    <w:rsid w:val="00A90C9D"/>
    <w:rsid w:val="00A9164B"/>
    <w:rsid w:val="00A91AB0"/>
    <w:rsid w:val="00A940F1"/>
    <w:rsid w:val="00A973A5"/>
    <w:rsid w:val="00AA1B0C"/>
    <w:rsid w:val="00AA1EDE"/>
    <w:rsid w:val="00AA3DFC"/>
    <w:rsid w:val="00AA6364"/>
    <w:rsid w:val="00AB1A32"/>
    <w:rsid w:val="00AB4829"/>
    <w:rsid w:val="00AB49B5"/>
    <w:rsid w:val="00AB6B21"/>
    <w:rsid w:val="00AB71FA"/>
    <w:rsid w:val="00AC1904"/>
    <w:rsid w:val="00AC1DCA"/>
    <w:rsid w:val="00AC2433"/>
    <w:rsid w:val="00AC2DAD"/>
    <w:rsid w:val="00AC41C4"/>
    <w:rsid w:val="00AC560A"/>
    <w:rsid w:val="00AD0491"/>
    <w:rsid w:val="00AD0D8F"/>
    <w:rsid w:val="00AD0F6E"/>
    <w:rsid w:val="00AD2A4B"/>
    <w:rsid w:val="00AD3D70"/>
    <w:rsid w:val="00AD4D21"/>
    <w:rsid w:val="00AD600D"/>
    <w:rsid w:val="00AD6F3D"/>
    <w:rsid w:val="00AE1CE0"/>
    <w:rsid w:val="00AE234D"/>
    <w:rsid w:val="00AE562F"/>
    <w:rsid w:val="00AF049B"/>
    <w:rsid w:val="00AF1A0A"/>
    <w:rsid w:val="00AF234D"/>
    <w:rsid w:val="00AF3ADB"/>
    <w:rsid w:val="00AF3DA1"/>
    <w:rsid w:val="00AF44DD"/>
    <w:rsid w:val="00AF7C2F"/>
    <w:rsid w:val="00B0103F"/>
    <w:rsid w:val="00B01338"/>
    <w:rsid w:val="00B03C4F"/>
    <w:rsid w:val="00B04938"/>
    <w:rsid w:val="00B114E0"/>
    <w:rsid w:val="00B12CBA"/>
    <w:rsid w:val="00B1600D"/>
    <w:rsid w:val="00B20201"/>
    <w:rsid w:val="00B20377"/>
    <w:rsid w:val="00B21E0A"/>
    <w:rsid w:val="00B24298"/>
    <w:rsid w:val="00B24FD6"/>
    <w:rsid w:val="00B24FE1"/>
    <w:rsid w:val="00B304D9"/>
    <w:rsid w:val="00B3110E"/>
    <w:rsid w:val="00B31B8A"/>
    <w:rsid w:val="00B31BA2"/>
    <w:rsid w:val="00B3371D"/>
    <w:rsid w:val="00B344FE"/>
    <w:rsid w:val="00B35254"/>
    <w:rsid w:val="00B35EBC"/>
    <w:rsid w:val="00B373CB"/>
    <w:rsid w:val="00B42F27"/>
    <w:rsid w:val="00B433C9"/>
    <w:rsid w:val="00B43A2A"/>
    <w:rsid w:val="00B440C6"/>
    <w:rsid w:val="00B52061"/>
    <w:rsid w:val="00B6197B"/>
    <w:rsid w:val="00B61D78"/>
    <w:rsid w:val="00B62E57"/>
    <w:rsid w:val="00B65C90"/>
    <w:rsid w:val="00B65D4B"/>
    <w:rsid w:val="00B66266"/>
    <w:rsid w:val="00B66571"/>
    <w:rsid w:val="00B715D3"/>
    <w:rsid w:val="00B75C56"/>
    <w:rsid w:val="00B76618"/>
    <w:rsid w:val="00B82AEC"/>
    <w:rsid w:val="00B82FB8"/>
    <w:rsid w:val="00B83829"/>
    <w:rsid w:val="00B858BE"/>
    <w:rsid w:val="00B86A6A"/>
    <w:rsid w:val="00B86BF2"/>
    <w:rsid w:val="00B93C4A"/>
    <w:rsid w:val="00B954A5"/>
    <w:rsid w:val="00B95CD7"/>
    <w:rsid w:val="00B96D29"/>
    <w:rsid w:val="00BA0A63"/>
    <w:rsid w:val="00BA3CEC"/>
    <w:rsid w:val="00BA62F3"/>
    <w:rsid w:val="00BB3E83"/>
    <w:rsid w:val="00BB3F42"/>
    <w:rsid w:val="00BB4CE0"/>
    <w:rsid w:val="00BB5463"/>
    <w:rsid w:val="00BB5A34"/>
    <w:rsid w:val="00BB7912"/>
    <w:rsid w:val="00BC018F"/>
    <w:rsid w:val="00BC12FB"/>
    <w:rsid w:val="00BC13CF"/>
    <w:rsid w:val="00BC3C3C"/>
    <w:rsid w:val="00BC4089"/>
    <w:rsid w:val="00BC42E7"/>
    <w:rsid w:val="00BD0DA7"/>
    <w:rsid w:val="00BD0DE4"/>
    <w:rsid w:val="00BD38DA"/>
    <w:rsid w:val="00BD45C2"/>
    <w:rsid w:val="00BD4F84"/>
    <w:rsid w:val="00BD5342"/>
    <w:rsid w:val="00BE0937"/>
    <w:rsid w:val="00BE2047"/>
    <w:rsid w:val="00BE2C8B"/>
    <w:rsid w:val="00BE3248"/>
    <w:rsid w:val="00BE7F27"/>
    <w:rsid w:val="00BF2CC4"/>
    <w:rsid w:val="00BF620C"/>
    <w:rsid w:val="00C02619"/>
    <w:rsid w:val="00C03F62"/>
    <w:rsid w:val="00C040A4"/>
    <w:rsid w:val="00C05BCB"/>
    <w:rsid w:val="00C0632C"/>
    <w:rsid w:val="00C06497"/>
    <w:rsid w:val="00C06DA4"/>
    <w:rsid w:val="00C0768A"/>
    <w:rsid w:val="00C10595"/>
    <w:rsid w:val="00C10EA8"/>
    <w:rsid w:val="00C1112C"/>
    <w:rsid w:val="00C12365"/>
    <w:rsid w:val="00C12A89"/>
    <w:rsid w:val="00C13063"/>
    <w:rsid w:val="00C135B9"/>
    <w:rsid w:val="00C144AD"/>
    <w:rsid w:val="00C14C4A"/>
    <w:rsid w:val="00C14DE4"/>
    <w:rsid w:val="00C16549"/>
    <w:rsid w:val="00C16FF5"/>
    <w:rsid w:val="00C2032F"/>
    <w:rsid w:val="00C21DE7"/>
    <w:rsid w:val="00C223E4"/>
    <w:rsid w:val="00C2369A"/>
    <w:rsid w:val="00C277FA"/>
    <w:rsid w:val="00C315D7"/>
    <w:rsid w:val="00C32B89"/>
    <w:rsid w:val="00C32FFC"/>
    <w:rsid w:val="00C34510"/>
    <w:rsid w:val="00C34B84"/>
    <w:rsid w:val="00C351EA"/>
    <w:rsid w:val="00C35616"/>
    <w:rsid w:val="00C35B85"/>
    <w:rsid w:val="00C3778A"/>
    <w:rsid w:val="00C37C4C"/>
    <w:rsid w:val="00C424A6"/>
    <w:rsid w:val="00C46A3E"/>
    <w:rsid w:val="00C47EBB"/>
    <w:rsid w:val="00C5038A"/>
    <w:rsid w:val="00C5131C"/>
    <w:rsid w:val="00C513C0"/>
    <w:rsid w:val="00C525EB"/>
    <w:rsid w:val="00C5493E"/>
    <w:rsid w:val="00C567C6"/>
    <w:rsid w:val="00C56902"/>
    <w:rsid w:val="00C61110"/>
    <w:rsid w:val="00C6256D"/>
    <w:rsid w:val="00C62756"/>
    <w:rsid w:val="00C63E2B"/>
    <w:rsid w:val="00C657D5"/>
    <w:rsid w:val="00C66056"/>
    <w:rsid w:val="00C67E4F"/>
    <w:rsid w:val="00C70A7C"/>
    <w:rsid w:val="00C710CD"/>
    <w:rsid w:val="00C722BD"/>
    <w:rsid w:val="00C72322"/>
    <w:rsid w:val="00C724F1"/>
    <w:rsid w:val="00C74585"/>
    <w:rsid w:val="00C7512C"/>
    <w:rsid w:val="00C75EDD"/>
    <w:rsid w:val="00C769DB"/>
    <w:rsid w:val="00C772D1"/>
    <w:rsid w:val="00C81131"/>
    <w:rsid w:val="00C81746"/>
    <w:rsid w:val="00C8211E"/>
    <w:rsid w:val="00C82FAF"/>
    <w:rsid w:val="00C84E50"/>
    <w:rsid w:val="00C85286"/>
    <w:rsid w:val="00C85308"/>
    <w:rsid w:val="00C854B0"/>
    <w:rsid w:val="00C8577F"/>
    <w:rsid w:val="00C912D4"/>
    <w:rsid w:val="00C91E9A"/>
    <w:rsid w:val="00C933F0"/>
    <w:rsid w:val="00C94E2C"/>
    <w:rsid w:val="00C95432"/>
    <w:rsid w:val="00C96F09"/>
    <w:rsid w:val="00CA0849"/>
    <w:rsid w:val="00CA45A8"/>
    <w:rsid w:val="00CA7AD3"/>
    <w:rsid w:val="00CB0B4E"/>
    <w:rsid w:val="00CB115A"/>
    <w:rsid w:val="00CB1A42"/>
    <w:rsid w:val="00CB5629"/>
    <w:rsid w:val="00CB6B98"/>
    <w:rsid w:val="00CC2494"/>
    <w:rsid w:val="00CC3CA8"/>
    <w:rsid w:val="00CC42F6"/>
    <w:rsid w:val="00CC62A4"/>
    <w:rsid w:val="00CD00EF"/>
    <w:rsid w:val="00CD0FA7"/>
    <w:rsid w:val="00CD132C"/>
    <w:rsid w:val="00CD18D7"/>
    <w:rsid w:val="00CD2F61"/>
    <w:rsid w:val="00CD361D"/>
    <w:rsid w:val="00CE03EC"/>
    <w:rsid w:val="00CE0413"/>
    <w:rsid w:val="00CE05BE"/>
    <w:rsid w:val="00CE3441"/>
    <w:rsid w:val="00CE4BCF"/>
    <w:rsid w:val="00CE5CEF"/>
    <w:rsid w:val="00CE7BEC"/>
    <w:rsid w:val="00CF15BD"/>
    <w:rsid w:val="00CF496B"/>
    <w:rsid w:val="00CF51AB"/>
    <w:rsid w:val="00CF5332"/>
    <w:rsid w:val="00CF6DD2"/>
    <w:rsid w:val="00D01EA9"/>
    <w:rsid w:val="00D0274E"/>
    <w:rsid w:val="00D0429D"/>
    <w:rsid w:val="00D0639B"/>
    <w:rsid w:val="00D1167A"/>
    <w:rsid w:val="00D14282"/>
    <w:rsid w:val="00D1501B"/>
    <w:rsid w:val="00D156B9"/>
    <w:rsid w:val="00D162E5"/>
    <w:rsid w:val="00D17929"/>
    <w:rsid w:val="00D220F0"/>
    <w:rsid w:val="00D23645"/>
    <w:rsid w:val="00D24074"/>
    <w:rsid w:val="00D260C2"/>
    <w:rsid w:val="00D26FE9"/>
    <w:rsid w:val="00D27C03"/>
    <w:rsid w:val="00D27EE5"/>
    <w:rsid w:val="00D31A31"/>
    <w:rsid w:val="00D34657"/>
    <w:rsid w:val="00D36F23"/>
    <w:rsid w:val="00D40169"/>
    <w:rsid w:val="00D40A2E"/>
    <w:rsid w:val="00D4206F"/>
    <w:rsid w:val="00D420D0"/>
    <w:rsid w:val="00D45C9F"/>
    <w:rsid w:val="00D504E9"/>
    <w:rsid w:val="00D53001"/>
    <w:rsid w:val="00D537D4"/>
    <w:rsid w:val="00D53DB1"/>
    <w:rsid w:val="00D56F38"/>
    <w:rsid w:val="00D601F8"/>
    <w:rsid w:val="00D60224"/>
    <w:rsid w:val="00D6571D"/>
    <w:rsid w:val="00D662EC"/>
    <w:rsid w:val="00D66427"/>
    <w:rsid w:val="00D66FCE"/>
    <w:rsid w:val="00D6791C"/>
    <w:rsid w:val="00D67F07"/>
    <w:rsid w:val="00D708F7"/>
    <w:rsid w:val="00D7145B"/>
    <w:rsid w:val="00D71866"/>
    <w:rsid w:val="00D727DB"/>
    <w:rsid w:val="00D73242"/>
    <w:rsid w:val="00D74274"/>
    <w:rsid w:val="00D74C5F"/>
    <w:rsid w:val="00D75D3A"/>
    <w:rsid w:val="00D767B0"/>
    <w:rsid w:val="00D76874"/>
    <w:rsid w:val="00D80393"/>
    <w:rsid w:val="00D82295"/>
    <w:rsid w:val="00D8238E"/>
    <w:rsid w:val="00D836C9"/>
    <w:rsid w:val="00D83CD6"/>
    <w:rsid w:val="00D85A11"/>
    <w:rsid w:val="00D87CA2"/>
    <w:rsid w:val="00D90034"/>
    <w:rsid w:val="00D90725"/>
    <w:rsid w:val="00D9246B"/>
    <w:rsid w:val="00D926CF"/>
    <w:rsid w:val="00D93B12"/>
    <w:rsid w:val="00D94D07"/>
    <w:rsid w:val="00D9633D"/>
    <w:rsid w:val="00D9774D"/>
    <w:rsid w:val="00D97CFA"/>
    <w:rsid w:val="00D97FDE"/>
    <w:rsid w:val="00DA0AC4"/>
    <w:rsid w:val="00DA0CEF"/>
    <w:rsid w:val="00DA10F5"/>
    <w:rsid w:val="00DA1544"/>
    <w:rsid w:val="00DA1D5F"/>
    <w:rsid w:val="00DA42B3"/>
    <w:rsid w:val="00DA4E3B"/>
    <w:rsid w:val="00DA5C02"/>
    <w:rsid w:val="00DA5FFD"/>
    <w:rsid w:val="00DB0403"/>
    <w:rsid w:val="00DB2B5F"/>
    <w:rsid w:val="00DB536F"/>
    <w:rsid w:val="00DB668C"/>
    <w:rsid w:val="00DB6784"/>
    <w:rsid w:val="00DB6CB2"/>
    <w:rsid w:val="00DB70CC"/>
    <w:rsid w:val="00DC1A92"/>
    <w:rsid w:val="00DC341A"/>
    <w:rsid w:val="00DC4C76"/>
    <w:rsid w:val="00DC5429"/>
    <w:rsid w:val="00DC6A56"/>
    <w:rsid w:val="00DD1E31"/>
    <w:rsid w:val="00DD2C93"/>
    <w:rsid w:val="00DD40EE"/>
    <w:rsid w:val="00DD4F54"/>
    <w:rsid w:val="00DD6136"/>
    <w:rsid w:val="00DD671D"/>
    <w:rsid w:val="00DE29D3"/>
    <w:rsid w:val="00DE2BD9"/>
    <w:rsid w:val="00DE4334"/>
    <w:rsid w:val="00DE51FA"/>
    <w:rsid w:val="00DE5E6E"/>
    <w:rsid w:val="00DE5FB2"/>
    <w:rsid w:val="00DE7499"/>
    <w:rsid w:val="00DF0873"/>
    <w:rsid w:val="00DF12B2"/>
    <w:rsid w:val="00DF1407"/>
    <w:rsid w:val="00DF4EF3"/>
    <w:rsid w:val="00DF5114"/>
    <w:rsid w:val="00DF678D"/>
    <w:rsid w:val="00DF700B"/>
    <w:rsid w:val="00DF7C37"/>
    <w:rsid w:val="00E006BF"/>
    <w:rsid w:val="00E01130"/>
    <w:rsid w:val="00E01CA3"/>
    <w:rsid w:val="00E0217D"/>
    <w:rsid w:val="00E024F1"/>
    <w:rsid w:val="00E03A68"/>
    <w:rsid w:val="00E06CC2"/>
    <w:rsid w:val="00E10C5A"/>
    <w:rsid w:val="00E12226"/>
    <w:rsid w:val="00E1258B"/>
    <w:rsid w:val="00E1275B"/>
    <w:rsid w:val="00E143E4"/>
    <w:rsid w:val="00E16066"/>
    <w:rsid w:val="00E16C1D"/>
    <w:rsid w:val="00E17603"/>
    <w:rsid w:val="00E2157E"/>
    <w:rsid w:val="00E217D5"/>
    <w:rsid w:val="00E23771"/>
    <w:rsid w:val="00E25CD1"/>
    <w:rsid w:val="00E2796C"/>
    <w:rsid w:val="00E27E14"/>
    <w:rsid w:val="00E301AA"/>
    <w:rsid w:val="00E317C6"/>
    <w:rsid w:val="00E32B3A"/>
    <w:rsid w:val="00E332B1"/>
    <w:rsid w:val="00E33676"/>
    <w:rsid w:val="00E347FC"/>
    <w:rsid w:val="00E35D39"/>
    <w:rsid w:val="00E3666B"/>
    <w:rsid w:val="00E37E5F"/>
    <w:rsid w:val="00E41965"/>
    <w:rsid w:val="00E4447D"/>
    <w:rsid w:val="00E456A8"/>
    <w:rsid w:val="00E45D67"/>
    <w:rsid w:val="00E461E3"/>
    <w:rsid w:val="00E46D3A"/>
    <w:rsid w:val="00E503D5"/>
    <w:rsid w:val="00E51439"/>
    <w:rsid w:val="00E569F1"/>
    <w:rsid w:val="00E56FEF"/>
    <w:rsid w:val="00E57E8A"/>
    <w:rsid w:val="00E60724"/>
    <w:rsid w:val="00E64171"/>
    <w:rsid w:val="00E64F4C"/>
    <w:rsid w:val="00E6619A"/>
    <w:rsid w:val="00E66BD4"/>
    <w:rsid w:val="00E67A6C"/>
    <w:rsid w:val="00E71950"/>
    <w:rsid w:val="00E71CFA"/>
    <w:rsid w:val="00E71EFE"/>
    <w:rsid w:val="00E7213E"/>
    <w:rsid w:val="00E72F2D"/>
    <w:rsid w:val="00E747E7"/>
    <w:rsid w:val="00E7782D"/>
    <w:rsid w:val="00E83A07"/>
    <w:rsid w:val="00E86AEC"/>
    <w:rsid w:val="00E87945"/>
    <w:rsid w:val="00E91AE6"/>
    <w:rsid w:val="00E920DE"/>
    <w:rsid w:val="00E963B0"/>
    <w:rsid w:val="00E96BE4"/>
    <w:rsid w:val="00E97351"/>
    <w:rsid w:val="00E9754F"/>
    <w:rsid w:val="00E97788"/>
    <w:rsid w:val="00EA1C63"/>
    <w:rsid w:val="00EA422A"/>
    <w:rsid w:val="00EA4337"/>
    <w:rsid w:val="00EA5073"/>
    <w:rsid w:val="00EA573A"/>
    <w:rsid w:val="00EA68EA"/>
    <w:rsid w:val="00EA6D10"/>
    <w:rsid w:val="00EA72E5"/>
    <w:rsid w:val="00EA7DFA"/>
    <w:rsid w:val="00EA7FCB"/>
    <w:rsid w:val="00EB3489"/>
    <w:rsid w:val="00EB4E7E"/>
    <w:rsid w:val="00EB6920"/>
    <w:rsid w:val="00EB7E60"/>
    <w:rsid w:val="00EC3736"/>
    <w:rsid w:val="00EC4B72"/>
    <w:rsid w:val="00EC4DF2"/>
    <w:rsid w:val="00EC53DA"/>
    <w:rsid w:val="00ED0D60"/>
    <w:rsid w:val="00ED1FA2"/>
    <w:rsid w:val="00ED2EBC"/>
    <w:rsid w:val="00ED3754"/>
    <w:rsid w:val="00ED5C71"/>
    <w:rsid w:val="00ED7932"/>
    <w:rsid w:val="00EE0DCD"/>
    <w:rsid w:val="00EE37BD"/>
    <w:rsid w:val="00EF2122"/>
    <w:rsid w:val="00EF2FF0"/>
    <w:rsid w:val="00EF336C"/>
    <w:rsid w:val="00EF361D"/>
    <w:rsid w:val="00EF5519"/>
    <w:rsid w:val="00EF67ED"/>
    <w:rsid w:val="00F00D5D"/>
    <w:rsid w:val="00F016DA"/>
    <w:rsid w:val="00F01967"/>
    <w:rsid w:val="00F03DD5"/>
    <w:rsid w:val="00F06EB1"/>
    <w:rsid w:val="00F10468"/>
    <w:rsid w:val="00F105C8"/>
    <w:rsid w:val="00F106DD"/>
    <w:rsid w:val="00F10BB6"/>
    <w:rsid w:val="00F13021"/>
    <w:rsid w:val="00F13411"/>
    <w:rsid w:val="00F247E0"/>
    <w:rsid w:val="00F27E7C"/>
    <w:rsid w:val="00F30269"/>
    <w:rsid w:val="00F34478"/>
    <w:rsid w:val="00F35267"/>
    <w:rsid w:val="00F36B44"/>
    <w:rsid w:val="00F36F63"/>
    <w:rsid w:val="00F40008"/>
    <w:rsid w:val="00F4052F"/>
    <w:rsid w:val="00F427B7"/>
    <w:rsid w:val="00F42EB5"/>
    <w:rsid w:val="00F43F98"/>
    <w:rsid w:val="00F44427"/>
    <w:rsid w:val="00F44C1E"/>
    <w:rsid w:val="00F47343"/>
    <w:rsid w:val="00F5104C"/>
    <w:rsid w:val="00F511ED"/>
    <w:rsid w:val="00F53816"/>
    <w:rsid w:val="00F54E5D"/>
    <w:rsid w:val="00F55518"/>
    <w:rsid w:val="00F5705F"/>
    <w:rsid w:val="00F57698"/>
    <w:rsid w:val="00F61B58"/>
    <w:rsid w:val="00F629AD"/>
    <w:rsid w:val="00F63206"/>
    <w:rsid w:val="00F707D9"/>
    <w:rsid w:val="00F71079"/>
    <w:rsid w:val="00F72344"/>
    <w:rsid w:val="00F727BD"/>
    <w:rsid w:val="00F72FE6"/>
    <w:rsid w:val="00F73024"/>
    <w:rsid w:val="00F734F1"/>
    <w:rsid w:val="00F73BD4"/>
    <w:rsid w:val="00F7411A"/>
    <w:rsid w:val="00F75116"/>
    <w:rsid w:val="00F76446"/>
    <w:rsid w:val="00F8119D"/>
    <w:rsid w:val="00F83808"/>
    <w:rsid w:val="00F83953"/>
    <w:rsid w:val="00F84E23"/>
    <w:rsid w:val="00F853C8"/>
    <w:rsid w:val="00F86483"/>
    <w:rsid w:val="00F86B35"/>
    <w:rsid w:val="00F92ADC"/>
    <w:rsid w:val="00F94451"/>
    <w:rsid w:val="00F96533"/>
    <w:rsid w:val="00F970F0"/>
    <w:rsid w:val="00FA0051"/>
    <w:rsid w:val="00FA1051"/>
    <w:rsid w:val="00FA3985"/>
    <w:rsid w:val="00FA6090"/>
    <w:rsid w:val="00FB0B50"/>
    <w:rsid w:val="00FB10FD"/>
    <w:rsid w:val="00FB12FF"/>
    <w:rsid w:val="00FB5C04"/>
    <w:rsid w:val="00FC001A"/>
    <w:rsid w:val="00FC0EA2"/>
    <w:rsid w:val="00FC0EB6"/>
    <w:rsid w:val="00FC3251"/>
    <w:rsid w:val="00FC4FEA"/>
    <w:rsid w:val="00FC513F"/>
    <w:rsid w:val="00FC6B6E"/>
    <w:rsid w:val="00FD1147"/>
    <w:rsid w:val="00FD13E4"/>
    <w:rsid w:val="00FD2C78"/>
    <w:rsid w:val="00FD3D04"/>
    <w:rsid w:val="00FD41F6"/>
    <w:rsid w:val="00FE01F2"/>
    <w:rsid w:val="00FE068F"/>
    <w:rsid w:val="00FE0FB3"/>
    <w:rsid w:val="00FE1CAE"/>
    <w:rsid w:val="00FE1D88"/>
    <w:rsid w:val="00FE1FF0"/>
    <w:rsid w:val="00FE3372"/>
    <w:rsid w:val="00FE5AB2"/>
    <w:rsid w:val="00FE6469"/>
    <w:rsid w:val="00FE6601"/>
    <w:rsid w:val="00FE6CAB"/>
    <w:rsid w:val="00FE7081"/>
    <w:rsid w:val="00FE7D9F"/>
    <w:rsid w:val="00FF1D6B"/>
    <w:rsid w:val="00FF2BD4"/>
    <w:rsid w:val="00FF4821"/>
    <w:rsid w:val="00FF552C"/>
    <w:rsid w:val="00FF7D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3A7F67"/>
    <w:pPr>
      <w:spacing w:after="60" w:line="240" w:lineRule="auto"/>
      <w:jc w:val="both"/>
    </w:pPr>
    <w:rPr>
      <w:rFonts w:ascii="Arial" w:eastAsia="Times New Roman" w:hAnsi="Arial" w:cs="Times New Roman"/>
      <w:szCs w:val="24"/>
    </w:rPr>
  </w:style>
  <w:style w:type="paragraph" w:styleId="Nadpis1">
    <w:name w:val="heading 1"/>
    <w:basedOn w:val="Normln"/>
    <w:next w:val="Normln"/>
    <w:link w:val="Nadpis1Char"/>
    <w:uiPriority w:val="9"/>
    <w:qFormat/>
    <w:rsid w:val="00571BC4"/>
    <w:pPr>
      <w:keepNext/>
      <w:keepLines/>
      <w:spacing w:before="240" w:after="120"/>
      <w:outlineLvl w:val="0"/>
    </w:pPr>
    <w:rPr>
      <w:rFonts w:eastAsiaTheme="majorEastAsia" w:cstheme="majorBidi"/>
      <w:b/>
      <w:bCs/>
      <w:szCs w:val="28"/>
    </w:rPr>
  </w:style>
  <w:style w:type="paragraph" w:styleId="Nadpis2">
    <w:name w:val="heading 2"/>
    <w:basedOn w:val="Normln"/>
    <w:next w:val="Normln"/>
    <w:link w:val="Nadpis2Char1"/>
    <w:uiPriority w:val="9"/>
    <w:unhideWhenUsed/>
    <w:qFormat/>
    <w:rsid w:val="00167B2C"/>
    <w:pPr>
      <w:keepNext/>
      <w:keepLines/>
      <w:spacing w:before="200" w:after="0"/>
      <w:outlineLvl w:val="1"/>
    </w:pPr>
    <w:rPr>
      <w:rFonts w:eastAsiaTheme="majorEastAsia" w:cstheme="majorBidi"/>
      <w:b/>
      <w:bCs/>
      <w:szCs w:val="26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137D7A"/>
    <w:pPr>
      <w:keepNext/>
      <w:keepLines/>
      <w:spacing w:before="200"/>
      <w:outlineLvl w:val="2"/>
    </w:pPr>
    <w:rPr>
      <w:rFonts w:eastAsiaTheme="majorEastAsia" w:cstheme="majorBidi"/>
      <w:b/>
      <w:bCs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814434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814434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814434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814434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814434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814434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NadpisKZ">
    <w:name w:val="Nadpis KZ"/>
    <w:basedOn w:val="Zkladntext2"/>
    <w:rsid w:val="00F016DA"/>
    <w:pPr>
      <w:spacing w:before="120" w:after="360" w:line="240" w:lineRule="auto"/>
    </w:pPr>
    <w:rPr>
      <w:b/>
      <w:bCs/>
      <w:sz w:val="32"/>
      <w:lang w:eastAsia="cs-CZ"/>
    </w:rPr>
  </w:style>
  <w:style w:type="paragraph" w:styleId="Zkladntext2">
    <w:name w:val="Body Text 2"/>
    <w:basedOn w:val="Normln"/>
    <w:link w:val="Zkladntext2Char"/>
    <w:uiPriority w:val="99"/>
    <w:semiHidden/>
    <w:unhideWhenUsed/>
    <w:rsid w:val="00F016DA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uiPriority w:val="99"/>
    <w:semiHidden/>
    <w:rsid w:val="00F016DA"/>
    <w:rPr>
      <w:rFonts w:ascii="Times New Roman" w:eastAsia="Times New Roman" w:hAnsi="Times New Roman" w:cs="Times New Roman"/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896424"/>
    <w:pPr>
      <w:ind w:left="720"/>
      <w:contextualSpacing/>
    </w:pPr>
  </w:style>
  <w:style w:type="character" w:styleId="Znakapoznpodarou">
    <w:name w:val="footnote reference"/>
    <w:basedOn w:val="Standardnpsmoodstavce"/>
    <w:uiPriority w:val="99"/>
    <w:semiHidden/>
    <w:unhideWhenUsed/>
    <w:rsid w:val="00896424"/>
    <w:rPr>
      <w:rFonts w:cs="Times New Roman"/>
      <w:vertAlign w:val="superscript"/>
    </w:rPr>
  </w:style>
  <w:style w:type="character" w:styleId="Odkaznakoment">
    <w:name w:val="annotation reference"/>
    <w:basedOn w:val="Standardnpsmoodstavce"/>
    <w:uiPriority w:val="99"/>
    <w:semiHidden/>
    <w:unhideWhenUsed/>
    <w:rsid w:val="00896424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896424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896424"/>
    <w:rPr>
      <w:rFonts w:ascii="Times New Roman" w:eastAsia="Times New Roman" w:hAnsi="Times New Roman"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896424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896424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896424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96424"/>
    <w:rPr>
      <w:rFonts w:ascii="Tahoma" w:eastAsia="Times New Roman" w:hAnsi="Tahoma" w:cs="Tahoma"/>
      <w:sz w:val="16"/>
      <w:szCs w:val="16"/>
    </w:rPr>
  </w:style>
  <w:style w:type="paragraph" w:styleId="Textpoznpodarou">
    <w:name w:val="footnote text"/>
    <w:basedOn w:val="Normln"/>
    <w:link w:val="TextpoznpodarouChar"/>
    <w:uiPriority w:val="99"/>
    <w:unhideWhenUsed/>
    <w:rsid w:val="00D67F07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D67F07"/>
    <w:rPr>
      <w:rFonts w:ascii="Times New Roman" w:eastAsia="Times New Roman" w:hAnsi="Times New Roman" w:cs="Times New Roman"/>
      <w:sz w:val="20"/>
      <w:szCs w:val="20"/>
    </w:rPr>
  </w:style>
  <w:style w:type="paragraph" w:styleId="Titulek">
    <w:name w:val="caption"/>
    <w:basedOn w:val="Normln"/>
    <w:next w:val="Normln"/>
    <w:uiPriority w:val="35"/>
    <w:unhideWhenUsed/>
    <w:qFormat/>
    <w:rsid w:val="00452CB4"/>
    <w:pPr>
      <w:spacing w:after="120"/>
    </w:pPr>
    <w:rPr>
      <w:b/>
      <w:bCs/>
      <w:sz w:val="20"/>
      <w:szCs w:val="20"/>
    </w:rPr>
  </w:style>
  <w:style w:type="character" w:customStyle="1" w:styleId="Nadpis1Char">
    <w:name w:val="Nadpis 1 Char"/>
    <w:basedOn w:val="Standardnpsmoodstavce"/>
    <w:link w:val="Nadpis1"/>
    <w:uiPriority w:val="9"/>
    <w:rsid w:val="00571BC4"/>
    <w:rPr>
      <w:rFonts w:ascii="Arial" w:eastAsiaTheme="majorEastAsia" w:hAnsi="Arial" w:cstheme="majorBidi"/>
      <w:b/>
      <w:bCs/>
      <w:szCs w:val="28"/>
    </w:rPr>
  </w:style>
  <w:style w:type="paragraph" w:styleId="Zhlav">
    <w:name w:val="header"/>
    <w:basedOn w:val="Normln"/>
    <w:link w:val="ZhlavChar"/>
    <w:uiPriority w:val="99"/>
    <w:unhideWhenUsed/>
    <w:rsid w:val="0006704C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06704C"/>
    <w:rPr>
      <w:rFonts w:ascii="Arial" w:eastAsia="Times New Roman" w:hAnsi="Arial" w:cs="Times New Roman"/>
      <w:szCs w:val="24"/>
    </w:rPr>
  </w:style>
  <w:style w:type="paragraph" w:styleId="Zpat">
    <w:name w:val="footer"/>
    <w:basedOn w:val="Normln"/>
    <w:link w:val="ZpatChar"/>
    <w:uiPriority w:val="99"/>
    <w:unhideWhenUsed/>
    <w:rsid w:val="0006704C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06704C"/>
    <w:rPr>
      <w:rFonts w:ascii="Arial" w:eastAsia="Times New Roman" w:hAnsi="Arial" w:cs="Times New Roman"/>
      <w:szCs w:val="24"/>
    </w:rPr>
  </w:style>
  <w:style w:type="character" w:customStyle="1" w:styleId="Nadpis2Char">
    <w:name w:val="Nadpis 2 Char"/>
    <w:basedOn w:val="Standardnpsmoodstavce"/>
    <w:uiPriority w:val="9"/>
    <w:rsid w:val="00B24298"/>
    <w:rPr>
      <w:rFonts w:ascii="Arial" w:eastAsiaTheme="majorEastAsia" w:hAnsi="Arial" w:cstheme="majorBidi"/>
      <w:b/>
      <w:bCs/>
      <w:szCs w:val="26"/>
    </w:rPr>
  </w:style>
  <w:style w:type="character" w:customStyle="1" w:styleId="Nadpis3Char">
    <w:name w:val="Nadpis 3 Char"/>
    <w:basedOn w:val="Standardnpsmoodstavce"/>
    <w:link w:val="Nadpis3"/>
    <w:uiPriority w:val="9"/>
    <w:rsid w:val="00137D7A"/>
    <w:rPr>
      <w:rFonts w:ascii="Arial" w:eastAsiaTheme="majorEastAsia" w:hAnsi="Arial" w:cstheme="majorBidi"/>
      <w:b/>
      <w:bCs/>
      <w:szCs w:val="24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814434"/>
    <w:rPr>
      <w:rFonts w:asciiTheme="majorHAnsi" w:eastAsiaTheme="majorEastAsia" w:hAnsiTheme="majorHAnsi" w:cstheme="majorBidi"/>
      <w:b/>
      <w:bCs/>
      <w:i/>
      <w:iCs/>
      <w:color w:val="4F81BD" w:themeColor="accent1"/>
      <w:szCs w:val="24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814434"/>
    <w:rPr>
      <w:rFonts w:asciiTheme="majorHAnsi" w:eastAsiaTheme="majorEastAsia" w:hAnsiTheme="majorHAnsi" w:cstheme="majorBidi"/>
      <w:color w:val="243F60" w:themeColor="accent1" w:themeShade="7F"/>
      <w:szCs w:val="24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814434"/>
    <w:rPr>
      <w:rFonts w:asciiTheme="majorHAnsi" w:eastAsiaTheme="majorEastAsia" w:hAnsiTheme="majorHAnsi" w:cstheme="majorBidi"/>
      <w:i/>
      <w:iCs/>
      <w:color w:val="243F60" w:themeColor="accent1" w:themeShade="7F"/>
      <w:szCs w:val="24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814434"/>
    <w:rPr>
      <w:rFonts w:asciiTheme="majorHAnsi" w:eastAsiaTheme="majorEastAsia" w:hAnsiTheme="majorHAnsi" w:cstheme="majorBidi"/>
      <w:i/>
      <w:iCs/>
      <w:color w:val="404040" w:themeColor="text1" w:themeTint="BF"/>
      <w:szCs w:val="24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814434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814434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Bezmezer">
    <w:name w:val="No Spacing"/>
    <w:uiPriority w:val="1"/>
    <w:qFormat/>
    <w:rsid w:val="00BE2C8B"/>
    <w:pPr>
      <w:spacing w:after="0" w:line="240" w:lineRule="auto"/>
      <w:jc w:val="both"/>
    </w:pPr>
    <w:rPr>
      <w:rFonts w:ascii="Arial" w:eastAsia="Times New Roman" w:hAnsi="Arial" w:cs="Times New Roman"/>
      <w:szCs w:val="24"/>
    </w:rPr>
  </w:style>
  <w:style w:type="character" w:styleId="Hypertextovodkaz">
    <w:name w:val="Hyperlink"/>
    <w:basedOn w:val="Standardnpsmoodstavce"/>
    <w:uiPriority w:val="99"/>
    <w:unhideWhenUsed/>
    <w:rsid w:val="00CD00EF"/>
    <w:rPr>
      <w:color w:val="0000FF" w:themeColor="hyperlink"/>
      <w:u w:val="single"/>
    </w:rPr>
  </w:style>
  <w:style w:type="character" w:styleId="Sledovanodkaz">
    <w:name w:val="FollowedHyperlink"/>
    <w:basedOn w:val="Standardnpsmoodstavce"/>
    <w:uiPriority w:val="99"/>
    <w:semiHidden/>
    <w:unhideWhenUsed/>
    <w:rsid w:val="00CF6DD2"/>
    <w:rPr>
      <w:color w:val="800080" w:themeColor="followedHyperlink"/>
      <w:u w:val="single"/>
    </w:rPr>
  </w:style>
  <w:style w:type="table" w:styleId="Mkatabulky">
    <w:name w:val="Table Grid"/>
    <w:basedOn w:val="Normlntabulka"/>
    <w:uiPriority w:val="59"/>
    <w:rsid w:val="00411A0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adpis2Char1">
    <w:name w:val="Nadpis 2 Char1"/>
    <w:basedOn w:val="Standardnpsmoodstavce"/>
    <w:link w:val="Nadpis2"/>
    <w:uiPriority w:val="9"/>
    <w:rsid w:val="00167B2C"/>
    <w:rPr>
      <w:rFonts w:ascii="Arial" w:eastAsiaTheme="majorEastAsia" w:hAnsi="Arial" w:cstheme="majorBidi"/>
      <w:b/>
      <w:bCs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3A7F67"/>
    <w:pPr>
      <w:spacing w:after="60" w:line="240" w:lineRule="auto"/>
      <w:jc w:val="both"/>
    </w:pPr>
    <w:rPr>
      <w:rFonts w:ascii="Arial" w:eastAsia="Times New Roman" w:hAnsi="Arial" w:cs="Times New Roman"/>
      <w:szCs w:val="24"/>
    </w:rPr>
  </w:style>
  <w:style w:type="paragraph" w:styleId="Nadpis1">
    <w:name w:val="heading 1"/>
    <w:basedOn w:val="Normln"/>
    <w:next w:val="Normln"/>
    <w:link w:val="Nadpis1Char"/>
    <w:uiPriority w:val="9"/>
    <w:qFormat/>
    <w:rsid w:val="00571BC4"/>
    <w:pPr>
      <w:keepNext/>
      <w:keepLines/>
      <w:spacing w:before="240" w:after="120"/>
      <w:outlineLvl w:val="0"/>
    </w:pPr>
    <w:rPr>
      <w:rFonts w:eastAsiaTheme="majorEastAsia" w:cstheme="majorBidi"/>
      <w:b/>
      <w:bCs/>
      <w:szCs w:val="28"/>
    </w:rPr>
  </w:style>
  <w:style w:type="paragraph" w:styleId="Nadpis2">
    <w:name w:val="heading 2"/>
    <w:basedOn w:val="Normln"/>
    <w:next w:val="Normln"/>
    <w:link w:val="Nadpis2Char1"/>
    <w:uiPriority w:val="9"/>
    <w:unhideWhenUsed/>
    <w:qFormat/>
    <w:rsid w:val="00167B2C"/>
    <w:pPr>
      <w:keepNext/>
      <w:keepLines/>
      <w:spacing w:before="200" w:after="0"/>
      <w:outlineLvl w:val="1"/>
    </w:pPr>
    <w:rPr>
      <w:rFonts w:eastAsiaTheme="majorEastAsia" w:cstheme="majorBidi"/>
      <w:b/>
      <w:bCs/>
      <w:szCs w:val="26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137D7A"/>
    <w:pPr>
      <w:keepNext/>
      <w:keepLines/>
      <w:spacing w:before="200"/>
      <w:outlineLvl w:val="2"/>
    </w:pPr>
    <w:rPr>
      <w:rFonts w:eastAsiaTheme="majorEastAsia" w:cstheme="majorBidi"/>
      <w:b/>
      <w:bCs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814434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814434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814434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814434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814434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814434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NadpisKZ">
    <w:name w:val="Nadpis KZ"/>
    <w:basedOn w:val="Zkladntext2"/>
    <w:rsid w:val="00F016DA"/>
    <w:pPr>
      <w:spacing w:before="120" w:after="360" w:line="240" w:lineRule="auto"/>
    </w:pPr>
    <w:rPr>
      <w:b/>
      <w:bCs/>
      <w:sz w:val="32"/>
      <w:lang w:eastAsia="cs-CZ"/>
    </w:rPr>
  </w:style>
  <w:style w:type="paragraph" w:styleId="Zkladntext2">
    <w:name w:val="Body Text 2"/>
    <w:basedOn w:val="Normln"/>
    <w:link w:val="Zkladntext2Char"/>
    <w:uiPriority w:val="99"/>
    <w:semiHidden/>
    <w:unhideWhenUsed/>
    <w:rsid w:val="00F016DA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uiPriority w:val="99"/>
    <w:semiHidden/>
    <w:rsid w:val="00F016DA"/>
    <w:rPr>
      <w:rFonts w:ascii="Times New Roman" w:eastAsia="Times New Roman" w:hAnsi="Times New Roman" w:cs="Times New Roman"/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896424"/>
    <w:pPr>
      <w:ind w:left="720"/>
      <w:contextualSpacing/>
    </w:pPr>
  </w:style>
  <w:style w:type="character" w:styleId="Znakapoznpodarou">
    <w:name w:val="footnote reference"/>
    <w:basedOn w:val="Standardnpsmoodstavce"/>
    <w:uiPriority w:val="99"/>
    <w:semiHidden/>
    <w:unhideWhenUsed/>
    <w:rsid w:val="00896424"/>
    <w:rPr>
      <w:rFonts w:cs="Times New Roman"/>
      <w:vertAlign w:val="superscript"/>
    </w:rPr>
  </w:style>
  <w:style w:type="character" w:styleId="Odkaznakoment">
    <w:name w:val="annotation reference"/>
    <w:basedOn w:val="Standardnpsmoodstavce"/>
    <w:uiPriority w:val="99"/>
    <w:semiHidden/>
    <w:unhideWhenUsed/>
    <w:rsid w:val="00896424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896424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896424"/>
    <w:rPr>
      <w:rFonts w:ascii="Times New Roman" w:eastAsia="Times New Roman" w:hAnsi="Times New Roman"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896424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896424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896424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96424"/>
    <w:rPr>
      <w:rFonts w:ascii="Tahoma" w:eastAsia="Times New Roman" w:hAnsi="Tahoma" w:cs="Tahoma"/>
      <w:sz w:val="16"/>
      <w:szCs w:val="16"/>
    </w:rPr>
  </w:style>
  <w:style w:type="paragraph" w:styleId="Textpoznpodarou">
    <w:name w:val="footnote text"/>
    <w:basedOn w:val="Normln"/>
    <w:link w:val="TextpoznpodarouChar"/>
    <w:uiPriority w:val="99"/>
    <w:unhideWhenUsed/>
    <w:rsid w:val="00D67F07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D67F07"/>
    <w:rPr>
      <w:rFonts w:ascii="Times New Roman" w:eastAsia="Times New Roman" w:hAnsi="Times New Roman" w:cs="Times New Roman"/>
      <w:sz w:val="20"/>
      <w:szCs w:val="20"/>
    </w:rPr>
  </w:style>
  <w:style w:type="paragraph" w:styleId="Titulek">
    <w:name w:val="caption"/>
    <w:basedOn w:val="Normln"/>
    <w:next w:val="Normln"/>
    <w:uiPriority w:val="35"/>
    <w:unhideWhenUsed/>
    <w:qFormat/>
    <w:rsid w:val="00452CB4"/>
    <w:pPr>
      <w:spacing w:after="120"/>
    </w:pPr>
    <w:rPr>
      <w:b/>
      <w:bCs/>
      <w:sz w:val="20"/>
      <w:szCs w:val="20"/>
    </w:rPr>
  </w:style>
  <w:style w:type="character" w:customStyle="1" w:styleId="Nadpis1Char">
    <w:name w:val="Nadpis 1 Char"/>
    <w:basedOn w:val="Standardnpsmoodstavce"/>
    <w:link w:val="Nadpis1"/>
    <w:uiPriority w:val="9"/>
    <w:rsid w:val="00571BC4"/>
    <w:rPr>
      <w:rFonts w:ascii="Arial" w:eastAsiaTheme="majorEastAsia" w:hAnsi="Arial" w:cstheme="majorBidi"/>
      <w:b/>
      <w:bCs/>
      <w:szCs w:val="28"/>
    </w:rPr>
  </w:style>
  <w:style w:type="paragraph" w:styleId="Zhlav">
    <w:name w:val="header"/>
    <w:basedOn w:val="Normln"/>
    <w:link w:val="ZhlavChar"/>
    <w:uiPriority w:val="99"/>
    <w:unhideWhenUsed/>
    <w:rsid w:val="0006704C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06704C"/>
    <w:rPr>
      <w:rFonts w:ascii="Arial" w:eastAsia="Times New Roman" w:hAnsi="Arial" w:cs="Times New Roman"/>
      <w:szCs w:val="24"/>
    </w:rPr>
  </w:style>
  <w:style w:type="paragraph" w:styleId="Zpat">
    <w:name w:val="footer"/>
    <w:basedOn w:val="Normln"/>
    <w:link w:val="ZpatChar"/>
    <w:uiPriority w:val="99"/>
    <w:unhideWhenUsed/>
    <w:rsid w:val="0006704C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06704C"/>
    <w:rPr>
      <w:rFonts w:ascii="Arial" w:eastAsia="Times New Roman" w:hAnsi="Arial" w:cs="Times New Roman"/>
      <w:szCs w:val="24"/>
    </w:rPr>
  </w:style>
  <w:style w:type="character" w:customStyle="1" w:styleId="Nadpis2Char">
    <w:name w:val="Nadpis 2 Char"/>
    <w:basedOn w:val="Standardnpsmoodstavce"/>
    <w:uiPriority w:val="9"/>
    <w:rsid w:val="00B24298"/>
    <w:rPr>
      <w:rFonts w:ascii="Arial" w:eastAsiaTheme="majorEastAsia" w:hAnsi="Arial" w:cstheme="majorBidi"/>
      <w:b/>
      <w:bCs/>
      <w:szCs w:val="26"/>
    </w:rPr>
  </w:style>
  <w:style w:type="character" w:customStyle="1" w:styleId="Nadpis3Char">
    <w:name w:val="Nadpis 3 Char"/>
    <w:basedOn w:val="Standardnpsmoodstavce"/>
    <w:link w:val="Nadpis3"/>
    <w:uiPriority w:val="9"/>
    <w:rsid w:val="00137D7A"/>
    <w:rPr>
      <w:rFonts w:ascii="Arial" w:eastAsiaTheme="majorEastAsia" w:hAnsi="Arial" w:cstheme="majorBidi"/>
      <w:b/>
      <w:bCs/>
      <w:szCs w:val="24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814434"/>
    <w:rPr>
      <w:rFonts w:asciiTheme="majorHAnsi" w:eastAsiaTheme="majorEastAsia" w:hAnsiTheme="majorHAnsi" w:cstheme="majorBidi"/>
      <w:b/>
      <w:bCs/>
      <w:i/>
      <w:iCs/>
      <w:color w:val="4F81BD" w:themeColor="accent1"/>
      <w:szCs w:val="24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814434"/>
    <w:rPr>
      <w:rFonts w:asciiTheme="majorHAnsi" w:eastAsiaTheme="majorEastAsia" w:hAnsiTheme="majorHAnsi" w:cstheme="majorBidi"/>
      <w:color w:val="243F60" w:themeColor="accent1" w:themeShade="7F"/>
      <w:szCs w:val="24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814434"/>
    <w:rPr>
      <w:rFonts w:asciiTheme="majorHAnsi" w:eastAsiaTheme="majorEastAsia" w:hAnsiTheme="majorHAnsi" w:cstheme="majorBidi"/>
      <w:i/>
      <w:iCs/>
      <w:color w:val="243F60" w:themeColor="accent1" w:themeShade="7F"/>
      <w:szCs w:val="24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814434"/>
    <w:rPr>
      <w:rFonts w:asciiTheme="majorHAnsi" w:eastAsiaTheme="majorEastAsia" w:hAnsiTheme="majorHAnsi" w:cstheme="majorBidi"/>
      <w:i/>
      <w:iCs/>
      <w:color w:val="404040" w:themeColor="text1" w:themeTint="BF"/>
      <w:szCs w:val="24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814434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814434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Bezmezer">
    <w:name w:val="No Spacing"/>
    <w:uiPriority w:val="1"/>
    <w:qFormat/>
    <w:rsid w:val="00BE2C8B"/>
    <w:pPr>
      <w:spacing w:after="0" w:line="240" w:lineRule="auto"/>
      <w:jc w:val="both"/>
    </w:pPr>
    <w:rPr>
      <w:rFonts w:ascii="Arial" w:eastAsia="Times New Roman" w:hAnsi="Arial" w:cs="Times New Roman"/>
      <w:szCs w:val="24"/>
    </w:rPr>
  </w:style>
  <w:style w:type="character" w:styleId="Hypertextovodkaz">
    <w:name w:val="Hyperlink"/>
    <w:basedOn w:val="Standardnpsmoodstavce"/>
    <w:uiPriority w:val="99"/>
    <w:unhideWhenUsed/>
    <w:rsid w:val="00CD00EF"/>
    <w:rPr>
      <w:color w:val="0000FF" w:themeColor="hyperlink"/>
      <w:u w:val="single"/>
    </w:rPr>
  </w:style>
  <w:style w:type="character" w:styleId="Sledovanodkaz">
    <w:name w:val="FollowedHyperlink"/>
    <w:basedOn w:val="Standardnpsmoodstavce"/>
    <w:uiPriority w:val="99"/>
    <w:semiHidden/>
    <w:unhideWhenUsed/>
    <w:rsid w:val="00CF6DD2"/>
    <w:rPr>
      <w:color w:val="800080" w:themeColor="followedHyperlink"/>
      <w:u w:val="single"/>
    </w:rPr>
  </w:style>
  <w:style w:type="table" w:styleId="Mkatabulky">
    <w:name w:val="Table Grid"/>
    <w:basedOn w:val="Normlntabulka"/>
    <w:uiPriority w:val="59"/>
    <w:rsid w:val="00411A0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adpis2Char1">
    <w:name w:val="Nadpis 2 Char1"/>
    <w:basedOn w:val="Standardnpsmoodstavce"/>
    <w:link w:val="Nadpis2"/>
    <w:uiPriority w:val="9"/>
    <w:rsid w:val="00167B2C"/>
    <w:rPr>
      <w:rFonts w:ascii="Arial" w:eastAsiaTheme="majorEastAsia" w:hAnsi="Arial" w:cstheme="majorBidi"/>
      <w:b/>
      <w:bCs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6329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480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12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423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18" Type="http://schemas.openxmlformats.org/officeDocument/2006/relationships/image" Target="media/image8.jpeg"/><Relationship Id="rId26" Type="http://schemas.openxmlformats.org/officeDocument/2006/relationships/theme" Target="theme/theme1.xml"/><Relationship Id="rId3" Type="http://schemas.openxmlformats.org/officeDocument/2006/relationships/numbering" Target="numbering.xml"/><Relationship Id="rId21" Type="http://schemas.openxmlformats.org/officeDocument/2006/relationships/image" Target="media/image11.jpeg"/><Relationship Id="rId7" Type="http://schemas.openxmlformats.org/officeDocument/2006/relationships/webSettings" Target="webSettings.xml"/><Relationship Id="rId12" Type="http://schemas.openxmlformats.org/officeDocument/2006/relationships/image" Target="media/image3.jpeg"/><Relationship Id="rId17" Type="http://schemas.openxmlformats.org/officeDocument/2006/relationships/image" Target="media/image7.jpeg"/><Relationship Id="rId25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image" Target="media/image6.png"/><Relationship Id="rId20" Type="http://schemas.openxmlformats.org/officeDocument/2006/relationships/image" Target="media/image10.jpeg"/><Relationship Id="rId29" Type="http://schemas.openxmlformats.org/officeDocument/2006/relationships/customXml" Target="../customXml/item5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jpeg"/><Relationship Id="rId24" Type="http://schemas.openxmlformats.org/officeDocument/2006/relationships/image" Target="media/image14.jpeg"/><Relationship Id="rId5" Type="http://schemas.microsoft.com/office/2007/relationships/stylesWithEffects" Target="stylesWithEffects.xml"/><Relationship Id="rId15" Type="http://schemas.openxmlformats.org/officeDocument/2006/relationships/image" Target="media/image5.png"/><Relationship Id="rId23" Type="http://schemas.openxmlformats.org/officeDocument/2006/relationships/image" Target="media/image13.jpeg"/><Relationship Id="rId28" Type="http://schemas.openxmlformats.org/officeDocument/2006/relationships/customXml" Target="../customXml/item4.xml"/><Relationship Id="rId10" Type="http://schemas.openxmlformats.org/officeDocument/2006/relationships/image" Target="media/image1.jpeg"/><Relationship Id="rId19" Type="http://schemas.openxmlformats.org/officeDocument/2006/relationships/image" Target="media/image9.jpeg"/><Relationship Id="rId4" Type="http://schemas.openxmlformats.org/officeDocument/2006/relationships/styles" Target="styles.xml"/><Relationship Id="rId9" Type="http://schemas.openxmlformats.org/officeDocument/2006/relationships/endnotes" Target="endnotes.xml"/><Relationship Id="rId14" Type="http://schemas.openxmlformats.org/officeDocument/2006/relationships/image" Target="media/image4.png"/><Relationship Id="rId22" Type="http://schemas.openxmlformats.org/officeDocument/2006/relationships/image" Target="media/image12.jpeg"/><Relationship Id="rId27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F7A625AE9F5AB4A939F92BCAA7FEC02" ma:contentTypeVersion="1" ma:contentTypeDescription="Vytvoří nový dokument" ma:contentTypeScope="" ma:versionID="09736fd4d2dc7a7ec8b641ae14df0e5a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c91a41dfb025b41eb9943aabee431873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Datum zahájení plánování" ma:description="Datum zahájení plánování je sloupec webu, který vytvořila funkce Publikování. Používá se k zadání data a času, od kterého se tato stránka začne návštěvníkům webu zobrazovat." ma:internalName="PublishingStartDate">
      <xsd:simpleType>
        <xsd:restriction base="dms:Unknown"/>
      </xsd:simpleType>
    </xsd:element>
    <xsd:element name="PublishingExpirationDate" ma:index="9" nillable="true" ma:displayName="Datum ukončení plánování" ma:description="Datum ukončení plánování je sloupec webu, který vytvořila funkce Publikování. Používá se k zadání data a času, od kterého se tato stránka už nebude návštěvníkům webu zobrazovat.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8C7882F1-B424-4139-9F65-F2B2BC014DF0}"/>
</file>

<file path=customXml/itemProps2.xml><?xml version="1.0" encoding="utf-8"?>
<ds:datastoreItem xmlns:ds="http://schemas.openxmlformats.org/officeDocument/2006/customXml" ds:itemID="{C83F9043-22CA-4143-8E9E-C6365F6F89E9}"/>
</file>

<file path=customXml/itemProps3.xml><?xml version="1.0" encoding="utf-8"?>
<ds:datastoreItem xmlns:ds="http://schemas.openxmlformats.org/officeDocument/2006/customXml" ds:itemID="{EB4605C5-117B-4D42-AC8C-74863C95B7FD}"/>
</file>

<file path=customXml/itemProps4.xml><?xml version="1.0" encoding="utf-8"?>
<ds:datastoreItem xmlns:ds="http://schemas.openxmlformats.org/officeDocument/2006/customXml" ds:itemID="{CB45BA94-FB1E-4FF9-8FC6-207A41F9B1E2}"/>
</file>

<file path=customXml/itemProps5.xml><?xml version="1.0" encoding="utf-8"?>
<ds:datastoreItem xmlns:ds="http://schemas.openxmlformats.org/officeDocument/2006/customXml" ds:itemID="{D5AE3CF4-FC4A-42C4-809A-5EBBBAF3C477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32</Pages>
  <Words>10117</Words>
  <Characters>59692</Characters>
  <Application>Microsoft Office Word</Application>
  <DocSecurity>0</DocSecurity>
  <Lines>497</Lines>
  <Paragraphs>139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NKU</Company>
  <LinksUpToDate>false</LinksUpToDate>
  <CharactersWithSpaces>69670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Kontrolní závěr z kontrolní akce NKÚ č. 13/24</dc:title>
  <dc:creator>KADLČÍKOVÁ Vladimíra</dc:creator>
  <cp:lastModifiedBy>SÝKORA Petr</cp:lastModifiedBy>
  <cp:revision>9</cp:revision>
  <cp:lastPrinted>2014-04-15T13:01:00Z</cp:lastPrinted>
  <dcterms:created xsi:type="dcterms:W3CDTF">2014-04-15T12:03:00Z</dcterms:created>
  <dcterms:modified xsi:type="dcterms:W3CDTF">2014-04-15T13:15:00Z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0x0101002F7A625AE9F5AB4A939F92BCAA7FEC02</vt:lpwstr>
  </property>
</Properties>
</file>