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19" w:rsidRPr="006967DA" w:rsidRDefault="000D4019" w:rsidP="000D4019">
      <w:pPr>
        <w:jc w:val="center"/>
        <w:rPr>
          <w:rFonts w:cs="Arial"/>
          <w:b/>
          <w:szCs w:val="22"/>
          <w:lang w:val="cs-CZ"/>
        </w:rPr>
      </w:pPr>
      <w:r w:rsidRPr="006967DA">
        <w:rPr>
          <w:rFonts w:cs="Arial"/>
          <w:b/>
          <w:noProof/>
          <w:szCs w:val="2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8077F58" wp14:editId="62AD2B75">
            <wp:simplePos x="0" y="0"/>
            <wp:positionH relativeFrom="column">
              <wp:posOffset>2632710</wp:posOffset>
            </wp:positionH>
            <wp:positionV relativeFrom="paragraph">
              <wp:posOffset>-282575</wp:posOffset>
            </wp:positionV>
            <wp:extent cx="791210" cy="559435"/>
            <wp:effectExtent l="0" t="0" r="8890" b="0"/>
            <wp:wrapTopAndBottom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019" w:rsidRPr="006967DA" w:rsidRDefault="000D4019" w:rsidP="000D4019">
      <w:pPr>
        <w:jc w:val="center"/>
        <w:rPr>
          <w:rFonts w:cs="Arial"/>
          <w:b/>
          <w:szCs w:val="22"/>
          <w:lang w:val="cs-CZ"/>
        </w:rPr>
      </w:pPr>
    </w:p>
    <w:p w:rsidR="00334BA6" w:rsidRPr="006967DA" w:rsidRDefault="00334BA6" w:rsidP="000D4019">
      <w:pPr>
        <w:jc w:val="center"/>
        <w:rPr>
          <w:rFonts w:cs="Arial"/>
          <w:b/>
          <w:szCs w:val="22"/>
          <w:lang w:val="cs-CZ"/>
        </w:rPr>
      </w:pPr>
    </w:p>
    <w:p w:rsidR="00111822" w:rsidRPr="006967DA" w:rsidRDefault="00111822" w:rsidP="000D4019">
      <w:pPr>
        <w:jc w:val="center"/>
        <w:rPr>
          <w:rFonts w:cs="Arial"/>
          <w:b/>
          <w:sz w:val="28"/>
          <w:szCs w:val="28"/>
          <w:lang w:val="cs-CZ"/>
        </w:rPr>
      </w:pPr>
      <w:r w:rsidRPr="006967DA">
        <w:rPr>
          <w:rFonts w:cs="Arial"/>
          <w:b/>
          <w:sz w:val="28"/>
          <w:szCs w:val="28"/>
          <w:lang w:val="cs-CZ"/>
        </w:rPr>
        <w:t>Kontrolní závěr z kontrolní akce</w:t>
      </w:r>
    </w:p>
    <w:p w:rsidR="000D4019" w:rsidRPr="006967DA" w:rsidRDefault="000D4019" w:rsidP="000D4019">
      <w:pPr>
        <w:jc w:val="center"/>
        <w:rPr>
          <w:rFonts w:cs="Arial"/>
          <w:b/>
          <w:sz w:val="28"/>
          <w:szCs w:val="28"/>
          <w:lang w:val="cs-CZ"/>
        </w:rPr>
      </w:pPr>
    </w:p>
    <w:p w:rsidR="00334BA6" w:rsidRPr="006967DA" w:rsidRDefault="00334BA6" w:rsidP="000D4019">
      <w:pPr>
        <w:jc w:val="center"/>
        <w:rPr>
          <w:rFonts w:cs="Arial"/>
          <w:b/>
          <w:sz w:val="28"/>
          <w:szCs w:val="28"/>
          <w:lang w:val="cs-CZ"/>
        </w:rPr>
      </w:pPr>
      <w:r w:rsidRPr="006967DA">
        <w:rPr>
          <w:rFonts w:cs="Arial"/>
          <w:b/>
          <w:sz w:val="28"/>
          <w:szCs w:val="28"/>
          <w:lang w:val="cs-CZ"/>
        </w:rPr>
        <w:t>13/05</w:t>
      </w:r>
    </w:p>
    <w:p w:rsidR="000D4019" w:rsidRPr="006967DA" w:rsidRDefault="000D4019" w:rsidP="000D4019">
      <w:pPr>
        <w:jc w:val="center"/>
        <w:rPr>
          <w:rFonts w:cs="Arial"/>
          <w:b/>
          <w:sz w:val="28"/>
          <w:szCs w:val="28"/>
          <w:lang w:val="cs-CZ"/>
        </w:rPr>
      </w:pPr>
    </w:p>
    <w:p w:rsidR="00334BA6" w:rsidRPr="006967DA" w:rsidRDefault="00334BA6" w:rsidP="000D4019">
      <w:pPr>
        <w:pStyle w:val="sloKZ"/>
        <w:tabs>
          <w:tab w:val="left" w:pos="7200"/>
        </w:tabs>
        <w:jc w:val="center"/>
        <w:rPr>
          <w:rFonts w:ascii="Arial" w:hAnsi="Arial" w:cs="Arial"/>
          <w:sz w:val="28"/>
          <w:szCs w:val="28"/>
        </w:rPr>
      </w:pPr>
      <w:r w:rsidRPr="006967DA">
        <w:rPr>
          <w:rFonts w:ascii="Arial" w:hAnsi="Arial" w:cs="Arial"/>
          <w:sz w:val="28"/>
          <w:szCs w:val="28"/>
        </w:rPr>
        <w:t>Majetek státu, s nímž má právo hospodařit Palivový kombinát Ústí, státní podnik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141CA7" w:rsidRPr="006967DA" w:rsidRDefault="00334BA6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Kontrolní akce byla zařazena do plánu kontrolní činnosti Nejvyššího kontrolního úřadu (dále jen „NKÚ“) na rok 2013 pod číslem 13/05. Kontrolní akci řídil a kontrolní závěr vypracoval člen NKÚ MVDr. Rudolf Němeček.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Cílem kontroly bylo </w:t>
      </w:r>
      <w:r w:rsidR="00470C4A" w:rsidRPr="006967DA">
        <w:rPr>
          <w:rFonts w:cs="Arial"/>
          <w:szCs w:val="22"/>
          <w:lang w:val="cs-CZ"/>
        </w:rPr>
        <w:t xml:space="preserve">prověřit hospodaření s majetkem státu, s nímž má právo hospodařit Palivový kombinát Ústí, státní podnik. 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Kontrola byla prováděna v době od února do srpna 2013. Kontrolovaným obdobím byly roky 2010 až 2012 a v případě věcných souvislostí i období předchozí, resp. období do</w:t>
      </w:r>
      <w:r w:rsidR="007C36BF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ukončení kontroly.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Kontrolované osoby:</w:t>
      </w: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Ministerstvo průmyslu a obchodu (dále také „MPO“)</w:t>
      </w:r>
      <w:r w:rsidR="00AF0F4D">
        <w:rPr>
          <w:rFonts w:cs="Arial"/>
          <w:szCs w:val="22"/>
          <w:lang w:val="cs-CZ"/>
        </w:rPr>
        <w:t>,</w:t>
      </w:r>
    </w:p>
    <w:p w:rsidR="00205D32" w:rsidRPr="006967DA" w:rsidRDefault="00EA04C1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Palivový kombinát Ústí, státní podnik, </w:t>
      </w:r>
      <w:r w:rsidR="00AB32A0" w:rsidRPr="006967DA">
        <w:rPr>
          <w:rFonts w:cs="Arial"/>
          <w:szCs w:val="22"/>
          <w:lang w:val="cs-CZ"/>
        </w:rPr>
        <w:t>Ústí nad Labem</w:t>
      </w:r>
      <w:r w:rsidRPr="006967DA">
        <w:rPr>
          <w:rStyle w:val="Znakapoznpodarou"/>
          <w:rFonts w:cs="Arial"/>
          <w:szCs w:val="22"/>
          <w:lang w:val="cs-CZ"/>
        </w:rPr>
        <w:footnoteReference w:id="2"/>
      </w:r>
      <w:r w:rsidRPr="006967DA">
        <w:rPr>
          <w:rFonts w:cs="Arial"/>
          <w:szCs w:val="22"/>
          <w:lang w:val="cs-CZ"/>
        </w:rPr>
        <w:t xml:space="preserve"> </w:t>
      </w:r>
      <w:r w:rsidR="00205D32" w:rsidRPr="006967DA">
        <w:rPr>
          <w:rFonts w:cs="Arial"/>
          <w:szCs w:val="22"/>
          <w:lang w:val="cs-CZ"/>
        </w:rPr>
        <w:t>(dále také „PKÚ“)</w:t>
      </w:r>
      <w:r w:rsidR="00AF0F4D">
        <w:rPr>
          <w:rFonts w:cs="Arial"/>
          <w:szCs w:val="22"/>
          <w:lang w:val="cs-CZ"/>
        </w:rPr>
        <w:t>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Námitky proti kontrolnímu protokolu, které podala kontrolovaná osoba Palivový kombinát Ústí, státní podnik, vypořádala vedoucí skupiny kontrolujících rozhodnutím o</w:t>
      </w:r>
      <w:r w:rsidR="007C36BF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námitkách.</w:t>
      </w:r>
    </w:p>
    <w:p w:rsidR="00111822" w:rsidRPr="006967DA" w:rsidRDefault="00111822" w:rsidP="00D86D6E">
      <w:pPr>
        <w:rPr>
          <w:rFonts w:cs="Arial"/>
          <w:b/>
          <w:i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proofErr w:type="gramStart"/>
      <w:r w:rsidRPr="006967DA">
        <w:rPr>
          <w:rFonts w:cs="Arial"/>
          <w:b/>
          <w:i/>
          <w:szCs w:val="22"/>
          <w:lang w:val="cs-CZ"/>
        </w:rPr>
        <w:t xml:space="preserve">K o l e g i u m  </w:t>
      </w:r>
      <w:r w:rsidR="000D4019" w:rsidRPr="006967DA">
        <w:rPr>
          <w:rFonts w:cs="Arial"/>
          <w:b/>
          <w:i/>
          <w:szCs w:val="22"/>
          <w:lang w:val="cs-CZ"/>
        </w:rPr>
        <w:t xml:space="preserve"> </w:t>
      </w:r>
      <w:r w:rsidRPr="006967DA">
        <w:rPr>
          <w:rFonts w:cs="Arial"/>
          <w:b/>
          <w:i/>
          <w:szCs w:val="22"/>
          <w:lang w:val="cs-CZ"/>
        </w:rPr>
        <w:t>N K Ú</w:t>
      </w:r>
      <w:r w:rsidRPr="006967DA">
        <w:rPr>
          <w:rFonts w:cs="Arial"/>
          <w:szCs w:val="22"/>
          <w:lang w:val="cs-CZ"/>
        </w:rPr>
        <w:t xml:space="preserve">  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na</w:t>
      </w:r>
      <w:proofErr w:type="gramEnd"/>
      <w:r w:rsidRPr="006967DA">
        <w:rPr>
          <w:rFonts w:cs="Arial"/>
          <w:szCs w:val="22"/>
          <w:lang w:val="cs-CZ"/>
        </w:rPr>
        <w:t xml:space="preserve"> svém </w:t>
      </w:r>
      <w:r w:rsidR="00924ED6" w:rsidRPr="006967DA">
        <w:rPr>
          <w:rFonts w:cs="Arial"/>
          <w:szCs w:val="22"/>
          <w:lang w:val="cs-CZ"/>
        </w:rPr>
        <w:t>XX.</w:t>
      </w:r>
      <w:r w:rsidRPr="006967DA">
        <w:rPr>
          <w:rFonts w:cs="Arial"/>
          <w:szCs w:val="22"/>
          <w:lang w:val="cs-CZ"/>
        </w:rPr>
        <w:t xml:space="preserve"> zasedání, konaném dne </w:t>
      </w:r>
      <w:r w:rsidR="00924ED6" w:rsidRPr="006967DA">
        <w:rPr>
          <w:rFonts w:cs="Arial"/>
          <w:szCs w:val="22"/>
          <w:lang w:val="cs-CZ"/>
        </w:rPr>
        <w:t>2. prosince 2013</w:t>
      </w:r>
      <w:r w:rsidR="00AF0F4D">
        <w:rPr>
          <w:rFonts w:cs="Arial"/>
          <w:szCs w:val="22"/>
          <w:lang w:val="cs-CZ"/>
        </w:rPr>
        <w:t>,</w:t>
      </w: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proofErr w:type="gramStart"/>
      <w:r w:rsidRPr="006967DA">
        <w:rPr>
          <w:rFonts w:cs="Arial"/>
          <w:b/>
          <w:i/>
          <w:szCs w:val="22"/>
          <w:lang w:val="cs-CZ"/>
        </w:rPr>
        <w:t>s c h v</w:t>
      </w:r>
      <w:r w:rsidR="00EB4AF2" w:rsidRPr="006967DA">
        <w:rPr>
          <w:rFonts w:cs="Arial"/>
          <w:b/>
          <w:i/>
          <w:szCs w:val="22"/>
          <w:lang w:val="cs-CZ"/>
        </w:rPr>
        <w:t xml:space="preserve"> </w:t>
      </w:r>
      <w:r w:rsidRPr="006967DA">
        <w:rPr>
          <w:rFonts w:cs="Arial"/>
          <w:b/>
          <w:i/>
          <w:szCs w:val="22"/>
          <w:lang w:val="cs-CZ"/>
        </w:rPr>
        <w:t>á l i l o</w:t>
      </w:r>
      <w:r w:rsidRPr="006967DA">
        <w:rPr>
          <w:rFonts w:cs="Arial"/>
          <w:szCs w:val="22"/>
          <w:lang w:val="cs-CZ"/>
        </w:rPr>
        <w:t xml:space="preserve"> 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 usnesením č.</w:t>
      </w:r>
      <w:proofErr w:type="gramEnd"/>
      <w:r w:rsidRPr="006967DA">
        <w:rPr>
          <w:rFonts w:cs="Arial"/>
          <w:szCs w:val="22"/>
          <w:lang w:val="cs-CZ"/>
        </w:rPr>
        <w:t xml:space="preserve"> </w:t>
      </w:r>
      <w:r w:rsidR="007519C5" w:rsidRPr="006967DA">
        <w:rPr>
          <w:rFonts w:cs="Arial"/>
          <w:szCs w:val="22"/>
          <w:lang w:val="cs-CZ"/>
        </w:rPr>
        <w:t>5</w:t>
      </w:r>
      <w:r w:rsidR="00DC2041" w:rsidRPr="006967DA">
        <w:rPr>
          <w:rFonts w:cs="Arial"/>
          <w:szCs w:val="22"/>
          <w:lang w:val="cs-CZ"/>
        </w:rPr>
        <w:t>/</w:t>
      </w:r>
      <w:r w:rsidR="00924ED6" w:rsidRPr="006967DA">
        <w:rPr>
          <w:rFonts w:cs="Arial"/>
          <w:szCs w:val="22"/>
          <w:lang w:val="cs-CZ"/>
        </w:rPr>
        <w:t>XX</w:t>
      </w:r>
      <w:r w:rsidR="00DC2041" w:rsidRPr="006967DA">
        <w:rPr>
          <w:rFonts w:cs="Arial"/>
          <w:szCs w:val="22"/>
          <w:lang w:val="cs-CZ"/>
        </w:rPr>
        <w:t>/2013</w:t>
      </w: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proofErr w:type="gramStart"/>
      <w:r w:rsidRPr="006967DA">
        <w:rPr>
          <w:rFonts w:cs="Arial"/>
          <w:b/>
          <w:i/>
          <w:szCs w:val="22"/>
          <w:lang w:val="cs-CZ"/>
        </w:rPr>
        <w:t xml:space="preserve">k o n t r o l n í </w:t>
      </w:r>
      <w:r w:rsidR="000D4019" w:rsidRPr="006967DA">
        <w:rPr>
          <w:rFonts w:cs="Arial"/>
          <w:b/>
          <w:i/>
          <w:szCs w:val="22"/>
          <w:lang w:val="cs-CZ"/>
        </w:rPr>
        <w:t xml:space="preserve"> </w:t>
      </w:r>
      <w:r w:rsidRPr="006967DA">
        <w:rPr>
          <w:rFonts w:cs="Arial"/>
          <w:b/>
          <w:i/>
          <w:szCs w:val="22"/>
          <w:lang w:val="cs-CZ"/>
        </w:rPr>
        <w:t xml:space="preserve"> z</w:t>
      </w:r>
      <w:r w:rsidR="00EB4AF2" w:rsidRPr="006967DA">
        <w:rPr>
          <w:rFonts w:cs="Arial"/>
          <w:b/>
          <w:i/>
          <w:szCs w:val="22"/>
          <w:lang w:val="cs-CZ"/>
        </w:rPr>
        <w:t xml:space="preserve"> </w:t>
      </w:r>
      <w:r w:rsidRPr="006967DA">
        <w:rPr>
          <w:rFonts w:cs="Arial"/>
          <w:b/>
          <w:i/>
          <w:szCs w:val="22"/>
          <w:lang w:val="cs-CZ"/>
        </w:rPr>
        <w:t>á v</w:t>
      </w:r>
      <w:r w:rsidR="00EB4AF2" w:rsidRPr="006967DA">
        <w:rPr>
          <w:rFonts w:cs="Arial"/>
          <w:b/>
          <w:i/>
          <w:szCs w:val="22"/>
          <w:lang w:val="cs-CZ"/>
        </w:rPr>
        <w:t xml:space="preserve"> </w:t>
      </w:r>
      <w:r w:rsidRPr="006967DA">
        <w:rPr>
          <w:rFonts w:cs="Arial"/>
          <w:b/>
          <w:i/>
          <w:szCs w:val="22"/>
          <w:lang w:val="cs-CZ"/>
        </w:rPr>
        <w:t>ě r</w:t>
      </w:r>
      <w:r w:rsidRPr="006967DA">
        <w:rPr>
          <w:rFonts w:cs="Arial"/>
          <w:szCs w:val="22"/>
          <w:lang w:val="cs-CZ"/>
        </w:rPr>
        <w:t xml:space="preserve">  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v tomto</w:t>
      </w:r>
      <w:proofErr w:type="gramEnd"/>
      <w:r w:rsidRPr="006967DA">
        <w:rPr>
          <w:rFonts w:cs="Arial"/>
          <w:szCs w:val="22"/>
          <w:lang w:val="cs-CZ"/>
        </w:rPr>
        <w:t xml:space="preserve"> znění: </w:t>
      </w:r>
    </w:p>
    <w:p w:rsidR="000D4019" w:rsidRPr="006967DA" w:rsidRDefault="000D4019" w:rsidP="000D4019">
      <w:pPr>
        <w:rPr>
          <w:lang w:val="cs-CZ"/>
        </w:rPr>
      </w:pPr>
    </w:p>
    <w:p w:rsidR="000D4019" w:rsidRPr="006967DA" w:rsidRDefault="000D4019" w:rsidP="000D4019">
      <w:pPr>
        <w:rPr>
          <w:lang w:val="cs-CZ"/>
        </w:rPr>
      </w:pPr>
    </w:p>
    <w:p w:rsidR="00205D32" w:rsidRPr="006967DA" w:rsidRDefault="000D4019" w:rsidP="000D4019">
      <w:pPr>
        <w:jc w:val="center"/>
        <w:rPr>
          <w:b/>
          <w:sz w:val="24"/>
          <w:lang w:val="cs-CZ"/>
        </w:rPr>
      </w:pPr>
      <w:r w:rsidRPr="006967DA">
        <w:rPr>
          <w:b/>
          <w:sz w:val="24"/>
          <w:lang w:val="cs-CZ"/>
        </w:rPr>
        <w:t xml:space="preserve">I. </w:t>
      </w:r>
      <w:r w:rsidR="00205D32" w:rsidRPr="006967DA">
        <w:rPr>
          <w:b/>
          <w:sz w:val="24"/>
          <w:lang w:val="cs-CZ"/>
        </w:rPr>
        <w:t>Úvod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MPO je ústředním orgánem státní správy mj. pro státní průmyslovou politiku, obchodní politiku, zahraničně ekonomickou politiku, tvorbu jednotné surovinové politiky, využívání nerostného bohatství, energetiku, hutnictví, strojírenství, teplárenství, plynárenství, těžbu, úpravu a zušlechťování ropy a zemního plynu, tuhých paliv, radioaktivních surovin, rud a</w:t>
      </w:r>
      <w:r w:rsidR="00F97C71" w:rsidRPr="006967DA">
        <w:rPr>
          <w:rFonts w:cs="Arial"/>
          <w:szCs w:val="22"/>
          <w:lang w:val="cs-CZ"/>
        </w:rPr>
        <w:t> </w:t>
      </w:r>
      <w:proofErr w:type="spellStart"/>
      <w:r w:rsidRPr="006967DA">
        <w:rPr>
          <w:rFonts w:cs="Arial"/>
          <w:szCs w:val="22"/>
          <w:lang w:val="cs-CZ"/>
        </w:rPr>
        <w:t>nerud</w:t>
      </w:r>
      <w:proofErr w:type="spellEnd"/>
      <w:r w:rsidRPr="006967DA">
        <w:rPr>
          <w:rFonts w:cs="Arial"/>
          <w:szCs w:val="22"/>
          <w:lang w:val="cs-CZ"/>
        </w:rPr>
        <w:t>. MPO je organizační složkou státu, není právnickou osobou a</w:t>
      </w:r>
      <w:r w:rsidR="007C36BF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 xml:space="preserve">je zakladatelem </w:t>
      </w:r>
      <w:r w:rsidR="0008786D" w:rsidRPr="006967DA">
        <w:rPr>
          <w:rFonts w:cs="Arial"/>
          <w:szCs w:val="22"/>
          <w:lang w:val="cs-CZ"/>
        </w:rPr>
        <w:t>státního podniku Palivový kombinát Ústí</w:t>
      </w:r>
      <w:r w:rsidRPr="006967DA">
        <w:rPr>
          <w:rFonts w:cs="Arial"/>
          <w:szCs w:val="22"/>
          <w:lang w:val="cs-CZ"/>
        </w:rPr>
        <w:t>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U MPO </w:t>
      </w:r>
      <w:r w:rsidR="007C36BF">
        <w:rPr>
          <w:rFonts w:cs="Arial"/>
          <w:szCs w:val="22"/>
          <w:lang w:val="cs-CZ"/>
        </w:rPr>
        <w:t>bylo prověřeno využívání práv a </w:t>
      </w:r>
      <w:r w:rsidRPr="006967DA">
        <w:rPr>
          <w:rFonts w:cs="Arial"/>
          <w:szCs w:val="22"/>
          <w:lang w:val="cs-CZ"/>
        </w:rPr>
        <w:t>plnění povinností zakladatele dle zákona č.</w:t>
      </w:r>
      <w:r w:rsidR="00B42DF5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77/1997</w:t>
      </w:r>
      <w:r w:rsidR="00F97C71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Sb.</w:t>
      </w:r>
      <w:r w:rsidR="00470C4A" w:rsidRPr="006967DA">
        <w:rPr>
          <w:rStyle w:val="Znakapoznpodarou"/>
          <w:rFonts w:cs="Arial"/>
          <w:szCs w:val="22"/>
          <w:lang w:val="cs-CZ"/>
        </w:rPr>
        <w:footnoteReference w:id="3"/>
      </w:r>
      <w:r w:rsidR="007C36BF">
        <w:rPr>
          <w:rFonts w:cs="Arial"/>
          <w:szCs w:val="22"/>
          <w:lang w:val="cs-CZ"/>
        </w:rPr>
        <w:t xml:space="preserve"> a </w:t>
      </w:r>
      <w:r w:rsidRPr="006967DA">
        <w:rPr>
          <w:rFonts w:cs="Arial"/>
          <w:szCs w:val="22"/>
          <w:lang w:val="cs-CZ"/>
        </w:rPr>
        <w:t>úroveň vnitřního kontrolního systému.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7C29D9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je právnickou osobou zapsanou v obchodním rejstříku. Majetkové postavení a právní poměry PKÚ se řídí zákonem č.</w:t>
      </w:r>
      <w:r w:rsidR="00EB4AF2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 xml:space="preserve">77/1997 Sb. </w:t>
      </w:r>
      <w:r w:rsidR="007C29D9" w:rsidRPr="006967DA">
        <w:rPr>
          <w:rFonts w:cs="Arial"/>
          <w:szCs w:val="22"/>
          <w:lang w:val="cs-CZ"/>
        </w:rPr>
        <w:t xml:space="preserve">Předmětem činnosti v kontrolovaném období </w:t>
      </w:r>
      <w:r w:rsidR="007C29D9" w:rsidRPr="006967DA">
        <w:rPr>
          <w:rFonts w:cs="Arial"/>
          <w:szCs w:val="22"/>
          <w:lang w:val="cs-CZ"/>
        </w:rPr>
        <w:lastRenderedPageBreak/>
        <w:t xml:space="preserve">bylo zejména zahlazování následků hornické činnosti, </w:t>
      </w:r>
      <w:r w:rsidR="00DF7303" w:rsidRPr="006967DA">
        <w:rPr>
          <w:rFonts w:cs="Arial"/>
          <w:szCs w:val="22"/>
          <w:lang w:val="cs-CZ"/>
        </w:rPr>
        <w:t xml:space="preserve">likvidační, </w:t>
      </w:r>
      <w:r w:rsidR="007C29D9" w:rsidRPr="006967DA">
        <w:rPr>
          <w:rFonts w:cs="Arial"/>
          <w:szCs w:val="22"/>
          <w:lang w:val="cs-CZ"/>
        </w:rPr>
        <w:t>sana</w:t>
      </w:r>
      <w:r w:rsidR="00DF7303" w:rsidRPr="006967DA">
        <w:rPr>
          <w:rFonts w:cs="Arial"/>
          <w:szCs w:val="22"/>
          <w:lang w:val="cs-CZ"/>
        </w:rPr>
        <w:t>ční</w:t>
      </w:r>
      <w:r w:rsidR="007C29D9" w:rsidRPr="006967DA">
        <w:rPr>
          <w:rFonts w:cs="Arial"/>
          <w:szCs w:val="22"/>
          <w:lang w:val="cs-CZ"/>
        </w:rPr>
        <w:t xml:space="preserve"> a rekultiva</w:t>
      </w:r>
      <w:r w:rsidR="00DF7303" w:rsidRPr="006967DA">
        <w:rPr>
          <w:rFonts w:cs="Arial"/>
          <w:szCs w:val="22"/>
          <w:lang w:val="cs-CZ"/>
        </w:rPr>
        <w:t>ční prá</w:t>
      </w:r>
      <w:r w:rsidR="007C29D9" w:rsidRPr="006967DA">
        <w:rPr>
          <w:rFonts w:cs="Arial"/>
          <w:szCs w:val="22"/>
          <w:lang w:val="cs-CZ"/>
        </w:rPr>
        <w:t>ce</w:t>
      </w:r>
      <w:r w:rsidR="00AF0F4D">
        <w:rPr>
          <w:rFonts w:cs="Arial"/>
          <w:szCs w:val="22"/>
          <w:lang w:val="cs-CZ"/>
        </w:rPr>
        <w:t xml:space="preserve"> a</w:t>
      </w:r>
      <w:r w:rsidR="00F51149" w:rsidRPr="006967DA">
        <w:rPr>
          <w:rFonts w:cs="Arial"/>
          <w:szCs w:val="22"/>
          <w:lang w:val="cs-CZ"/>
        </w:rPr>
        <w:t xml:space="preserve"> hornická</w:t>
      </w:r>
      <w:r w:rsidR="007C36BF">
        <w:rPr>
          <w:rFonts w:cs="Arial"/>
          <w:szCs w:val="22"/>
          <w:lang w:val="cs-CZ"/>
        </w:rPr>
        <w:t xml:space="preserve"> činnost dle zákona č. </w:t>
      </w:r>
      <w:r w:rsidR="00F51149" w:rsidRPr="006967DA">
        <w:rPr>
          <w:rFonts w:cs="Arial"/>
          <w:szCs w:val="22"/>
          <w:lang w:val="cs-CZ"/>
        </w:rPr>
        <w:t>61/1988 Sb.</w:t>
      </w:r>
      <w:r w:rsidR="00F51149" w:rsidRPr="006967DA">
        <w:rPr>
          <w:rStyle w:val="Znakapoznpodarou"/>
          <w:rFonts w:cs="Arial"/>
          <w:szCs w:val="22"/>
          <w:lang w:val="cs-CZ"/>
        </w:rPr>
        <w:footnoteReference w:id="4"/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EA446E" w:rsidRPr="006967DA" w:rsidRDefault="00EA446E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Rozhodnutím ministra</w:t>
      </w:r>
      <w:r w:rsidR="00906098" w:rsidRPr="006967DA">
        <w:rPr>
          <w:rFonts w:cs="Arial"/>
          <w:szCs w:val="22"/>
          <w:lang w:val="cs-CZ"/>
        </w:rPr>
        <w:t xml:space="preserve"> č.</w:t>
      </w:r>
      <w:r w:rsidR="007C36BF">
        <w:rPr>
          <w:rFonts w:cs="Arial"/>
          <w:szCs w:val="22"/>
          <w:lang w:val="cs-CZ"/>
        </w:rPr>
        <w:t> </w:t>
      </w:r>
      <w:r w:rsidR="00906098" w:rsidRPr="006967DA">
        <w:rPr>
          <w:rFonts w:cs="Arial"/>
          <w:szCs w:val="22"/>
          <w:lang w:val="cs-CZ"/>
        </w:rPr>
        <w:t>142/1990</w:t>
      </w:r>
      <w:r w:rsidR="00237702" w:rsidRPr="006967DA">
        <w:rPr>
          <w:rStyle w:val="Znakapoznpodarou"/>
          <w:rFonts w:cs="Arial"/>
          <w:szCs w:val="22"/>
          <w:lang w:val="cs-CZ"/>
        </w:rPr>
        <w:footnoteReference w:id="5"/>
      </w:r>
      <w:r w:rsidRPr="006967DA">
        <w:rPr>
          <w:rFonts w:cs="Arial"/>
          <w:szCs w:val="22"/>
          <w:lang w:val="cs-CZ"/>
        </w:rPr>
        <w:t xml:space="preserve"> byl </w:t>
      </w:r>
      <w:r w:rsidR="00906098" w:rsidRPr="006967DA">
        <w:rPr>
          <w:rFonts w:cs="Arial"/>
          <w:szCs w:val="22"/>
          <w:lang w:val="cs-CZ"/>
        </w:rPr>
        <w:t>ke dni</w:t>
      </w:r>
      <w:r w:rsidRPr="006967DA">
        <w:rPr>
          <w:rFonts w:cs="Arial"/>
          <w:szCs w:val="22"/>
          <w:lang w:val="cs-CZ"/>
        </w:rPr>
        <w:t xml:space="preserve"> 1. </w:t>
      </w:r>
      <w:r w:rsidR="00B010B2" w:rsidRPr="006967DA">
        <w:rPr>
          <w:rFonts w:cs="Arial"/>
          <w:szCs w:val="22"/>
          <w:lang w:val="cs-CZ"/>
        </w:rPr>
        <w:t>ledna</w:t>
      </w:r>
      <w:r w:rsidRPr="006967DA">
        <w:rPr>
          <w:rFonts w:cs="Arial"/>
          <w:szCs w:val="22"/>
          <w:lang w:val="cs-CZ"/>
        </w:rPr>
        <w:t xml:space="preserve"> 1991 </w:t>
      </w:r>
      <w:r w:rsidR="00906098" w:rsidRPr="006967DA">
        <w:rPr>
          <w:rFonts w:cs="Arial"/>
          <w:szCs w:val="22"/>
          <w:lang w:val="cs-CZ"/>
        </w:rPr>
        <w:t xml:space="preserve">vyčleněn </w:t>
      </w:r>
      <w:r w:rsidRPr="006967DA">
        <w:rPr>
          <w:rFonts w:cs="Arial"/>
          <w:szCs w:val="22"/>
          <w:lang w:val="cs-CZ"/>
        </w:rPr>
        <w:t xml:space="preserve">odštěpný závod Palivový kombinát, Ústí nad Labem ze státního podniku Severočeské hnědouhelné doly, Most. 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7C29D9" w:rsidRPr="006967DA" w:rsidRDefault="00EA446E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PKÚ byl založen </w:t>
      </w:r>
      <w:r w:rsidR="00F957D6">
        <w:rPr>
          <w:rFonts w:cs="Arial"/>
          <w:szCs w:val="22"/>
          <w:lang w:val="cs-CZ"/>
        </w:rPr>
        <w:t>r</w:t>
      </w:r>
      <w:r w:rsidRPr="006967DA">
        <w:rPr>
          <w:rFonts w:cs="Arial"/>
          <w:szCs w:val="22"/>
          <w:lang w:val="cs-CZ"/>
        </w:rPr>
        <w:t xml:space="preserve">ozhodnutím ministra </w:t>
      </w:r>
      <w:r w:rsidR="00906098" w:rsidRPr="006967DA">
        <w:rPr>
          <w:rFonts w:cs="Arial"/>
          <w:szCs w:val="22"/>
          <w:lang w:val="cs-CZ"/>
        </w:rPr>
        <w:t>č. 144/1990</w:t>
      </w:r>
      <w:r w:rsidR="00906098" w:rsidRPr="006967DA">
        <w:rPr>
          <w:rStyle w:val="Znakapoznpodarou"/>
          <w:rFonts w:cs="Arial"/>
          <w:szCs w:val="22"/>
          <w:lang w:val="cs-CZ"/>
        </w:rPr>
        <w:footnoteReference w:id="6"/>
      </w:r>
      <w:r w:rsidR="00906098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s účinností od 1. </w:t>
      </w:r>
      <w:r w:rsidR="00B010B2" w:rsidRPr="006967DA">
        <w:rPr>
          <w:rFonts w:cs="Arial"/>
          <w:szCs w:val="22"/>
          <w:lang w:val="cs-CZ"/>
        </w:rPr>
        <w:t xml:space="preserve">ledna </w:t>
      </w:r>
      <w:r w:rsidR="000D4019" w:rsidRPr="006967DA">
        <w:rPr>
          <w:rFonts w:cs="Arial"/>
          <w:szCs w:val="22"/>
          <w:lang w:val="cs-CZ"/>
        </w:rPr>
        <w:t>1991.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EA446E" w:rsidRPr="006967DA" w:rsidRDefault="00EA446E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Usnesením</w:t>
      </w:r>
      <w:r w:rsidR="00747CCD" w:rsidRPr="006967DA">
        <w:rPr>
          <w:rFonts w:cs="Arial"/>
          <w:szCs w:val="22"/>
          <w:lang w:val="cs-CZ"/>
        </w:rPr>
        <w:t>i</w:t>
      </w:r>
      <w:r w:rsidRPr="006967DA">
        <w:rPr>
          <w:rFonts w:cs="Arial"/>
          <w:szCs w:val="22"/>
          <w:lang w:val="cs-CZ"/>
        </w:rPr>
        <w:t xml:space="preserve"> vlády České republiky (dále též „ČR“) ze dne 11. </w:t>
      </w:r>
      <w:r w:rsidR="00B010B2" w:rsidRPr="006967DA">
        <w:rPr>
          <w:rFonts w:cs="Arial"/>
          <w:szCs w:val="22"/>
          <w:lang w:val="cs-CZ"/>
        </w:rPr>
        <w:t>září</w:t>
      </w:r>
      <w:r w:rsidR="007C36BF">
        <w:rPr>
          <w:rFonts w:cs="Arial"/>
          <w:szCs w:val="22"/>
          <w:lang w:val="cs-CZ"/>
        </w:rPr>
        <w:t xml:space="preserve"> 1991 č. </w:t>
      </w:r>
      <w:r w:rsidRPr="006967DA">
        <w:rPr>
          <w:rFonts w:cs="Arial"/>
          <w:szCs w:val="22"/>
          <w:lang w:val="cs-CZ"/>
        </w:rPr>
        <w:t>331 a ze dne 30. </w:t>
      </w:r>
      <w:r w:rsidR="00B010B2" w:rsidRPr="006967DA">
        <w:rPr>
          <w:rFonts w:cs="Arial"/>
          <w:szCs w:val="22"/>
          <w:lang w:val="cs-CZ"/>
        </w:rPr>
        <w:t>října</w:t>
      </w:r>
      <w:r w:rsidR="007C36BF">
        <w:rPr>
          <w:rFonts w:cs="Arial"/>
          <w:szCs w:val="22"/>
          <w:lang w:val="cs-CZ"/>
        </w:rPr>
        <w:t xml:space="preserve"> 1991 č. </w:t>
      </w:r>
      <w:r w:rsidRPr="006967DA">
        <w:rPr>
          <w:rFonts w:cs="Arial"/>
          <w:szCs w:val="22"/>
          <w:lang w:val="cs-CZ"/>
        </w:rPr>
        <w:t xml:space="preserve">444 vláda </w:t>
      </w:r>
      <w:r w:rsidR="00DD4FF1" w:rsidRPr="006967DA">
        <w:rPr>
          <w:rFonts w:cs="Arial"/>
          <w:szCs w:val="22"/>
          <w:lang w:val="cs-CZ"/>
        </w:rPr>
        <w:t>s</w:t>
      </w:r>
      <w:r w:rsidR="001B5235" w:rsidRPr="006967DA">
        <w:rPr>
          <w:rFonts w:cs="Arial"/>
          <w:szCs w:val="22"/>
          <w:lang w:val="cs-CZ"/>
        </w:rPr>
        <w:t>chválila</w:t>
      </w:r>
      <w:r w:rsidR="00DD4FF1" w:rsidRPr="006967DA">
        <w:rPr>
          <w:rFonts w:cs="Arial"/>
          <w:szCs w:val="22"/>
          <w:lang w:val="cs-CZ"/>
        </w:rPr>
        <w:t xml:space="preserve"> závazné linie omezení těžby a výsypek, čímž došlo k</w:t>
      </w:r>
      <w:r w:rsidR="00A21321" w:rsidRPr="006967DA">
        <w:rPr>
          <w:rFonts w:cs="Arial"/>
          <w:szCs w:val="22"/>
          <w:lang w:val="cs-CZ"/>
        </w:rPr>
        <w:t> omezení těžební činnosti</w:t>
      </w:r>
      <w:r w:rsidRPr="006967DA">
        <w:rPr>
          <w:rFonts w:cs="Arial"/>
          <w:szCs w:val="22"/>
          <w:lang w:val="cs-CZ"/>
        </w:rPr>
        <w:t xml:space="preserve"> PKÚ a</w:t>
      </w:r>
      <w:r w:rsidR="007C36BF">
        <w:rPr>
          <w:rFonts w:cs="Arial"/>
          <w:szCs w:val="22"/>
          <w:lang w:val="cs-CZ"/>
        </w:rPr>
        <w:t> </w:t>
      </w:r>
      <w:r w:rsidR="001B5235" w:rsidRPr="006967DA">
        <w:rPr>
          <w:rFonts w:cs="Arial"/>
          <w:szCs w:val="22"/>
          <w:lang w:val="cs-CZ"/>
        </w:rPr>
        <w:t>k</w:t>
      </w:r>
      <w:r w:rsidR="007C36BF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následné a</w:t>
      </w:r>
      <w:r w:rsidR="007C36BF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postupné revitalizaci c</w:t>
      </w:r>
      <w:r w:rsidR="001B5235" w:rsidRPr="006967DA">
        <w:rPr>
          <w:rFonts w:cs="Arial"/>
          <w:szCs w:val="22"/>
          <w:lang w:val="cs-CZ"/>
        </w:rPr>
        <w:t>elého území dotčeného činností l</w:t>
      </w:r>
      <w:r w:rsidRPr="006967DA">
        <w:rPr>
          <w:rFonts w:cs="Arial"/>
          <w:szCs w:val="22"/>
          <w:lang w:val="cs-CZ"/>
        </w:rPr>
        <w:t xml:space="preserve">omu Chabařovice. </w:t>
      </w:r>
    </w:p>
    <w:p w:rsidR="000D4019" w:rsidRPr="006967DA" w:rsidRDefault="000D4019" w:rsidP="00D86D6E">
      <w:pPr>
        <w:autoSpaceDE w:val="0"/>
        <w:autoSpaceDN w:val="0"/>
        <w:adjustRightInd w:val="0"/>
        <w:rPr>
          <w:rFonts w:cs="Arial"/>
          <w:szCs w:val="22"/>
          <w:lang w:val="cs-CZ" w:eastAsia="cs-CZ"/>
        </w:rPr>
      </w:pPr>
    </w:p>
    <w:p w:rsidR="00EA446E" w:rsidRPr="006967DA" w:rsidRDefault="00EA446E" w:rsidP="00D86D6E">
      <w:pPr>
        <w:autoSpaceDE w:val="0"/>
        <w:autoSpaceDN w:val="0"/>
        <w:adjustRightInd w:val="0"/>
        <w:rPr>
          <w:rFonts w:cs="Arial"/>
          <w:szCs w:val="22"/>
          <w:lang w:val="cs-CZ" w:eastAsia="cs-CZ"/>
        </w:rPr>
      </w:pPr>
      <w:r w:rsidRPr="006967DA">
        <w:rPr>
          <w:rFonts w:cs="Arial"/>
          <w:szCs w:val="22"/>
          <w:lang w:val="cs-CZ" w:eastAsia="cs-CZ"/>
        </w:rPr>
        <w:t>Od roku 1991 do současnosti byly na základě usnesení vlády ČR pod PKÚ převedeny lokality a státní podniky s</w:t>
      </w:r>
      <w:r w:rsidR="004917E6" w:rsidRPr="006967DA">
        <w:rPr>
          <w:rFonts w:cs="Arial"/>
          <w:szCs w:val="22"/>
          <w:lang w:val="cs-CZ" w:eastAsia="cs-CZ"/>
        </w:rPr>
        <w:t xml:space="preserve"> již </w:t>
      </w:r>
      <w:r w:rsidRPr="006967DA">
        <w:rPr>
          <w:rFonts w:cs="Arial"/>
          <w:szCs w:val="22"/>
          <w:lang w:val="cs-CZ" w:eastAsia="cs-CZ"/>
        </w:rPr>
        <w:t>ukončenou těžbou:</w:t>
      </w:r>
    </w:p>
    <w:p w:rsidR="00EA446E" w:rsidRPr="006967DA" w:rsidRDefault="00ED6728" w:rsidP="00D86D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szCs w:val="22"/>
          <w:lang w:eastAsia="cs-CZ"/>
        </w:rPr>
      </w:pPr>
      <w:r w:rsidRPr="006967DA">
        <w:rPr>
          <w:rFonts w:cs="Arial"/>
          <w:szCs w:val="22"/>
          <w:lang w:eastAsia="cs-CZ"/>
        </w:rPr>
        <w:t>l</w:t>
      </w:r>
      <w:r w:rsidR="00EA446E" w:rsidRPr="006967DA">
        <w:rPr>
          <w:rFonts w:cs="Arial"/>
          <w:szCs w:val="22"/>
          <w:lang w:eastAsia="cs-CZ"/>
        </w:rPr>
        <w:t>okality Ležáky a Kohinoor ze společnosti Důl Kohin</w:t>
      </w:r>
      <w:r w:rsidR="00F957D6">
        <w:rPr>
          <w:rFonts w:cs="Arial"/>
          <w:szCs w:val="22"/>
          <w:lang w:eastAsia="cs-CZ"/>
        </w:rPr>
        <w:t>oor, a. </w:t>
      </w:r>
      <w:r w:rsidR="00EA446E" w:rsidRPr="006967DA">
        <w:rPr>
          <w:rFonts w:cs="Arial"/>
          <w:szCs w:val="22"/>
          <w:lang w:eastAsia="cs-CZ"/>
        </w:rPr>
        <w:t>s.</w:t>
      </w:r>
      <w:r w:rsidR="00F957D6">
        <w:rPr>
          <w:rFonts w:cs="Arial"/>
          <w:szCs w:val="22"/>
          <w:lang w:eastAsia="cs-CZ"/>
        </w:rPr>
        <w:t>,</w:t>
      </w:r>
      <w:r w:rsidR="00EA446E" w:rsidRPr="006967DA">
        <w:rPr>
          <w:rFonts w:cs="Arial"/>
          <w:szCs w:val="22"/>
          <w:lang w:eastAsia="cs-CZ"/>
        </w:rPr>
        <w:t xml:space="preserve"> (</w:t>
      </w:r>
      <w:r w:rsidR="006E250C" w:rsidRPr="006967DA">
        <w:rPr>
          <w:rFonts w:cs="Arial"/>
          <w:szCs w:val="22"/>
          <w:lang w:eastAsia="cs-CZ"/>
        </w:rPr>
        <w:t xml:space="preserve">s účinností </w:t>
      </w:r>
      <w:r w:rsidR="00EA446E" w:rsidRPr="006967DA">
        <w:rPr>
          <w:rFonts w:cs="Arial"/>
          <w:szCs w:val="22"/>
          <w:lang w:eastAsia="cs-CZ"/>
        </w:rPr>
        <w:t>od 1. </w:t>
      </w:r>
      <w:r w:rsidR="00B010B2" w:rsidRPr="006967DA">
        <w:rPr>
          <w:rFonts w:cs="Arial"/>
          <w:szCs w:val="22"/>
          <w:lang w:eastAsia="cs-CZ"/>
        </w:rPr>
        <w:t>ledna</w:t>
      </w:r>
      <w:r w:rsidR="00F957D6">
        <w:rPr>
          <w:rFonts w:cs="Arial"/>
          <w:szCs w:val="22"/>
          <w:lang w:eastAsia="cs-CZ"/>
        </w:rPr>
        <w:t xml:space="preserve"> </w:t>
      </w:r>
      <w:r w:rsidR="00EA446E" w:rsidRPr="006967DA">
        <w:rPr>
          <w:rFonts w:cs="Arial"/>
          <w:szCs w:val="22"/>
          <w:lang w:eastAsia="cs-CZ"/>
        </w:rPr>
        <w:t>2004</w:t>
      </w:r>
      <w:r w:rsidR="00DF7303" w:rsidRPr="006967DA">
        <w:rPr>
          <w:rFonts w:cs="Arial"/>
          <w:szCs w:val="22"/>
          <w:lang w:eastAsia="cs-CZ"/>
        </w:rPr>
        <w:t xml:space="preserve"> na základě </w:t>
      </w:r>
      <w:r w:rsidR="00F957D6">
        <w:rPr>
          <w:rFonts w:cs="Arial"/>
          <w:szCs w:val="22"/>
          <w:lang w:eastAsia="cs-CZ"/>
        </w:rPr>
        <w:t>„s</w:t>
      </w:r>
      <w:r w:rsidR="00DF7303" w:rsidRPr="006967DA">
        <w:rPr>
          <w:rFonts w:cs="Arial"/>
          <w:szCs w:val="22"/>
          <w:lang w:eastAsia="cs-CZ"/>
        </w:rPr>
        <w:t>mlouvy o prodeji části podniku</w:t>
      </w:r>
      <w:r w:rsidR="00F957D6">
        <w:rPr>
          <w:rFonts w:cs="Arial"/>
          <w:szCs w:val="22"/>
          <w:lang w:eastAsia="cs-CZ"/>
        </w:rPr>
        <w:t>“</w:t>
      </w:r>
      <w:r w:rsidR="00DF7303" w:rsidRPr="006967DA">
        <w:rPr>
          <w:rFonts w:cs="Arial"/>
          <w:szCs w:val="22"/>
          <w:lang w:eastAsia="cs-CZ"/>
        </w:rPr>
        <w:t xml:space="preserve"> ze dne 17. </w:t>
      </w:r>
      <w:r w:rsidR="00B010B2" w:rsidRPr="006967DA">
        <w:rPr>
          <w:rFonts w:cs="Arial"/>
          <w:szCs w:val="22"/>
          <w:lang w:eastAsia="cs-CZ"/>
        </w:rPr>
        <w:t>prosince</w:t>
      </w:r>
      <w:r w:rsidR="00F957D6">
        <w:rPr>
          <w:rFonts w:cs="Arial"/>
          <w:szCs w:val="22"/>
          <w:lang w:eastAsia="cs-CZ"/>
        </w:rPr>
        <w:t xml:space="preserve"> </w:t>
      </w:r>
      <w:r w:rsidR="00DF7303" w:rsidRPr="006967DA">
        <w:rPr>
          <w:rFonts w:cs="Arial"/>
          <w:szCs w:val="22"/>
          <w:lang w:eastAsia="cs-CZ"/>
        </w:rPr>
        <w:t>2003</w:t>
      </w:r>
      <w:r w:rsidR="00EA446E" w:rsidRPr="006967DA">
        <w:rPr>
          <w:rFonts w:cs="Arial"/>
          <w:szCs w:val="22"/>
          <w:lang w:eastAsia="cs-CZ"/>
        </w:rPr>
        <w:t>)</w:t>
      </w:r>
      <w:r w:rsidR="004917E6" w:rsidRPr="006967DA">
        <w:rPr>
          <w:rStyle w:val="Znakapoznpodarou"/>
          <w:rFonts w:cs="Arial"/>
          <w:szCs w:val="22"/>
          <w:lang w:eastAsia="cs-CZ"/>
        </w:rPr>
        <w:footnoteReference w:id="7"/>
      </w:r>
      <w:r w:rsidR="001A0ED9" w:rsidRPr="006967DA">
        <w:rPr>
          <w:rFonts w:cs="Arial"/>
          <w:szCs w:val="22"/>
          <w:lang w:eastAsia="cs-CZ"/>
        </w:rPr>
        <w:t>;</w:t>
      </w:r>
      <w:r w:rsidR="00EA446E" w:rsidRPr="006967DA">
        <w:rPr>
          <w:rFonts w:cs="Arial"/>
          <w:szCs w:val="22"/>
          <w:lang w:eastAsia="cs-CZ"/>
        </w:rPr>
        <w:t xml:space="preserve"> </w:t>
      </w:r>
    </w:p>
    <w:p w:rsidR="00EA446E" w:rsidRPr="006967DA" w:rsidRDefault="00EA446E" w:rsidP="00D86D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szCs w:val="22"/>
        </w:rPr>
      </w:pPr>
      <w:r w:rsidRPr="006967DA">
        <w:rPr>
          <w:rFonts w:cs="Arial"/>
          <w:szCs w:val="22"/>
          <w:lang w:eastAsia="cs-CZ"/>
        </w:rPr>
        <w:t>Kladenské doly ze společnosti Českomoravské doly, a. s.</w:t>
      </w:r>
      <w:r w:rsidR="00F957D6">
        <w:rPr>
          <w:rFonts w:cs="Arial"/>
          <w:szCs w:val="22"/>
          <w:lang w:eastAsia="cs-CZ"/>
        </w:rPr>
        <w:t>,</w:t>
      </w:r>
      <w:r w:rsidRPr="006967DA">
        <w:rPr>
          <w:rFonts w:cs="Arial"/>
          <w:szCs w:val="22"/>
        </w:rPr>
        <w:t xml:space="preserve"> (</w:t>
      </w:r>
      <w:r w:rsidR="006E250C" w:rsidRPr="006967DA">
        <w:rPr>
          <w:rFonts w:cs="Arial"/>
          <w:szCs w:val="22"/>
          <w:lang w:eastAsia="cs-CZ"/>
        </w:rPr>
        <w:t xml:space="preserve">s účinností </w:t>
      </w:r>
      <w:r w:rsidRPr="006967DA">
        <w:rPr>
          <w:rFonts w:cs="Arial"/>
          <w:szCs w:val="22"/>
        </w:rPr>
        <w:t>od 1. </w:t>
      </w:r>
      <w:r w:rsidR="00B010B2" w:rsidRPr="006967DA">
        <w:rPr>
          <w:rFonts w:cs="Arial"/>
          <w:szCs w:val="22"/>
        </w:rPr>
        <w:t>ledna</w:t>
      </w:r>
      <w:r w:rsidR="00F957D6">
        <w:rPr>
          <w:rFonts w:cs="Arial"/>
          <w:szCs w:val="22"/>
        </w:rPr>
        <w:t xml:space="preserve"> </w:t>
      </w:r>
      <w:r w:rsidRPr="006967DA">
        <w:rPr>
          <w:rFonts w:cs="Arial"/>
          <w:szCs w:val="22"/>
        </w:rPr>
        <w:t>2004</w:t>
      </w:r>
      <w:r w:rsidR="00DF7303" w:rsidRPr="006967DA">
        <w:rPr>
          <w:rFonts w:cs="Arial"/>
          <w:szCs w:val="22"/>
        </w:rPr>
        <w:t xml:space="preserve"> </w:t>
      </w:r>
      <w:r w:rsidR="00DF7303" w:rsidRPr="006967DA">
        <w:rPr>
          <w:rFonts w:cs="Arial"/>
          <w:szCs w:val="22"/>
          <w:lang w:eastAsia="cs-CZ"/>
        </w:rPr>
        <w:t xml:space="preserve">na základě </w:t>
      </w:r>
      <w:r w:rsidR="00F957D6">
        <w:rPr>
          <w:rFonts w:cs="Arial"/>
          <w:szCs w:val="22"/>
          <w:lang w:eastAsia="cs-CZ"/>
        </w:rPr>
        <w:t>„s</w:t>
      </w:r>
      <w:r w:rsidR="00DF7303" w:rsidRPr="006967DA">
        <w:rPr>
          <w:rFonts w:cs="Arial"/>
          <w:szCs w:val="22"/>
          <w:lang w:eastAsia="cs-CZ"/>
        </w:rPr>
        <w:t>mlouvy o prodeji části podniku</w:t>
      </w:r>
      <w:r w:rsidR="00F957D6">
        <w:rPr>
          <w:rFonts w:cs="Arial"/>
          <w:szCs w:val="22"/>
          <w:lang w:eastAsia="cs-CZ"/>
        </w:rPr>
        <w:t>“</w:t>
      </w:r>
      <w:r w:rsidR="00DF7303" w:rsidRPr="006967DA">
        <w:rPr>
          <w:rFonts w:cs="Arial"/>
          <w:szCs w:val="22"/>
          <w:lang w:eastAsia="cs-CZ"/>
        </w:rPr>
        <w:t xml:space="preserve"> ze dne 18. </w:t>
      </w:r>
      <w:r w:rsidR="00B010B2" w:rsidRPr="006967DA">
        <w:rPr>
          <w:rFonts w:cs="Arial"/>
          <w:szCs w:val="22"/>
          <w:lang w:eastAsia="cs-CZ"/>
        </w:rPr>
        <w:t>prosince</w:t>
      </w:r>
      <w:r w:rsidR="00F957D6">
        <w:rPr>
          <w:rFonts w:cs="Arial"/>
          <w:szCs w:val="22"/>
          <w:lang w:eastAsia="cs-CZ"/>
        </w:rPr>
        <w:t xml:space="preserve"> </w:t>
      </w:r>
      <w:r w:rsidR="00DF7303" w:rsidRPr="006967DA">
        <w:rPr>
          <w:rFonts w:cs="Arial"/>
          <w:szCs w:val="22"/>
          <w:lang w:eastAsia="cs-CZ"/>
        </w:rPr>
        <w:t>2003</w:t>
      </w:r>
      <w:r w:rsidRPr="006967DA">
        <w:rPr>
          <w:rFonts w:cs="Arial"/>
          <w:szCs w:val="22"/>
        </w:rPr>
        <w:t>)</w:t>
      </w:r>
      <w:r w:rsidR="004917E6" w:rsidRPr="006967DA">
        <w:rPr>
          <w:rFonts w:cs="Arial"/>
          <w:szCs w:val="22"/>
          <w:vertAlign w:val="superscript"/>
        </w:rPr>
        <w:t>4</w:t>
      </w:r>
      <w:r w:rsidR="001A0ED9" w:rsidRPr="006967DA">
        <w:rPr>
          <w:rFonts w:cs="Arial"/>
          <w:szCs w:val="22"/>
        </w:rPr>
        <w:t>;</w:t>
      </w:r>
    </w:p>
    <w:p w:rsidR="00EA446E" w:rsidRPr="006967DA" w:rsidRDefault="00EA446E" w:rsidP="00D86D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szCs w:val="22"/>
        </w:rPr>
      </w:pPr>
      <w:r w:rsidRPr="006967DA">
        <w:rPr>
          <w:rFonts w:cs="Arial"/>
          <w:szCs w:val="22"/>
        </w:rPr>
        <w:t xml:space="preserve">státní podnik Východočeské uhelné doly se sídlem </w:t>
      </w:r>
      <w:r w:rsidR="00F957D6">
        <w:rPr>
          <w:rFonts w:cs="Arial"/>
          <w:szCs w:val="22"/>
        </w:rPr>
        <w:t>v </w:t>
      </w:r>
      <w:r w:rsidRPr="006967DA">
        <w:rPr>
          <w:rFonts w:cs="Arial"/>
          <w:szCs w:val="22"/>
        </w:rPr>
        <w:t>Trutnov</w:t>
      </w:r>
      <w:r w:rsidR="00F957D6">
        <w:rPr>
          <w:rFonts w:cs="Arial"/>
          <w:szCs w:val="22"/>
        </w:rPr>
        <w:t>ě</w:t>
      </w:r>
      <w:r w:rsidRPr="006967DA">
        <w:rPr>
          <w:rFonts w:cs="Arial"/>
          <w:szCs w:val="22"/>
        </w:rPr>
        <w:t xml:space="preserve"> (</w:t>
      </w:r>
      <w:r w:rsidR="006E250C" w:rsidRPr="006967DA">
        <w:rPr>
          <w:rFonts w:cs="Arial"/>
          <w:szCs w:val="22"/>
          <w:lang w:eastAsia="cs-CZ"/>
        </w:rPr>
        <w:t xml:space="preserve">s účinností </w:t>
      </w:r>
      <w:r w:rsidRPr="006967DA">
        <w:rPr>
          <w:rFonts w:cs="Arial"/>
          <w:szCs w:val="22"/>
        </w:rPr>
        <w:t>od 1. </w:t>
      </w:r>
      <w:r w:rsidR="00B010B2" w:rsidRPr="006967DA">
        <w:rPr>
          <w:rFonts w:cs="Arial"/>
          <w:szCs w:val="22"/>
        </w:rPr>
        <w:t>ledna</w:t>
      </w:r>
      <w:r w:rsidR="00F957D6">
        <w:rPr>
          <w:rFonts w:cs="Arial"/>
          <w:szCs w:val="22"/>
        </w:rPr>
        <w:t xml:space="preserve"> </w:t>
      </w:r>
      <w:r w:rsidRPr="006967DA">
        <w:rPr>
          <w:rFonts w:cs="Arial"/>
          <w:szCs w:val="22"/>
        </w:rPr>
        <w:t>2005)</w:t>
      </w:r>
      <w:r w:rsidR="007F41E8" w:rsidRPr="006967DA">
        <w:rPr>
          <w:rStyle w:val="Znakapoznpodarou"/>
          <w:rFonts w:cs="Arial"/>
          <w:szCs w:val="22"/>
        </w:rPr>
        <w:footnoteReference w:id="8"/>
      </w:r>
      <w:r w:rsidR="001A0ED9" w:rsidRPr="006967DA">
        <w:rPr>
          <w:rFonts w:cs="Arial"/>
          <w:szCs w:val="22"/>
        </w:rPr>
        <w:t>;</w:t>
      </w:r>
    </w:p>
    <w:p w:rsidR="00EA446E" w:rsidRPr="006967DA" w:rsidRDefault="00EA446E" w:rsidP="00D86D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 w:val="0"/>
        <w:rPr>
          <w:rFonts w:cs="Arial"/>
          <w:szCs w:val="22"/>
        </w:rPr>
      </w:pPr>
      <w:r w:rsidRPr="006967DA">
        <w:rPr>
          <w:rFonts w:cs="Arial"/>
          <w:szCs w:val="22"/>
        </w:rPr>
        <w:t>Doly a úpravny Komořany, státní podnik, Doly Nástup Tušimice, státní podnik</w:t>
      </w:r>
      <w:r w:rsidR="00F957D6">
        <w:rPr>
          <w:rFonts w:cs="Arial"/>
          <w:szCs w:val="22"/>
        </w:rPr>
        <w:t>,</w:t>
      </w:r>
      <w:r w:rsidRPr="006967DA">
        <w:rPr>
          <w:rFonts w:cs="Arial"/>
          <w:szCs w:val="22"/>
        </w:rPr>
        <w:t xml:space="preserve"> a Palivový kombinát Vřesová (</w:t>
      </w:r>
      <w:r w:rsidR="006E250C" w:rsidRPr="006967DA">
        <w:rPr>
          <w:rFonts w:cs="Arial"/>
          <w:szCs w:val="22"/>
          <w:lang w:eastAsia="cs-CZ"/>
        </w:rPr>
        <w:t>s účinností</w:t>
      </w:r>
      <w:r w:rsidRPr="006967DA">
        <w:rPr>
          <w:rFonts w:cs="Arial"/>
          <w:szCs w:val="22"/>
        </w:rPr>
        <w:t xml:space="preserve"> od 1. </w:t>
      </w:r>
      <w:r w:rsidR="00B010B2" w:rsidRPr="006967DA">
        <w:rPr>
          <w:rFonts w:cs="Arial"/>
          <w:szCs w:val="22"/>
        </w:rPr>
        <w:t>ledna</w:t>
      </w:r>
      <w:r w:rsidR="00F957D6">
        <w:rPr>
          <w:rFonts w:cs="Arial"/>
          <w:szCs w:val="22"/>
        </w:rPr>
        <w:t xml:space="preserve"> </w:t>
      </w:r>
      <w:r w:rsidRPr="006967DA">
        <w:rPr>
          <w:rFonts w:cs="Arial"/>
          <w:szCs w:val="22"/>
        </w:rPr>
        <w:t>2008)</w:t>
      </w:r>
      <w:r w:rsidR="007F41E8" w:rsidRPr="006967DA">
        <w:rPr>
          <w:rStyle w:val="Znakapoznpodarou"/>
          <w:rFonts w:cs="Arial"/>
          <w:szCs w:val="22"/>
        </w:rPr>
        <w:footnoteReference w:id="9"/>
      </w:r>
      <w:r w:rsidR="001A0ED9" w:rsidRPr="006967DA">
        <w:rPr>
          <w:rFonts w:cs="Arial"/>
          <w:szCs w:val="22"/>
        </w:rPr>
        <w:t>.</w:t>
      </w:r>
    </w:p>
    <w:p w:rsidR="000D4019" w:rsidRPr="006967DA" w:rsidRDefault="000D4019" w:rsidP="00D86D6E">
      <w:pPr>
        <w:autoSpaceDE w:val="0"/>
        <w:autoSpaceDN w:val="0"/>
        <w:adjustRightInd w:val="0"/>
        <w:rPr>
          <w:rFonts w:cs="Arial"/>
          <w:szCs w:val="22"/>
          <w:lang w:val="cs-CZ" w:eastAsia="cs-CZ"/>
        </w:rPr>
      </w:pPr>
    </w:p>
    <w:p w:rsidR="0002448F" w:rsidRPr="006967DA" w:rsidRDefault="00EA446E" w:rsidP="00D86D6E">
      <w:pPr>
        <w:autoSpaceDE w:val="0"/>
        <w:autoSpaceDN w:val="0"/>
        <w:adjustRightInd w:val="0"/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 w:eastAsia="cs-CZ"/>
        </w:rPr>
        <w:t>Do působnosti PKÚ byla začleněna i činnost spojená s likvidací ekologické zátěže po těžbě ropy na území jižní Moravy</w:t>
      </w:r>
      <w:r w:rsidR="00ED6728" w:rsidRPr="006967DA">
        <w:rPr>
          <w:rStyle w:val="Znakapoznpodarou"/>
          <w:rFonts w:cs="Arial"/>
          <w:szCs w:val="22"/>
          <w:lang w:val="cs-CZ"/>
        </w:rPr>
        <w:footnoteReference w:id="10"/>
      </w:r>
      <w:r w:rsidR="00ED6728" w:rsidRPr="006967DA">
        <w:rPr>
          <w:rFonts w:cs="Arial"/>
          <w:szCs w:val="22"/>
          <w:lang w:val="cs-CZ" w:eastAsia="cs-CZ"/>
        </w:rPr>
        <w:t>, s účinností</w:t>
      </w:r>
      <w:r w:rsidR="00ED6728" w:rsidRPr="006967DA">
        <w:rPr>
          <w:rFonts w:cs="Arial"/>
          <w:szCs w:val="22"/>
          <w:lang w:val="cs-CZ"/>
        </w:rPr>
        <w:t xml:space="preserve"> od 1. </w:t>
      </w:r>
      <w:r w:rsidR="00B010B2" w:rsidRPr="006967DA">
        <w:rPr>
          <w:rFonts w:cs="Arial"/>
          <w:szCs w:val="22"/>
          <w:lang w:val="cs-CZ"/>
        </w:rPr>
        <w:t>října</w:t>
      </w:r>
      <w:r w:rsidR="00ED6728" w:rsidRPr="006967DA">
        <w:rPr>
          <w:rFonts w:cs="Arial"/>
          <w:szCs w:val="22"/>
          <w:lang w:val="cs-CZ"/>
        </w:rPr>
        <w:t xml:space="preserve"> 2007 vzniklo středisko </w:t>
      </w:r>
      <w:r w:rsidR="0002448F" w:rsidRPr="006967DA">
        <w:rPr>
          <w:rFonts w:cs="Arial"/>
          <w:szCs w:val="22"/>
          <w:lang w:val="cs-CZ"/>
        </w:rPr>
        <w:t>Moravské naftové doly, později Středisko Hodonín.</w:t>
      </w:r>
    </w:p>
    <w:p w:rsidR="000D4019" w:rsidRPr="006967DA" w:rsidRDefault="000D4019" w:rsidP="00D86D6E">
      <w:pPr>
        <w:autoSpaceDE w:val="0"/>
        <w:autoSpaceDN w:val="0"/>
        <w:adjustRightInd w:val="0"/>
        <w:rPr>
          <w:rFonts w:cs="Arial"/>
          <w:szCs w:val="22"/>
          <w:lang w:val="cs-CZ"/>
        </w:rPr>
      </w:pPr>
    </w:p>
    <w:p w:rsidR="00D53D5E" w:rsidRPr="006967DA" w:rsidRDefault="00EA446E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v kontrolovaném období realizoval komplexní revitalizaci krajiny dotčené těžební činnost</w:t>
      </w:r>
      <w:r w:rsidR="00F957D6">
        <w:rPr>
          <w:rFonts w:cs="Arial"/>
          <w:szCs w:val="22"/>
          <w:lang w:val="cs-CZ"/>
        </w:rPr>
        <w:t>í</w:t>
      </w:r>
      <w:r w:rsidR="00ED6728" w:rsidRPr="006967DA">
        <w:rPr>
          <w:rFonts w:cs="Arial"/>
          <w:szCs w:val="22"/>
          <w:lang w:val="cs-CZ"/>
        </w:rPr>
        <w:t>. V</w:t>
      </w:r>
      <w:r w:rsidRPr="006967DA">
        <w:rPr>
          <w:rFonts w:cs="Arial"/>
          <w:szCs w:val="22"/>
          <w:lang w:val="cs-CZ"/>
        </w:rPr>
        <w:t>ýznamn</w:t>
      </w:r>
      <w:r w:rsidR="00F957D6">
        <w:rPr>
          <w:rFonts w:cs="Arial"/>
          <w:szCs w:val="22"/>
          <w:lang w:val="cs-CZ"/>
        </w:rPr>
        <w:t>é</w:t>
      </w:r>
      <w:r w:rsidRPr="006967DA">
        <w:rPr>
          <w:rFonts w:cs="Arial"/>
          <w:szCs w:val="22"/>
          <w:lang w:val="cs-CZ"/>
        </w:rPr>
        <w:t xml:space="preserve"> </w:t>
      </w:r>
      <w:r w:rsidR="00F35EBB" w:rsidRPr="006967DA">
        <w:rPr>
          <w:rFonts w:cs="Arial"/>
          <w:szCs w:val="22"/>
          <w:lang w:val="cs-CZ"/>
        </w:rPr>
        <w:t>byly</w:t>
      </w:r>
      <w:r w:rsidRPr="006967DA">
        <w:rPr>
          <w:rFonts w:cs="Arial"/>
          <w:szCs w:val="22"/>
          <w:lang w:val="cs-CZ"/>
        </w:rPr>
        <w:t xml:space="preserve"> zejména rozsáhlé hydrické rekultivace – vytváření jezer ze zbytkových jam lomu Chabařovice a lomu Most Ležáky. Dále PKÚ zajišťoval </w:t>
      </w:r>
      <w:r w:rsidR="0002448F" w:rsidRPr="006967DA">
        <w:rPr>
          <w:rFonts w:cs="Arial"/>
          <w:szCs w:val="22"/>
          <w:lang w:val="cs-CZ"/>
        </w:rPr>
        <w:t xml:space="preserve">zahlazování následků hornické činnosti </w:t>
      </w:r>
      <w:r w:rsidRPr="006967DA">
        <w:rPr>
          <w:rFonts w:cs="Arial"/>
          <w:szCs w:val="22"/>
          <w:lang w:val="cs-CZ"/>
        </w:rPr>
        <w:t xml:space="preserve">v oblastech opuštěných důlních děl </w:t>
      </w:r>
      <w:r w:rsidR="00F957D6">
        <w:rPr>
          <w:rFonts w:cs="Arial"/>
          <w:szCs w:val="22"/>
          <w:lang w:val="cs-CZ"/>
        </w:rPr>
        <w:t>a </w:t>
      </w:r>
      <w:r w:rsidRPr="006967DA">
        <w:rPr>
          <w:rFonts w:cs="Arial"/>
          <w:szCs w:val="22"/>
          <w:lang w:val="cs-CZ"/>
        </w:rPr>
        <w:t>likvidaci starých ekologických zátěží po těžbě ropy</w:t>
      </w:r>
      <w:r w:rsidR="0002448F" w:rsidRPr="006967DA">
        <w:rPr>
          <w:rFonts w:cs="Arial"/>
          <w:szCs w:val="22"/>
          <w:lang w:val="cs-CZ"/>
        </w:rPr>
        <w:t xml:space="preserve"> </w:t>
      </w:r>
      <w:r w:rsidR="00D53D5E" w:rsidRPr="006967DA">
        <w:rPr>
          <w:rFonts w:eastAsiaTheme="minorHAnsi" w:cs="Arial"/>
          <w:szCs w:val="22"/>
          <w:lang w:val="cs-CZ"/>
        </w:rPr>
        <w:t>a zemního plynu na území jižní Moravy. PKÚ rovněž prováděl demolice nepotřebných objektů povrchových areálů, v lokalitách s ukončenou hlubinnou těžbou pokračovaly práce spočívající zejména v zajištění hlavních důlních děl</w:t>
      </w:r>
      <w:r w:rsidR="000B2F62" w:rsidRPr="006967DA">
        <w:rPr>
          <w:rStyle w:val="Znakapoznpodarou"/>
          <w:rFonts w:eastAsiaTheme="minorHAnsi" w:cs="Arial"/>
          <w:szCs w:val="22"/>
          <w:lang w:val="cs-CZ"/>
        </w:rPr>
        <w:footnoteReference w:id="11"/>
      </w:r>
      <w:r w:rsidR="00D53D5E" w:rsidRPr="006967DA">
        <w:rPr>
          <w:rFonts w:eastAsiaTheme="minorHAnsi" w:cs="Arial"/>
          <w:szCs w:val="22"/>
          <w:lang w:val="cs-CZ"/>
        </w:rPr>
        <w:t xml:space="preserve">, čerpání a úpravě důlních vod. </w:t>
      </w:r>
      <w:r w:rsidR="00FC7260" w:rsidRPr="006967DA">
        <w:rPr>
          <w:rFonts w:cs="Arial"/>
          <w:szCs w:val="22"/>
          <w:lang w:val="cs-CZ"/>
        </w:rPr>
        <w:t xml:space="preserve">PKÚ </w:t>
      </w:r>
      <w:r w:rsidR="000B42BC" w:rsidRPr="006967DA">
        <w:rPr>
          <w:rFonts w:cs="Arial"/>
          <w:szCs w:val="22"/>
          <w:lang w:val="cs-CZ"/>
        </w:rPr>
        <w:t xml:space="preserve">ke </w:t>
      </w:r>
      <w:r w:rsidR="000D7CEF" w:rsidRPr="006967DA">
        <w:rPr>
          <w:rFonts w:cs="Arial"/>
          <w:szCs w:val="22"/>
          <w:lang w:val="cs-CZ"/>
        </w:rPr>
        <w:t>konci roku</w:t>
      </w:r>
      <w:r w:rsidR="000B42BC" w:rsidRPr="006967DA">
        <w:rPr>
          <w:rFonts w:cs="Arial"/>
          <w:szCs w:val="22"/>
          <w:lang w:val="cs-CZ"/>
        </w:rPr>
        <w:t xml:space="preserve"> 2012 </w:t>
      </w:r>
      <w:r w:rsidR="005030B3" w:rsidRPr="006967DA">
        <w:rPr>
          <w:rFonts w:cs="Arial"/>
          <w:szCs w:val="22"/>
          <w:lang w:val="cs-CZ"/>
        </w:rPr>
        <w:t xml:space="preserve">spravoval </w:t>
      </w:r>
      <w:r w:rsidR="00D53D5E" w:rsidRPr="006967DA">
        <w:rPr>
          <w:rFonts w:cs="Arial"/>
          <w:szCs w:val="22"/>
          <w:lang w:val="cs-CZ"/>
        </w:rPr>
        <w:t xml:space="preserve">celkem 534 </w:t>
      </w:r>
      <w:r w:rsidR="00FC7260" w:rsidRPr="006967DA">
        <w:rPr>
          <w:rFonts w:cs="Arial"/>
          <w:szCs w:val="22"/>
          <w:lang w:val="cs-CZ"/>
        </w:rPr>
        <w:t xml:space="preserve">hlavních </w:t>
      </w:r>
      <w:r w:rsidR="00FC7260" w:rsidRPr="006967DA">
        <w:rPr>
          <w:rFonts w:cs="Arial"/>
          <w:szCs w:val="22"/>
          <w:lang w:val="cs-CZ"/>
        </w:rPr>
        <w:lastRenderedPageBreak/>
        <w:t>důlních děl</w:t>
      </w:r>
      <w:r w:rsidR="000B2F62" w:rsidRPr="006967DA">
        <w:rPr>
          <w:rFonts w:cs="Arial"/>
          <w:szCs w:val="22"/>
          <w:lang w:val="cs-CZ"/>
        </w:rPr>
        <w:t>,</w:t>
      </w:r>
      <w:r w:rsidR="000B42BC" w:rsidRPr="006967DA">
        <w:rPr>
          <w:rFonts w:cs="Arial"/>
          <w:szCs w:val="22"/>
          <w:lang w:val="cs-CZ"/>
        </w:rPr>
        <w:t xml:space="preserve"> </w:t>
      </w:r>
      <w:r w:rsidR="000B2F62" w:rsidRPr="006967DA">
        <w:rPr>
          <w:rFonts w:cs="Arial"/>
          <w:szCs w:val="22"/>
          <w:lang w:val="cs-CZ"/>
        </w:rPr>
        <w:t>u kterých</w:t>
      </w:r>
      <w:r w:rsidR="000B42BC" w:rsidRPr="006967DA">
        <w:rPr>
          <w:rFonts w:cs="Arial"/>
          <w:szCs w:val="22"/>
          <w:lang w:val="cs-CZ"/>
        </w:rPr>
        <w:t xml:space="preserve"> prováděl průzkum, zajištění a trvalou kontrolu stavu</w:t>
      </w:r>
      <w:r w:rsidR="000B2F62" w:rsidRPr="006967DA">
        <w:rPr>
          <w:rFonts w:cs="Arial"/>
          <w:szCs w:val="22"/>
          <w:lang w:val="cs-CZ"/>
        </w:rPr>
        <w:t xml:space="preserve"> podle</w:t>
      </w:r>
      <w:r w:rsidR="00F957D6">
        <w:rPr>
          <w:rFonts w:cs="Arial"/>
          <w:szCs w:val="22"/>
          <w:lang w:val="cs-CZ"/>
        </w:rPr>
        <w:t xml:space="preserve"> </w:t>
      </w:r>
      <w:r w:rsidR="000B2F62" w:rsidRPr="006967DA">
        <w:rPr>
          <w:rFonts w:cs="Arial"/>
          <w:szCs w:val="22"/>
          <w:lang w:val="cs-CZ"/>
        </w:rPr>
        <w:t>právních předpisů, zejména vyhlášky č. 52/1997 Sb.</w:t>
      </w:r>
      <w:r w:rsidR="000B2F62" w:rsidRPr="006967DA">
        <w:rPr>
          <w:rStyle w:val="Znakapoznpodarou"/>
          <w:rFonts w:cs="Arial"/>
          <w:szCs w:val="22"/>
          <w:lang w:val="cs-CZ"/>
        </w:rPr>
        <w:footnoteReference w:id="12"/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bCs/>
          <w:iCs/>
          <w:szCs w:val="22"/>
          <w:lang w:val="cs-CZ"/>
        </w:rPr>
        <w:t>U PKÚ byl</w:t>
      </w:r>
      <w:r w:rsidR="00592AE2">
        <w:rPr>
          <w:rFonts w:cs="Arial"/>
          <w:bCs/>
          <w:iCs/>
          <w:szCs w:val="22"/>
          <w:lang w:val="cs-CZ"/>
        </w:rPr>
        <w:t>y</w:t>
      </w:r>
      <w:r w:rsidRPr="006967DA">
        <w:rPr>
          <w:rFonts w:cs="Arial"/>
          <w:bCs/>
          <w:iCs/>
          <w:szCs w:val="22"/>
          <w:lang w:val="cs-CZ"/>
        </w:rPr>
        <w:t xml:space="preserve"> prověřen</w:t>
      </w:r>
      <w:r w:rsidR="00592AE2">
        <w:rPr>
          <w:rFonts w:cs="Arial"/>
          <w:bCs/>
          <w:iCs/>
          <w:szCs w:val="22"/>
          <w:lang w:val="cs-CZ"/>
        </w:rPr>
        <w:t>y</w:t>
      </w:r>
      <w:r w:rsidRPr="006967DA">
        <w:rPr>
          <w:rFonts w:cs="Arial"/>
          <w:bCs/>
          <w:iCs/>
          <w:szCs w:val="22"/>
          <w:lang w:val="cs-CZ"/>
        </w:rPr>
        <w:t xml:space="preserve"> plnění povinností vyplývajících z ustanovení zákona č. 77/1997 Sb., hospodaření s majetkem státu, s nímž má </w:t>
      </w:r>
      <w:r w:rsidR="0084138F">
        <w:rPr>
          <w:rFonts w:cs="Arial"/>
          <w:bCs/>
          <w:iCs/>
          <w:szCs w:val="22"/>
          <w:lang w:val="cs-CZ"/>
        </w:rPr>
        <w:t xml:space="preserve">PKÚ </w:t>
      </w:r>
      <w:r w:rsidRPr="006967DA">
        <w:rPr>
          <w:rFonts w:cs="Arial"/>
          <w:bCs/>
          <w:iCs/>
          <w:szCs w:val="22"/>
          <w:lang w:val="cs-CZ"/>
        </w:rPr>
        <w:t>právo hospodařit</w:t>
      </w:r>
      <w:r w:rsidR="0084138F">
        <w:rPr>
          <w:rFonts w:cs="Arial"/>
          <w:bCs/>
          <w:iCs/>
          <w:szCs w:val="22"/>
          <w:lang w:val="cs-CZ"/>
        </w:rPr>
        <w:t>,</w:t>
      </w:r>
      <w:r w:rsidR="008513A9">
        <w:rPr>
          <w:rFonts w:cs="Arial"/>
          <w:bCs/>
          <w:iCs/>
          <w:szCs w:val="22"/>
          <w:lang w:val="cs-CZ"/>
        </w:rPr>
        <w:t xml:space="preserve"> a </w:t>
      </w:r>
      <w:r w:rsidRPr="006967DA">
        <w:rPr>
          <w:rFonts w:cs="Arial"/>
          <w:bCs/>
          <w:iCs/>
          <w:szCs w:val="22"/>
          <w:lang w:val="cs-CZ"/>
        </w:rPr>
        <w:t xml:space="preserve">existence </w:t>
      </w:r>
      <w:r w:rsidR="008513A9">
        <w:rPr>
          <w:rFonts w:cs="Arial"/>
          <w:bCs/>
          <w:iCs/>
          <w:szCs w:val="22"/>
          <w:lang w:val="cs-CZ"/>
        </w:rPr>
        <w:t xml:space="preserve">účinného </w:t>
      </w:r>
      <w:r w:rsidRPr="006967DA">
        <w:rPr>
          <w:rFonts w:cs="Arial"/>
          <w:bCs/>
          <w:iCs/>
          <w:szCs w:val="22"/>
          <w:lang w:val="cs-CZ"/>
        </w:rPr>
        <w:t>vnitřního systému řízení a kontroly státního podniku</w:t>
      </w:r>
      <w:r w:rsidR="000D4019" w:rsidRPr="006967DA">
        <w:rPr>
          <w:rFonts w:cs="Arial"/>
          <w:szCs w:val="22"/>
          <w:lang w:val="cs-CZ"/>
        </w:rPr>
        <w:t>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205D32" w:rsidRPr="006967DA" w:rsidRDefault="00205D32" w:rsidP="000D4019">
      <w:pPr>
        <w:ind w:left="567" w:hanging="567"/>
        <w:rPr>
          <w:rFonts w:cs="Arial"/>
          <w:sz w:val="18"/>
          <w:szCs w:val="18"/>
          <w:lang w:val="cs-CZ"/>
        </w:rPr>
      </w:pPr>
      <w:r w:rsidRPr="006967DA">
        <w:rPr>
          <w:rFonts w:cs="Arial"/>
          <w:b/>
          <w:sz w:val="18"/>
          <w:szCs w:val="18"/>
          <w:lang w:val="cs-CZ"/>
        </w:rPr>
        <w:t>Pozn</w:t>
      </w:r>
      <w:r w:rsidR="00B010B2" w:rsidRPr="006967DA">
        <w:rPr>
          <w:rFonts w:cs="Arial"/>
          <w:b/>
          <w:sz w:val="18"/>
          <w:szCs w:val="18"/>
          <w:lang w:val="cs-CZ"/>
        </w:rPr>
        <w:t>.</w:t>
      </w:r>
      <w:r w:rsidRPr="006967DA">
        <w:rPr>
          <w:rFonts w:cs="Arial"/>
          <w:b/>
          <w:sz w:val="18"/>
          <w:szCs w:val="18"/>
          <w:lang w:val="cs-CZ"/>
        </w:rPr>
        <w:t>:</w:t>
      </w:r>
      <w:r w:rsidR="000D4019" w:rsidRPr="006967DA">
        <w:rPr>
          <w:rFonts w:cs="Arial"/>
          <w:sz w:val="18"/>
          <w:szCs w:val="18"/>
          <w:lang w:val="cs-CZ"/>
        </w:rPr>
        <w:tab/>
      </w:r>
      <w:r w:rsidRPr="006967DA">
        <w:rPr>
          <w:rFonts w:cs="Arial"/>
          <w:sz w:val="18"/>
          <w:szCs w:val="18"/>
          <w:lang w:val="cs-CZ"/>
        </w:rPr>
        <w:t>Všechny právní předpisy uváděné v tomto kontrolním závěru jsou aplikovány ve</w:t>
      </w:r>
      <w:r w:rsidR="000D4019" w:rsidRPr="006967DA">
        <w:rPr>
          <w:rFonts w:cs="Arial"/>
          <w:sz w:val="18"/>
          <w:szCs w:val="18"/>
          <w:lang w:val="cs-CZ"/>
        </w:rPr>
        <w:t xml:space="preserve"> </w:t>
      </w:r>
      <w:r w:rsidRPr="006967DA">
        <w:rPr>
          <w:rFonts w:cs="Arial"/>
          <w:sz w:val="18"/>
          <w:szCs w:val="18"/>
          <w:lang w:val="cs-CZ"/>
        </w:rPr>
        <w:t>znění účinném pro kontrolované období.</w:t>
      </w:r>
    </w:p>
    <w:p w:rsidR="000D4019" w:rsidRPr="006967DA" w:rsidRDefault="000D4019" w:rsidP="000D4019">
      <w:pPr>
        <w:rPr>
          <w:lang w:val="cs-CZ"/>
        </w:rPr>
      </w:pPr>
    </w:p>
    <w:p w:rsidR="000D4019" w:rsidRPr="006967DA" w:rsidRDefault="000D4019" w:rsidP="000D4019">
      <w:pPr>
        <w:rPr>
          <w:lang w:val="cs-CZ"/>
        </w:rPr>
      </w:pPr>
    </w:p>
    <w:p w:rsidR="00205D32" w:rsidRPr="006967DA" w:rsidRDefault="000D4019" w:rsidP="000D4019">
      <w:pPr>
        <w:jc w:val="center"/>
        <w:rPr>
          <w:b/>
          <w:sz w:val="24"/>
          <w:lang w:val="cs-CZ"/>
        </w:rPr>
      </w:pPr>
      <w:r w:rsidRPr="006967DA">
        <w:rPr>
          <w:b/>
          <w:sz w:val="24"/>
          <w:lang w:val="cs-CZ"/>
        </w:rPr>
        <w:t xml:space="preserve">II. </w:t>
      </w:r>
      <w:r w:rsidR="00205D32" w:rsidRPr="006967DA">
        <w:rPr>
          <w:b/>
          <w:sz w:val="24"/>
          <w:lang w:val="cs-CZ"/>
        </w:rPr>
        <w:t>Skutečnosti zjištěné při kontrole</w:t>
      </w:r>
    </w:p>
    <w:p w:rsidR="000D4019" w:rsidRPr="006967DA" w:rsidRDefault="000D4019" w:rsidP="000D4019">
      <w:pPr>
        <w:rPr>
          <w:lang w:val="cs-CZ"/>
        </w:rPr>
      </w:pPr>
    </w:p>
    <w:p w:rsidR="00205D32" w:rsidRPr="006967DA" w:rsidRDefault="000D4019" w:rsidP="000D4019">
      <w:pPr>
        <w:rPr>
          <w:b/>
          <w:lang w:val="cs-CZ"/>
        </w:rPr>
      </w:pPr>
      <w:r w:rsidRPr="006967DA">
        <w:rPr>
          <w:b/>
          <w:lang w:val="cs-CZ"/>
        </w:rPr>
        <w:t xml:space="preserve">1. </w:t>
      </w:r>
      <w:r w:rsidR="00205D32" w:rsidRPr="006967DA">
        <w:rPr>
          <w:b/>
          <w:lang w:val="cs-CZ"/>
        </w:rPr>
        <w:t>Ministerstvo průmyslu a obchodu</w:t>
      </w:r>
      <w:bookmarkStart w:id="0" w:name="_Toc363468966"/>
      <w:r w:rsidR="008513A9">
        <w:rPr>
          <w:b/>
          <w:lang w:val="cs-CZ"/>
        </w:rPr>
        <w:t> – p</w:t>
      </w:r>
      <w:r w:rsidR="00205D32" w:rsidRPr="006967DA">
        <w:rPr>
          <w:b/>
          <w:lang w:val="cs-CZ"/>
        </w:rPr>
        <w:t>rověření využití práv a plnění povinností MPO jako zakladatele</w:t>
      </w:r>
      <w:bookmarkEnd w:id="0"/>
    </w:p>
    <w:p w:rsidR="000D4019" w:rsidRPr="006967DA" w:rsidRDefault="000D4019" w:rsidP="00D86D6E">
      <w:pPr>
        <w:rPr>
          <w:rFonts w:cs="Arial"/>
          <w:szCs w:val="22"/>
          <w:lang w:val="cs-CZ"/>
        </w:rPr>
      </w:pPr>
      <w:bookmarkStart w:id="1" w:name="_Toc363468967"/>
    </w:p>
    <w:p w:rsidR="00205D32" w:rsidRPr="00A258F2" w:rsidRDefault="008513A9" w:rsidP="00D86D6E">
      <w:pPr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1.1 </w:t>
      </w:r>
      <w:r w:rsidR="00294ACF" w:rsidRPr="00A258F2">
        <w:rPr>
          <w:rFonts w:cs="Arial"/>
          <w:b/>
          <w:szCs w:val="22"/>
          <w:lang w:val="cs-CZ"/>
        </w:rPr>
        <w:t>Z</w:t>
      </w:r>
      <w:r w:rsidR="00205D32" w:rsidRPr="00A258F2">
        <w:rPr>
          <w:rFonts w:cs="Arial"/>
          <w:b/>
          <w:szCs w:val="22"/>
          <w:lang w:val="cs-CZ"/>
        </w:rPr>
        <w:t>akládací listin</w:t>
      </w:r>
      <w:r w:rsidR="00294ACF" w:rsidRPr="00A258F2">
        <w:rPr>
          <w:rFonts w:cs="Arial"/>
          <w:b/>
          <w:szCs w:val="22"/>
          <w:lang w:val="cs-CZ"/>
        </w:rPr>
        <w:t>a</w:t>
      </w:r>
      <w:r w:rsidR="00205D32" w:rsidRPr="00A258F2">
        <w:rPr>
          <w:rFonts w:cs="Arial"/>
          <w:b/>
          <w:szCs w:val="22"/>
          <w:lang w:val="cs-CZ"/>
        </w:rPr>
        <w:t xml:space="preserve"> PKÚ</w:t>
      </w:r>
      <w:bookmarkEnd w:id="1"/>
    </w:p>
    <w:p w:rsidR="000D4019" w:rsidRPr="006967DA" w:rsidRDefault="000D4019" w:rsidP="00D86D6E">
      <w:pPr>
        <w:rPr>
          <w:rFonts w:cs="Arial"/>
          <w:szCs w:val="22"/>
          <w:lang w:val="cs-CZ" w:eastAsia="cs-CZ"/>
        </w:rPr>
      </w:pPr>
    </w:p>
    <w:p w:rsidR="005E310E" w:rsidRPr="006967DA" w:rsidRDefault="005E310E" w:rsidP="00D86D6E">
      <w:pPr>
        <w:rPr>
          <w:rFonts w:cs="Arial"/>
          <w:szCs w:val="22"/>
          <w:lang w:val="cs-CZ" w:eastAsia="cs-CZ"/>
        </w:rPr>
      </w:pPr>
      <w:r w:rsidRPr="006967DA">
        <w:rPr>
          <w:rFonts w:cs="Arial"/>
          <w:szCs w:val="22"/>
          <w:lang w:val="cs-CZ" w:eastAsia="cs-CZ"/>
        </w:rPr>
        <w:t xml:space="preserve">PKÚ byl založen </w:t>
      </w:r>
      <w:r w:rsidR="00557971" w:rsidRPr="006967DA">
        <w:rPr>
          <w:rFonts w:cs="Arial"/>
          <w:szCs w:val="22"/>
          <w:lang w:val="cs-CZ" w:eastAsia="cs-CZ"/>
        </w:rPr>
        <w:t>v souladu</w:t>
      </w:r>
      <w:r w:rsidRPr="006967DA">
        <w:rPr>
          <w:rFonts w:cs="Arial"/>
          <w:szCs w:val="22"/>
          <w:lang w:val="cs-CZ" w:eastAsia="cs-CZ"/>
        </w:rPr>
        <w:t xml:space="preserve"> </w:t>
      </w:r>
      <w:r w:rsidR="005C5D17" w:rsidRPr="006967DA">
        <w:rPr>
          <w:rFonts w:cs="Arial"/>
          <w:szCs w:val="22"/>
          <w:lang w:val="cs-CZ" w:eastAsia="cs-CZ"/>
        </w:rPr>
        <w:t>se</w:t>
      </w:r>
      <w:r w:rsidRPr="006967DA">
        <w:rPr>
          <w:rFonts w:cs="Arial"/>
          <w:szCs w:val="22"/>
          <w:lang w:val="cs-CZ" w:eastAsia="cs-CZ"/>
        </w:rPr>
        <w:t xml:space="preserve"> zákon</w:t>
      </w:r>
      <w:r w:rsidR="005C5D17" w:rsidRPr="006967DA">
        <w:rPr>
          <w:rFonts w:cs="Arial"/>
          <w:szCs w:val="22"/>
          <w:lang w:val="cs-CZ" w:eastAsia="cs-CZ"/>
        </w:rPr>
        <w:t>em</w:t>
      </w:r>
      <w:r w:rsidRPr="006967DA">
        <w:rPr>
          <w:rFonts w:cs="Arial"/>
          <w:szCs w:val="22"/>
          <w:lang w:val="cs-CZ" w:eastAsia="cs-CZ"/>
        </w:rPr>
        <w:t xml:space="preserve"> č. 111/1990 Sb.</w:t>
      </w:r>
      <w:r w:rsidR="005C5D17" w:rsidRPr="006967DA">
        <w:rPr>
          <w:rStyle w:val="Znakapoznpodarou"/>
          <w:rFonts w:cs="Arial"/>
          <w:szCs w:val="22"/>
          <w:lang w:val="cs-CZ" w:eastAsia="cs-CZ"/>
        </w:rPr>
        <w:footnoteReference w:id="13"/>
      </w:r>
      <w:r w:rsidR="00FC21EF" w:rsidRPr="006967DA">
        <w:rPr>
          <w:rFonts w:cs="Arial"/>
          <w:szCs w:val="22"/>
          <w:lang w:val="cs-CZ" w:eastAsia="cs-CZ"/>
        </w:rPr>
        <w:t>,</w:t>
      </w:r>
      <w:r w:rsidR="000D4019" w:rsidRPr="006967DA">
        <w:rPr>
          <w:rFonts w:cs="Arial"/>
          <w:szCs w:val="22"/>
          <w:lang w:val="cs-CZ" w:eastAsia="cs-CZ"/>
        </w:rPr>
        <w:t xml:space="preserve"> </w:t>
      </w:r>
      <w:r w:rsidRPr="006967DA">
        <w:rPr>
          <w:rFonts w:cs="Arial"/>
          <w:szCs w:val="22"/>
          <w:lang w:val="cs-CZ" w:eastAsia="cs-CZ"/>
        </w:rPr>
        <w:t xml:space="preserve">zakládací listina PKÚ byla vydána </w:t>
      </w:r>
      <w:r w:rsidR="008513A9">
        <w:rPr>
          <w:rFonts w:cs="Arial"/>
          <w:szCs w:val="22"/>
          <w:lang w:val="cs-CZ" w:eastAsia="cs-CZ"/>
        </w:rPr>
        <w:t>r</w:t>
      </w:r>
      <w:r w:rsidR="00FC21EF" w:rsidRPr="006967DA">
        <w:rPr>
          <w:rFonts w:cs="Arial"/>
          <w:szCs w:val="22"/>
          <w:lang w:val="cs-CZ" w:eastAsia="cs-CZ"/>
        </w:rPr>
        <w:t xml:space="preserve">ozhodnutím </w:t>
      </w:r>
      <w:r w:rsidR="00916C19" w:rsidRPr="006967DA">
        <w:rPr>
          <w:rFonts w:cs="Arial"/>
          <w:szCs w:val="22"/>
          <w:lang w:val="cs-CZ" w:eastAsia="cs-CZ"/>
        </w:rPr>
        <w:t xml:space="preserve">ministra </w:t>
      </w:r>
      <w:r w:rsidR="00FC21EF" w:rsidRPr="006967DA">
        <w:rPr>
          <w:rFonts w:cs="Arial"/>
          <w:szCs w:val="22"/>
          <w:lang w:val="cs-CZ" w:eastAsia="cs-CZ"/>
        </w:rPr>
        <w:t xml:space="preserve">č. 144/1990 </w:t>
      </w:r>
      <w:r w:rsidRPr="006967DA">
        <w:rPr>
          <w:rFonts w:cs="Arial"/>
          <w:szCs w:val="22"/>
          <w:lang w:val="cs-CZ" w:eastAsia="cs-CZ"/>
        </w:rPr>
        <w:t>s účinností od</w:t>
      </w:r>
      <w:r w:rsidR="00B42DF5" w:rsidRPr="006967DA">
        <w:rPr>
          <w:rFonts w:cs="Arial"/>
          <w:szCs w:val="22"/>
          <w:lang w:val="cs-CZ" w:eastAsia="cs-CZ"/>
        </w:rPr>
        <w:t> </w:t>
      </w:r>
      <w:r w:rsidRPr="006967DA">
        <w:rPr>
          <w:rFonts w:cs="Arial"/>
          <w:szCs w:val="22"/>
          <w:lang w:val="cs-CZ" w:eastAsia="cs-CZ"/>
        </w:rPr>
        <w:t>1. </w:t>
      </w:r>
      <w:r w:rsidR="00BE382A" w:rsidRPr="006967DA">
        <w:rPr>
          <w:rFonts w:cs="Arial"/>
          <w:szCs w:val="22"/>
          <w:lang w:val="cs-CZ" w:eastAsia="cs-CZ"/>
        </w:rPr>
        <w:t>ledna</w:t>
      </w:r>
      <w:r w:rsidR="000D4019" w:rsidRPr="006967DA">
        <w:rPr>
          <w:rFonts w:cs="Arial"/>
          <w:szCs w:val="22"/>
          <w:lang w:val="cs-CZ" w:eastAsia="cs-CZ"/>
        </w:rPr>
        <w:t> 1991.</w:t>
      </w:r>
    </w:p>
    <w:p w:rsidR="000D4019" w:rsidRPr="006967DA" w:rsidRDefault="000D4019" w:rsidP="00D86D6E">
      <w:pPr>
        <w:rPr>
          <w:rFonts w:cs="Arial"/>
          <w:szCs w:val="22"/>
          <w:lang w:val="cs-CZ" w:eastAsia="cs-CZ"/>
        </w:rPr>
      </w:pPr>
    </w:p>
    <w:p w:rsidR="003C2FD7" w:rsidRPr="006967DA" w:rsidRDefault="00082607" w:rsidP="00D86D6E">
      <w:pPr>
        <w:rPr>
          <w:rFonts w:cs="Arial"/>
          <w:spacing w:val="-4"/>
          <w:szCs w:val="22"/>
          <w:lang w:val="cs-CZ"/>
        </w:rPr>
      </w:pPr>
      <w:r w:rsidRPr="006967DA">
        <w:rPr>
          <w:rFonts w:cs="Arial"/>
          <w:color w:val="000000"/>
          <w:szCs w:val="22"/>
          <w:lang w:val="cs-CZ"/>
        </w:rPr>
        <w:t xml:space="preserve">Zakládací listina PKÚ byla </w:t>
      </w:r>
      <w:r w:rsidR="008513A9">
        <w:rPr>
          <w:rFonts w:cs="Arial"/>
          <w:color w:val="000000"/>
          <w:szCs w:val="22"/>
          <w:lang w:val="cs-CZ"/>
        </w:rPr>
        <w:t>r</w:t>
      </w:r>
      <w:r w:rsidR="005E310E" w:rsidRPr="006967DA">
        <w:rPr>
          <w:rFonts w:cs="Arial"/>
          <w:color w:val="000000"/>
          <w:szCs w:val="22"/>
          <w:lang w:val="cs-CZ"/>
        </w:rPr>
        <w:t>ozhodnutím ministra průmyslu a obchodu č. 402/1997 ze dne 22.</w:t>
      </w:r>
      <w:r w:rsidR="00111822" w:rsidRPr="006967DA">
        <w:rPr>
          <w:rFonts w:cs="Arial"/>
          <w:color w:val="000000"/>
          <w:szCs w:val="22"/>
          <w:lang w:val="cs-CZ"/>
        </w:rPr>
        <w:t> </w:t>
      </w:r>
      <w:r w:rsidR="00BE382A" w:rsidRPr="006967DA">
        <w:rPr>
          <w:rFonts w:cs="Arial"/>
          <w:color w:val="000000"/>
          <w:szCs w:val="22"/>
          <w:lang w:val="cs-CZ"/>
        </w:rPr>
        <w:t>prosince</w:t>
      </w:r>
      <w:r w:rsidR="000D4019" w:rsidRPr="006967DA">
        <w:rPr>
          <w:rFonts w:cs="Arial"/>
          <w:color w:val="000000"/>
          <w:szCs w:val="22"/>
          <w:lang w:val="cs-CZ"/>
        </w:rPr>
        <w:t xml:space="preserve"> </w:t>
      </w:r>
      <w:r w:rsidR="005E310E" w:rsidRPr="006967DA">
        <w:rPr>
          <w:rFonts w:cs="Arial"/>
          <w:color w:val="000000"/>
          <w:szCs w:val="22"/>
          <w:lang w:val="cs-CZ"/>
        </w:rPr>
        <w:t xml:space="preserve">1997 upravena </w:t>
      </w:r>
      <w:r w:rsidR="00FC21EF" w:rsidRPr="006967DA">
        <w:rPr>
          <w:rFonts w:cs="Arial"/>
          <w:color w:val="000000"/>
          <w:szCs w:val="22"/>
          <w:lang w:val="cs-CZ"/>
        </w:rPr>
        <w:t>dle</w:t>
      </w:r>
      <w:r w:rsidR="000D4019" w:rsidRPr="006967DA">
        <w:rPr>
          <w:rFonts w:cs="Arial"/>
          <w:color w:val="000000"/>
          <w:szCs w:val="22"/>
          <w:lang w:val="cs-CZ"/>
        </w:rPr>
        <w:t xml:space="preserve"> </w:t>
      </w:r>
      <w:r w:rsidR="005E310E" w:rsidRPr="006967DA">
        <w:rPr>
          <w:rFonts w:cs="Arial"/>
          <w:color w:val="000000"/>
          <w:szCs w:val="22"/>
          <w:lang w:val="cs-CZ"/>
        </w:rPr>
        <w:t>zákona</w:t>
      </w:r>
      <w:r w:rsidR="00BE382A" w:rsidRPr="006967DA">
        <w:rPr>
          <w:rFonts w:cs="Arial"/>
          <w:color w:val="000000"/>
          <w:szCs w:val="22"/>
          <w:lang w:val="cs-CZ"/>
        </w:rPr>
        <w:t xml:space="preserve"> č. 77/1997 Sb.</w:t>
      </w:r>
      <w:r w:rsidR="00FC21EF" w:rsidRPr="006967DA">
        <w:rPr>
          <w:rStyle w:val="Znakapoznpodarou"/>
          <w:rFonts w:cs="Arial"/>
          <w:color w:val="000000"/>
          <w:szCs w:val="22"/>
          <w:lang w:val="cs-CZ"/>
        </w:rPr>
        <w:footnoteReference w:id="14"/>
      </w:r>
      <w:r w:rsidR="00FC21EF" w:rsidRPr="006967DA">
        <w:rPr>
          <w:rFonts w:cs="Arial"/>
          <w:color w:val="000000"/>
          <w:szCs w:val="22"/>
          <w:lang w:val="cs-CZ"/>
        </w:rPr>
        <w:t xml:space="preserve">, </w:t>
      </w:r>
      <w:r w:rsidR="003C2FD7" w:rsidRPr="006967DA">
        <w:rPr>
          <w:rFonts w:cs="Arial"/>
          <w:color w:val="000000"/>
          <w:szCs w:val="22"/>
          <w:lang w:val="cs-CZ"/>
        </w:rPr>
        <w:t xml:space="preserve">avšak </w:t>
      </w:r>
      <w:r w:rsidR="005E310E" w:rsidRPr="006967DA">
        <w:rPr>
          <w:rFonts w:cs="Arial"/>
          <w:szCs w:val="22"/>
          <w:lang w:val="cs-CZ"/>
        </w:rPr>
        <w:t>neobsahoval</w:t>
      </w:r>
      <w:r w:rsidR="00920AD4" w:rsidRPr="006967DA">
        <w:rPr>
          <w:rFonts w:cs="Arial"/>
          <w:szCs w:val="22"/>
          <w:lang w:val="cs-CZ"/>
        </w:rPr>
        <w:t>a</w:t>
      </w:r>
      <w:r w:rsidR="005E310E" w:rsidRPr="006967DA">
        <w:rPr>
          <w:rFonts w:cs="Arial"/>
          <w:szCs w:val="22"/>
          <w:lang w:val="cs-CZ"/>
        </w:rPr>
        <w:t xml:space="preserve"> veškeré zákonné náležitosti</w:t>
      </w:r>
      <w:r w:rsidR="0002448F" w:rsidRPr="006967DA">
        <w:rPr>
          <w:rFonts w:cs="Arial"/>
          <w:szCs w:val="22"/>
          <w:lang w:val="cs-CZ"/>
        </w:rPr>
        <w:t>,</w:t>
      </w:r>
      <w:r w:rsidR="00920AD4" w:rsidRPr="006967DA">
        <w:rPr>
          <w:rFonts w:cs="Arial"/>
          <w:szCs w:val="22"/>
          <w:lang w:val="cs-CZ"/>
        </w:rPr>
        <w:t xml:space="preserve"> a to výši kmenového jmění a jeho minimální výši, kterou je podnik povinen zachovat; určení a ocenění majetku státu, s nímž má podnik právo hospodařit; jméno, příjmení, rodné číslo, trvalý pobyt ředitele a jeho ověřený podpis; výši rezervního fondu v okamžiku založení podniku a minimální výši, do které bude doplněn v průběhu podnikání; přílohu vymezující určený majetek. </w:t>
      </w:r>
      <w:r w:rsidR="005D1ABA" w:rsidRPr="006967DA">
        <w:rPr>
          <w:rFonts w:cs="Arial"/>
          <w:spacing w:val="-4"/>
          <w:szCs w:val="22"/>
          <w:lang w:val="cs-CZ"/>
        </w:rPr>
        <w:t>MPO</w:t>
      </w:r>
      <w:r w:rsidR="005D1ABA" w:rsidRPr="006967DA">
        <w:rPr>
          <w:rFonts w:cs="Arial"/>
          <w:color w:val="000000"/>
          <w:szCs w:val="22"/>
          <w:lang w:val="cs-CZ"/>
        </w:rPr>
        <w:t xml:space="preserve"> </w:t>
      </w:r>
      <w:r w:rsidR="005D1ABA" w:rsidRPr="006967DA">
        <w:rPr>
          <w:rFonts w:cs="Arial"/>
          <w:spacing w:val="-4"/>
          <w:szCs w:val="22"/>
          <w:lang w:val="cs-CZ"/>
        </w:rPr>
        <w:t>nepostupovalo</w:t>
      </w:r>
      <w:r w:rsidR="000D4019" w:rsidRPr="006967DA">
        <w:rPr>
          <w:rFonts w:cs="Arial"/>
          <w:spacing w:val="-4"/>
          <w:szCs w:val="22"/>
          <w:lang w:val="cs-CZ"/>
        </w:rPr>
        <w:t xml:space="preserve"> </w:t>
      </w:r>
      <w:r w:rsidR="005D1ABA" w:rsidRPr="006967DA">
        <w:rPr>
          <w:rFonts w:cs="Arial"/>
          <w:spacing w:val="-4"/>
          <w:szCs w:val="22"/>
          <w:lang w:val="cs-CZ"/>
        </w:rPr>
        <w:t xml:space="preserve">při </w:t>
      </w:r>
      <w:r w:rsidR="00E97054" w:rsidRPr="006967DA">
        <w:rPr>
          <w:rFonts w:cs="Arial"/>
          <w:spacing w:val="-4"/>
          <w:szCs w:val="22"/>
          <w:lang w:val="cs-CZ"/>
        </w:rPr>
        <w:t>úpravě</w:t>
      </w:r>
      <w:r w:rsidR="005D1ABA" w:rsidRPr="006967DA">
        <w:rPr>
          <w:rFonts w:cs="Arial"/>
          <w:spacing w:val="-4"/>
          <w:szCs w:val="22"/>
          <w:lang w:val="cs-CZ"/>
        </w:rPr>
        <w:t xml:space="preserve"> této zakládací listiny v souladu se zákonem č.</w:t>
      </w:r>
      <w:r w:rsidR="000D4019" w:rsidRPr="006967DA">
        <w:rPr>
          <w:rFonts w:cs="Arial"/>
          <w:spacing w:val="-4"/>
          <w:szCs w:val="22"/>
          <w:lang w:val="cs-CZ"/>
        </w:rPr>
        <w:t> </w:t>
      </w:r>
      <w:r w:rsidR="005D1ABA" w:rsidRPr="006967DA">
        <w:rPr>
          <w:rFonts w:cs="Arial"/>
          <w:spacing w:val="-4"/>
          <w:szCs w:val="22"/>
          <w:lang w:val="cs-CZ"/>
        </w:rPr>
        <w:t>77/1997 Sb.</w:t>
      </w:r>
      <w:r w:rsidR="005D1ABA" w:rsidRPr="006967DA">
        <w:rPr>
          <w:rStyle w:val="Znakapoznpodarou"/>
          <w:rFonts w:cs="Arial"/>
          <w:spacing w:val="-4"/>
          <w:szCs w:val="22"/>
          <w:lang w:val="cs-CZ"/>
        </w:rPr>
        <w:footnoteReference w:id="15"/>
      </w:r>
    </w:p>
    <w:p w:rsidR="000D4019" w:rsidRPr="006967DA" w:rsidRDefault="000D4019" w:rsidP="00D86D6E">
      <w:pPr>
        <w:pStyle w:val="Odstavecseseznamem"/>
        <w:ind w:left="0"/>
        <w:contextualSpacing w:val="0"/>
        <w:rPr>
          <w:rFonts w:cs="Arial"/>
          <w:szCs w:val="22"/>
        </w:rPr>
      </w:pPr>
    </w:p>
    <w:p w:rsidR="005E310E" w:rsidRPr="006967DA" w:rsidRDefault="00E25DDC" w:rsidP="00D86D6E">
      <w:pPr>
        <w:pStyle w:val="Odstavecseseznamem"/>
        <w:ind w:left="0"/>
        <w:contextualSpacing w:val="0"/>
        <w:rPr>
          <w:rFonts w:cs="Arial"/>
          <w:szCs w:val="22"/>
        </w:rPr>
      </w:pPr>
      <w:r w:rsidRPr="006967DA">
        <w:rPr>
          <w:rFonts w:cs="Arial"/>
          <w:szCs w:val="22"/>
        </w:rPr>
        <w:t>Zákonné náležitosti byly do zakládací listiny postupně doplňovány</w:t>
      </w:r>
      <w:r w:rsidR="00BE382A" w:rsidRPr="006967DA">
        <w:rPr>
          <w:rFonts w:cs="Arial"/>
          <w:szCs w:val="22"/>
        </w:rPr>
        <w:t xml:space="preserve"> (v letech 1998–</w:t>
      </w:r>
      <w:r w:rsidR="00D038B9" w:rsidRPr="006967DA">
        <w:rPr>
          <w:rFonts w:cs="Arial"/>
          <w:szCs w:val="22"/>
        </w:rPr>
        <w:t>2004)</w:t>
      </w:r>
      <w:r w:rsidRPr="006967DA">
        <w:rPr>
          <w:rFonts w:cs="Arial"/>
          <w:szCs w:val="22"/>
        </w:rPr>
        <w:t xml:space="preserve">. </w:t>
      </w:r>
      <w:r w:rsidR="0002448F" w:rsidRPr="006967DA">
        <w:rPr>
          <w:rFonts w:cs="Arial"/>
          <w:szCs w:val="22"/>
        </w:rPr>
        <w:t xml:space="preserve">Do doby ukončení kontroly NKÚ nebyla </w:t>
      </w:r>
      <w:r w:rsidR="00F9114C" w:rsidRPr="006967DA">
        <w:rPr>
          <w:rFonts w:cs="Arial"/>
          <w:szCs w:val="22"/>
        </w:rPr>
        <w:t xml:space="preserve">do zakládací listiny </w:t>
      </w:r>
      <w:r w:rsidR="0002448F" w:rsidRPr="006967DA">
        <w:rPr>
          <w:rFonts w:cs="Arial"/>
          <w:szCs w:val="22"/>
        </w:rPr>
        <w:t>doplněna pouze jedna zákonná náležitost, a to o</w:t>
      </w:r>
      <w:r w:rsidR="005E310E" w:rsidRPr="006967DA">
        <w:rPr>
          <w:rFonts w:cs="Arial"/>
          <w:szCs w:val="22"/>
        </w:rPr>
        <w:t>věřený podpis ředitele PKÚ</w:t>
      </w:r>
      <w:r w:rsidR="0002448F" w:rsidRPr="006967DA">
        <w:rPr>
          <w:rFonts w:cs="Arial"/>
          <w:szCs w:val="22"/>
        </w:rPr>
        <w:t>.</w:t>
      </w:r>
    </w:p>
    <w:p w:rsidR="000D4019" w:rsidRPr="006967DA" w:rsidRDefault="000D4019" w:rsidP="00D86D6E">
      <w:pPr>
        <w:pStyle w:val="Odstavecseseznamem"/>
        <w:ind w:left="0"/>
        <w:contextualSpacing w:val="0"/>
        <w:rPr>
          <w:rFonts w:cs="Arial"/>
          <w:szCs w:val="22"/>
        </w:rPr>
      </w:pPr>
    </w:p>
    <w:p w:rsidR="005E310E" w:rsidRPr="00A258F2" w:rsidRDefault="008513A9" w:rsidP="00D86D6E">
      <w:pPr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1.2 </w:t>
      </w:r>
      <w:r w:rsidR="005D1ABA" w:rsidRPr="00A258F2">
        <w:rPr>
          <w:rFonts w:cs="Arial"/>
          <w:b/>
          <w:szCs w:val="22"/>
          <w:lang w:val="cs-CZ"/>
        </w:rPr>
        <w:t>U</w:t>
      </w:r>
      <w:r w:rsidR="005E310E" w:rsidRPr="00A258F2">
        <w:rPr>
          <w:rFonts w:cs="Arial"/>
          <w:b/>
          <w:szCs w:val="22"/>
          <w:lang w:val="cs-CZ"/>
        </w:rPr>
        <w:t>rčen</w:t>
      </w:r>
      <w:r w:rsidR="005D1ABA" w:rsidRPr="00A258F2">
        <w:rPr>
          <w:rFonts w:cs="Arial"/>
          <w:b/>
          <w:szCs w:val="22"/>
          <w:lang w:val="cs-CZ"/>
        </w:rPr>
        <w:t>ý</w:t>
      </w:r>
      <w:r w:rsidR="005E310E" w:rsidRPr="00A258F2">
        <w:rPr>
          <w:rFonts w:cs="Arial"/>
          <w:b/>
          <w:szCs w:val="22"/>
          <w:lang w:val="cs-CZ"/>
        </w:rPr>
        <w:t xml:space="preserve"> majet</w:t>
      </w:r>
      <w:r w:rsidR="005D1ABA" w:rsidRPr="00A258F2">
        <w:rPr>
          <w:rFonts w:cs="Arial"/>
          <w:b/>
          <w:szCs w:val="22"/>
          <w:lang w:val="cs-CZ"/>
        </w:rPr>
        <w:t>e</w:t>
      </w:r>
      <w:r w:rsidR="005E310E" w:rsidRPr="00A258F2">
        <w:rPr>
          <w:rFonts w:cs="Arial"/>
          <w:b/>
          <w:szCs w:val="22"/>
          <w:lang w:val="cs-CZ"/>
        </w:rPr>
        <w:t>k</w:t>
      </w:r>
      <w:r w:rsidR="007519C5" w:rsidRPr="00A258F2">
        <w:rPr>
          <w:rFonts w:cs="Arial"/>
          <w:b/>
          <w:szCs w:val="22"/>
          <w:lang w:val="cs-CZ"/>
        </w:rPr>
        <w:t xml:space="preserve"> a</w:t>
      </w:r>
      <w:r w:rsidR="00B4769B" w:rsidRPr="00A258F2">
        <w:rPr>
          <w:rFonts w:cs="Arial"/>
          <w:b/>
          <w:szCs w:val="22"/>
          <w:lang w:val="cs-CZ"/>
        </w:rPr>
        <w:t xml:space="preserve"> kmenové</w:t>
      </w:r>
      <w:r w:rsidR="0093145E" w:rsidRPr="00A258F2">
        <w:rPr>
          <w:rFonts w:cs="Arial"/>
          <w:b/>
          <w:szCs w:val="22"/>
          <w:lang w:val="cs-CZ"/>
        </w:rPr>
        <w:t xml:space="preserve"> jmění</w:t>
      </w:r>
      <w:r w:rsidR="009461E0" w:rsidRPr="00A258F2">
        <w:rPr>
          <w:rFonts w:cs="Arial"/>
          <w:b/>
          <w:szCs w:val="22"/>
          <w:lang w:val="cs-CZ"/>
        </w:rPr>
        <w:t xml:space="preserve"> </w:t>
      </w:r>
      <w:r w:rsidR="005E310E" w:rsidRPr="00A258F2">
        <w:rPr>
          <w:rFonts w:cs="Arial"/>
          <w:b/>
          <w:szCs w:val="22"/>
          <w:lang w:val="cs-CZ"/>
        </w:rPr>
        <w:t xml:space="preserve">PKÚ 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8C4226" w:rsidRPr="006967DA" w:rsidRDefault="008C4226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Rozhodnutím ministra průmyslu a obchodu č. 125/1999 ze dne 4. </w:t>
      </w:r>
      <w:r w:rsidR="00BE382A" w:rsidRPr="006967DA">
        <w:rPr>
          <w:rFonts w:cs="Arial"/>
          <w:szCs w:val="22"/>
          <w:lang w:val="cs-CZ"/>
        </w:rPr>
        <w:t>srpna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1999 </w:t>
      </w:r>
      <w:r w:rsidR="008513A9">
        <w:rPr>
          <w:rFonts w:cs="Arial"/>
          <w:szCs w:val="22"/>
          <w:lang w:val="cs-CZ"/>
        </w:rPr>
        <w:t xml:space="preserve">byla </w:t>
      </w:r>
      <w:r w:rsidRPr="006967DA">
        <w:rPr>
          <w:rFonts w:cs="Arial"/>
          <w:szCs w:val="22"/>
          <w:lang w:val="cs-CZ"/>
        </w:rPr>
        <w:t xml:space="preserve">poprvé </w:t>
      </w:r>
      <w:r w:rsidR="008513A9">
        <w:rPr>
          <w:rFonts w:cs="Arial"/>
          <w:szCs w:val="22"/>
          <w:lang w:val="cs-CZ"/>
        </w:rPr>
        <w:t xml:space="preserve">od založení PKÚ </w:t>
      </w:r>
      <w:r w:rsidRPr="006967DA">
        <w:rPr>
          <w:rFonts w:cs="Arial"/>
          <w:szCs w:val="22"/>
          <w:lang w:val="cs-CZ"/>
        </w:rPr>
        <w:t>vymezena hodnota určeného majetku státu, s nímž může PKÚ nakládat pouze se souhlasem MPO, ve výši 721 754 </w:t>
      </w:r>
      <w:r w:rsidR="005D1ABA" w:rsidRPr="006967DA">
        <w:rPr>
          <w:rFonts w:cs="Arial"/>
          <w:szCs w:val="22"/>
          <w:lang w:val="cs-CZ"/>
        </w:rPr>
        <w:t>tis.</w:t>
      </w:r>
      <w:r w:rsidRPr="006967DA">
        <w:rPr>
          <w:rFonts w:cs="Arial"/>
          <w:szCs w:val="22"/>
          <w:lang w:val="cs-CZ"/>
        </w:rPr>
        <w:t xml:space="preserve"> Kč. </w:t>
      </w:r>
      <w:r w:rsidR="0083453B" w:rsidRPr="006967DA">
        <w:rPr>
          <w:rFonts w:cs="Arial"/>
          <w:szCs w:val="22"/>
          <w:lang w:val="cs-CZ"/>
        </w:rPr>
        <w:t>Rozhodnutími ministra průmyslu a</w:t>
      </w:r>
      <w:r w:rsidR="000460BD" w:rsidRPr="006967DA">
        <w:rPr>
          <w:rFonts w:cs="Arial"/>
          <w:szCs w:val="22"/>
          <w:lang w:val="cs-CZ"/>
        </w:rPr>
        <w:t> </w:t>
      </w:r>
      <w:r w:rsidR="0083453B" w:rsidRPr="006967DA">
        <w:rPr>
          <w:rFonts w:cs="Arial"/>
          <w:szCs w:val="22"/>
          <w:lang w:val="cs-CZ"/>
        </w:rPr>
        <w:t xml:space="preserve">obchodu </w:t>
      </w:r>
      <w:r w:rsidR="008513A9">
        <w:rPr>
          <w:rFonts w:cs="Arial"/>
          <w:szCs w:val="22"/>
          <w:lang w:val="cs-CZ"/>
        </w:rPr>
        <w:t>z let</w:t>
      </w:r>
      <w:r w:rsidR="0083453B" w:rsidRPr="006967DA">
        <w:rPr>
          <w:rFonts w:cs="Arial"/>
          <w:szCs w:val="22"/>
          <w:lang w:val="cs-CZ"/>
        </w:rPr>
        <w:t xml:space="preserve"> 2011 a 2012</w:t>
      </w:r>
      <w:r w:rsidR="005D1ABA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byla výše vymezeného určeného majetku měněna dvakrát, a to </w:t>
      </w:r>
      <w:r w:rsidR="008513A9">
        <w:rPr>
          <w:rFonts w:cs="Arial"/>
          <w:szCs w:val="22"/>
          <w:lang w:val="cs-CZ"/>
        </w:rPr>
        <w:t>r</w:t>
      </w:r>
      <w:r w:rsidR="005B6FB1">
        <w:rPr>
          <w:rFonts w:cs="Arial"/>
          <w:szCs w:val="22"/>
          <w:lang w:val="cs-CZ"/>
        </w:rPr>
        <w:t>ozhodnutím č. </w:t>
      </w:r>
      <w:r w:rsidRPr="006967DA">
        <w:rPr>
          <w:rFonts w:cs="Arial"/>
          <w:szCs w:val="22"/>
          <w:lang w:val="cs-CZ"/>
        </w:rPr>
        <w:t>33/2011 ze dne 13. </w:t>
      </w:r>
      <w:r w:rsidR="00BE382A" w:rsidRPr="006967DA">
        <w:rPr>
          <w:rFonts w:cs="Arial"/>
          <w:szCs w:val="22"/>
          <w:lang w:val="cs-CZ"/>
        </w:rPr>
        <w:t>září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2011 </w:t>
      </w:r>
      <w:r w:rsidR="005D1ABA" w:rsidRPr="006967DA">
        <w:rPr>
          <w:rFonts w:cs="Arial"/>
          <w:szCs w:val="22"/>
          <w:lang w:val="cs-CZ"/>
        </w:rPr>
        <w:t>na</w:t>
      </w:r>
      <w:r w:rsidRPr="006967DA">
        <w:rPr>
          <w:rFonts w:cs="Arial"/>
          <w:szCs w:val="22"/>
          <w:lang w:val="cs-CZ"/>
        </w:rPr>
        <w:t xml:space="preserve"> 726 894 tis. Kč</w:t>
      </w:r>
      <w:r w:rsidR="00BE382A" w:rsidRPr="006967DA">
        <w:rPr>
          <w:rFonts w:cs="Arial"/>
          <w:szCs w:val="22"/>
          <w:lang w:val="cs-CZ"/>
        </w:rPr>
        <w:t xml:space="preserve"> a </w:t>
      </w:r>
      <w:r w:rsidR="008513A9">
        <w:rPr>
          <w:rFonts w:cs="Arial"/>
          <w:szCs w:val="22"/>
          <w:lang w:val="cs-CZ"/>
        </w:rPr>
        <w:t>r</w:t>
      </w:r>
      <w:r w:rsidR="000D4019" w:rsidRPr="006967DA">
        <w:rPr>
          <w:rFonts w:cs="Arial"/>
          <w:szCs w:val="22"/>
          <w:lang w:val="cs-CZ"/>
        </w:rPr>
        <w:t>ozhodnutím č. </w:t>
      </w:r>
      <w:r w:rsidRPr="006967DA">
        <w:rPr>
          <w:rFonts w:cs="Arial"/>
          <w:szCs w:val="22"/>
          <w:lang w:val="cs-CZ"/>
        </w:rPr>
        <w:t>5/2012</w:t>
      </w:r>
      <w:r w:rsidR="00BE382A" w:rsidRPr="006967DA">
        <w:rPr>
          <w:rFonts w:cs="Arial"/>
          <w:szCs w:val="22"/>
          <w:lang w:val="cs-CZ"/>
        </w:rPr>
        <w:t xml:space="preserve"> ze dne 27</w:t>
      </w:r>
      <w:r w:rsidRPr="006967DA">
        <w:rPr>
          <w:rFonts w:cs="Arial"/>
          <w:szCs w:val="22"/>
          <w:lang w:val="cs-CZ"/>
        </w:rPr>
        <w:t>. </w:t>
      </w:r>
      <w:r w:rsidR="00BE382A" w:rsidRPr="006967DA">
        <w:rPr>
          <w:rFonts w:cs="Arial"/>
          <w:szCs w:val="22"/>
          <w:lang w:val="cs-CZ"/>
        </w:rPr>
        <w:t>září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2012 </w:t>
      </w:r>
      <w:r w:rsidR="005D1ABA" w:rsidRPr="006967DA">
        <w:rPr>
          <w:rFonts w:cs="Arial"/>
          <w:szCs w:val="22"/>
          <w:lang w:val="cs-CZ"/>
        </w:rPr>
        <w:t xml:space="preserve">na </w:t>
      </w:r>
      <w:r w:rsidRPr="006967DA">
        <w:rPr>
          <w:rFonts w:cs="Arial"/>
          <w:szCs w:val="22"/>
          <w:lang w:val="cs-CZ"/>
        </w:rPr>
        <w:t>716 725 tis. Kč.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EE0A35" w:rsidRPr="006967DA" w:rsidRDefault="00EE0A35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K</w:t>
      </w:r>
      <w:r w:rsidR="00EA17DB" w:rsidRPr="006967DA">
        <w:rPr>
          <w:rFonts w:cs="Arial"/>
          <w:szCs w:val="22"/>
          <w:lang w:val="cs-CZ"/>
        </w:rPr>
        <w:t>menové jmění PKÚ byl</w:t>
      </w:r>
      <w:r w:rsidRPr="006967DA">
        <w:rPr>
          <w:rFonts w:cs="Arial"/>
          <w:szCs w:val="22"/>
          <w:lang w:val="cs-CZ"/>
        </w:rPr>
        <w:t>o</w:t>
      </w:r>
      <w:r w:rsidR="00EA17DB" w:rsidRPr="006967DA">
        <w:rPr>
          <w:rFonts w:cs="Arial"/>
          <w:szCs w:val="22"/>
          <w:lang w:val="cs-CZ"/>
        </w:rPr>
        <w:t xml:space="preserve"> </w:t>
      </w:r>
      <w:r w:rsidR="00AD3DD8" w:rsidRPr="006967DA">
        <w:rPr>
          <w:rFonts w:cs="Arial"/>
          <w:szCs w:val="22"/>
          <w:lang w:val="cs-CZ"/>
        </w:rPr>
        <w:t>poprvé vymezen</w:t>
      </w:r>
      <w:r w:rsidRPr="006967DA">
        <w:rPr>
          <w:rFonts w:cs="Arial"/>
          <w:szCs w:val="22"/>
          <w:lang w:val="cs-CZ"/>
        </w:rPr>
        <w:t>o</w:t>
      </w:r>
      <w:r w:rsidR="00AD3DD8" w:rsidRPr="006967DA">
        <w:rPr>
          <w:rFonts w:cs="Arial"/>
          <w:szCs w:val="22"/>
          <w:lang w:val="cs-CZ"/>
        </w:rPr>
        <w:t xml:space="preserve"> </w:t>
      </w:r>
      <w:r w:rsidR="008513A9">
        <w:rPr>
          <w:rFonts w:cs="Arial"/>
          <w:szCs w:val="22"/>
          <w:lang w:val="cs-CZ"/>
        </w:rPr>
        <w:t>r</w:t>
      </w:r>
      <w:r w:rsidR="00AD3DD8" w:rsidRPr="006967DA">
        <w:rPr>
          <w:rFonts w:cs="Arial"/>
          <w:szCs w:val="22"/>
          <w:lang w:val="cs-CZ"/>
        </w:rPr>
        <w:t>ozhodnutím ministra pro hospodářskou politiku a rozvoj ČR č. 81 ze dne 10</w:t>
      </w:r>
      <w:r w:rsidRPr="006967DA">
        <w:rPr>
          <w:rFonts w:cs="Arial"/>
          <w:szCs w:val="22"/>
          <w:lang w:val="cs-CZ"/>
        </w:rPr>
        <w:t>.</w:t>
      </w:r>
      <w:r w:rsidR="00AD3DD8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dubna</w:t>
      </w:r>
      <w:r w:rsidR="000D4019" w:rsidRPr="006967DA">
        <w:rPr>
          <w:rFonts w:cs="Arial"/>
          <w:szCs w:val="22"/>
          <w:lang w:val="cs-CZ"/>
        </w:rPr>
        <w:t xml:space="preserve"> </w:t>
      </w:r>
      <w:r w:rsidR="00AD3DD8" w:rsidRPr="006967DA">
        <w:rPr>
          <w:rFonts w:cs="Arial"/>
          <w:szCs w:val="22"/>
          <w:lang w:val="cs-CZ"/>
        </w:rPr>
        <w:t>1991</w:t>
      </w:r>
      <w:r w:rsidRPr="006967DA">
        <w:rPr>
          <w:rFonts w:cs="Arial"/>
          <w:szCs w:val="22"/>
          <w:lang w:val="cs-CZ"/>
        </w:rPr>
        <w:t xml:space="preserve"> ve výši 1 983 372 tis. Kč. Rozhodnutími ministra průmyslu a obchodu </w:t>
      </w:r>
      <w:r w:rsidR="008513A9">
        <w:rPr>
          <w:rFonts w:cs="Arial"/>
          <w:szCs w:val="22"/>
          <w:lang w:val="cs-CZ"/>
        </w:rPr>
        <w:t>z let</w:t>
      </w:r>
      <w:r w:rsidRPr="006967DA">
        <w:rPr>
          <w:rFonts w:cs="Arial"/>
          <w:szCs w:val="22"/>
          <w:lang w:val="cs-CZ"/>
        </w:rPr>
        <w:t xml:space="preserve"> 2011 a 2012 byla výše kmenového jmění vymezena dvakrát, a to </w:t>
      </w:r>
      <w:r w:rsidR="008513A9">
        <w:rPr>
          <w:rFonts w:cs="Arial"/>
          <w:szCs w:val="22"/>
          <w:lang w:val="cs-CZ"/>
        </w:rPr>
        <w:t>r</w:t>
      </w:r>
      <w:r w:rsidRPr="006967DA">
        <w:rPr>
          <w:rFonts w:cs="Arial"/>
          <w:szCs w:val="22"/>
          <w:lang w:val="cs-CZ"/>
        </w:rPr>
        <w:t>ozhodnutím č. 33/2011 ze dne 13. září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2011 ve výši 1 148 064 tis. Kč a </w:t>
      </w:r>
      <w:r w:rsidR="008513A9">
        <w:rPr>
          <w:rFonts w:cs="Arial"/>
          <w:szCs w:val="22"/>
          <w:lang w:val="cs-CZ"/>
        </w:rPr>
        <w:t>r</w:t>
      </w:r>
      <w:r w:rsidR="005B6FB1">
        <w:rPr>
          <w:rFonts w:cs="Arial"/>
          <w:szCs w:val="22"/>
          <w:lang w:val="cs-CZ"/>
        </w:rPr>
        <w:t>ozhodnutím č. </w:t>
      </w:r>
      <w:r w:rsidRPr="006967DA">
        <w:rPr>
          <w:rFonts w:cs="Arial"/>
          <w:szCs w:val="22"/>
          <w:lang w:val="cs-CZ"/>
        </w:rPr>
        <w:t>5/2012 ze dne 27. září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2012 ve výši 1 091 981 tis. Kč.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EE0A35" w:rsidRPr="006967DA" w:rsidRDefault="00EE0A35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lastRenderedPageBreak/>
        <w:t xml:space="preserve">Minimální výše kmenového jmění, kterou je PKÚ povinen zachovat, byla poprvé stanovena </w:t>
      </w:r>
      <w:r w:rsidR="008513A9">
        <w:rPr>
          <w:rFonts w:cs="Arial"/>
          <w:szCs w:val="22"/>
          <w:lang w:val="cs-CZ"/>
        </w:rPr>
        <w:t>r</w:t>
      </w:r>
      <w:r w:rsidRPr="006967DA">
        <w:rPr>
          <w:rFonts w:cs="Arial"/>
          <w:szCs w:val="22"/>
          <w:lang w:val="cs-CZ"/>
        </w:rPr>
        <w:t>ozhodnutím ministra průmyslu a obchodu č. 125/1999 ze dne 4. srpna 1999 ve výši 250 000 tis. Kč, v průběhu násl</w:t>
      </w:r>
      <w:r w:rsidR="000D4019" w:rsidRPr="006967DA">
        <w:rPr>
          <w:rFonts w:cs="Arial"/>
          <w:szCs w:val="22"/>
          <w:lang w:val="cs-CZ"/>
        </w:rPr>
        <w:t>edujících let zůstala beze změn.</w:t>
      </w:r>
    </w:p>
    <w:p w:rsidR="000D4019" w:rsidRDefault="000D4019" w:rsidP="00D86D6E">
      <w:pPr>
        <w:rPr>
          <w:rFonts w:cs="Arial"/>
          <w:szCs w:val="22"/>
          <w:lang w:val="cs-CZ"/>
        </w:rPr>
      </w:pPr>
    </w:p>
    <w:p w:rsidR="003C7D49" w:rsidRPr="006967DA" w:rsidRDefault="003C7D49" w:rsidP="00D86D6E">
      <w:pPr>
        <w:rPr>
          <w:rFonts w:cs="Arial"/>
          <w:szCs w:val="22"/>
          <w:lang w:val="cs-CZ"/>
        </w:rPr>
      </w:pPr>
    </w:p>
    <w:p w:rsidR="00F6154C" w:rsidRPr="00A258F2" w:rsidRDefault="008513A9" w:rsidP="00D86D6E">
      <w:pPr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1.3 </w:t>
      </w:r>
      <w:r w:rsidR="00400425" w:rsidRPr="00A258F2">
        <w:rPr>
          <w:rFonts w:cs="Arial"/>
          <w:b/>
          <w:szCs w:val="22"/>
          <w:lang w:val="cs-CZ"/>
        </w:rPr>
        <w:t>Plnění povinností MPO vůči PKÚ</w:t>
      </w:r>
    </w:p>
    <w:p w:rsidR="000D4019" w:rsidRPr="006967DA" w:rsidRDefault="000D4019" w:rsidP="00D86D6E">
      <w:pPr>
        <w:pStyle w:val="normlnmezera"/>
        <w:spacing w:before="0"/>
        <w:rPr>
          <w:rFonts w:eastAsia="Calibri" w:cs="Arial"/>
          <w:szCs w:val="22"/>
          <w:lang w:val="cs-CZ"/>
        </w:rPr>
      </w:pPr>
    </w:p>
    <w:p w:rsidR="00F6154C" w:rsidRPr="006967DA" w:rsidRDefault="00F6154C" w:rsidP="00D86D6E">
      <w:pPr>
        <w:pStyle w:val="normlnmezera"/>
        <w:spacing w:before="0"/>
        <w:rPr>
          <w:rFonts w:eastAsia="Calibri" w:cs="Arial"/>
          <w:szCs w:val="22"/>
          <w:lang w:val="cs-CZ"/>
        </w:rPr>
      </w:pPr>
      <w:r w:rsidRPr="006967DA">
        <w:rPr>
          <w:rFonts w:eastAsia="Calibri" w:cs="Arial"/>
          <w:szCs w:val="22"/>
          <w:lang w:val="cs-CZ"/>
        </w:rPr>
        <w:t xml:space="preserve">MPO jako zakladatel určilo rozsah pravomocí </w:t>
      </w:r>
      <w:r w:rsidR="00424D4F" w:rsidRPr="006967DA">
        <w:rPr>
          <w:rFonts w:eastAsia="Calibri" w:cs="Arial"/>
          <w:szCs w:val="22"/>
          <w:lang w:val="cs-CZ"/>
        </w:rPr>
        <w:t xml:space="preserve">dozorčí rady </w:t>
      </w:r>
      <w:r w:rsidRPr="006967DA">
        <w:rPr>
          <w:rFonts w:eastAsia="Calibri" w:cs="Arial"/>
          <w:szCs w:val="22"/>
          <w:lang w:val="cs-CZ"/>
        </w:rPr>
        <w:t xml:space="preserve">při schvalování koncepcí rozvoje podniku a nakládání s majetkem státu svěřeným podniku k podnikatelské činnosti (mimo určený majetek) </w:t>
      </w:r>
      <w:r w:rsidR="000415EF" w:rsidRPr="006967DA">
        <w:rPr>
          <w:rFonts w:eastAsia="Calibri" w:cs="Arial"/>
          <w:szCs w:val="22"/>
          <w:lang w:val="cs-CZ"/>
        </w:rPr>
        <w:t>v</w:t>
      </w:r>
      <w:r w:rsidRPr="006967DA">
        <w:rPr>
          <w:rFonts w:eastAsia="Calibri" w:cs="Arial"/>
          <w:szCs w:val="22"/>
          <w:lang w:val="cs-CZ"/>
        </w:rPr>
        <w:t xml:space="preserve">e </w:t>
      </w:r>
      <w:r w:rsidR="008513A9">
        <w:rPr>
          <w:rFonts w:eastAsia="Calibri" w:cs="Arial"/>
          <w:szCs w:val="22"/>
          <w:lang w:val="cs-CZ"/>
        </w:rPr>
        <w:t>s</w:t>
      </w:r>
      <w:r w:rsidRPr="006967DA">
        <w:rPr>
          <w:rFonts w:eastAsia="Calibri" w:cs="Arial"/>
          <w:szCs w:val="22"/>
          <w:lang w:val="cs-CZ"/>
        </w:rPr>
        <w:t xml:space="preserve">tatutu podniku a v </w:t>
      </w:r>
      <w:r w:rsidR="008513A9">
        <w:rPr>
          <w:rFonts w:eastAsia="Calibri" w:cs="Arial"/>
          <w:szCs w:val="22"/>
          <w:lang w:val="cs-CZ"/>
        </w:rPr>
        <w:t>j</w:t>
      </w:r>
      <w:r w:rsidRPr="006967DA">
        <w:rPr>
          <w:rFonts w:eastAsia="Calibri" w:cs="Arial"/>
          <w:szCs w:val="22"/>
          <w:lang w:val="cs-CZ"/>
        </w:rPr>
        <w:t xml:space="preserve">ednacím řádu </w:t>
      </w:r>
      <w:r w:rsidR="00464C56" w:rsidRPr="006967DA">
        <w:rPr>
          <w:rFonts w:eastAsia="Calibri" w:cs="Arial"/>
          <w:szCs w:val="22"/>
          <w:lang w:val="cs-CZ"/>
        </w:rPr>
        <w:t>dozorčí rady</w:t>
      </w:r>
      <w:r w:rsidR="000D4019" w:rsidRPr="006967DA">
        <w:rPr>
          <w:rFonts w:eastAsia="Calibri" w:cs="Arial"/>
          <w:szCs w:val="22"/>
          <w:lang w:val="cs-CZ"/>
        </w:rPr>
        <w:t>.</w:t>
      </w:r>
    </w:p>
    <w:p w:rsidR="000D4019" w:rsidRPr="006967DA" w:rsidRDefault="000D4019" w:rsidP="00D86D6E">
      <w:pPr>
        <w:pStyle w:val="normlnmezera"/>
        <w:spacing w:before="0"/>
        <w:rPr>
          <w:rFonts w:eastAsia="Calibri" w:cs="Arial"/>
          <w:szCs w:val="22"/>
          <w:lang w:val="cs-CZ"/>
        </w:rPr>
      </w:pPr>
    </w:p>
    <w:p w:rsidR="00F6154C" w:rsidRPr="006967DA" w:rsidRDefault="00F6154C" w:rsidP="00D86D6E">
      <w:pPr>
        <w:pStyle w:val="normlnmezera"/>
        <w:spacing w:before="0"/>
        <w:rPr>
          <w:rFonts w:cs="Arial"/>
          <w:color w:val="000000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MPO jmenovalo ředitele PKÚ a členy </w:t>
      </w:r>
      <w:r w:rsidR="00464C56" w:rsidRPr="006967DA">
        <w:rPr>
          <w:rFonts w:eastAsia="Calibri" w:cs="Arial"/>
          <w:szCs w:val="22"/>
          <w:lang w:val="cs-CZ"/>
        </w:rPr>
        <w:t>dozorčí rady</w:t>
      </w:r>
      <w:r w:rsidRPr="006967DA">
        <w:rPr>
          <w:rFonts w:cs="Arial"/>
          <w:szCs w:val="22"/>
          <w:lang w:val="cs-CZ"/>
        </w:rPr>
        <w:t xml:space="preserve">, </w:t>
      </w:r>
      <w:r w:rsidRPr="006967DA">
        <w:rPr>
          <w:rFonts w:cs="Arial"/>
          <w:color w:val="000000"/>
          <w:szCs w:val="22"/>
          <w:lang w:val="cs-CZ"/>
        </w:rPr>
        <w:t xml:space="preserve">schválilo jednací řád </w:t>
      </w:r>
      <w:r w:rsidR="00464C56" w:rsidRPr="006967DA">
        <w:rPr>
          <w:rFonts w:eastAsia="Calibri" w:cs="Arial"/>
          <w:szCs w:val="22"/>
          <w:lang w:val="cs-CZ"/>
        </w:rPr>
        <w:t>dozorčí rady</w:t>
      </w:r>
      <w:r w:rsidRPr="006967DA">
        <w:rPr>
          <w:rFonts w:cs="Arial"/>
          <w:color w:val="000000"/>
          <w:szCs w:val="22"/>
          <w:lang w:val="cs-CZ"/>
        </w:rPr>
        <w:t xml:space="preserve"> a</w:t>
      </w:r>
      <w:r w:rsidR="002C3B9E" w:rsidRPr="006967DA">
        <w:rPr>
          <w:rFonts w:cs="Arial"/>
          <w:color w:val="000000"/>
          <w:szCs w:val="22"/>
          <w:lang w:val="cs-CZ"/>
        </w:rPr>
        <w:t> </w:t>
      </w:r>
      <w:r w:rsidRPr="006967DA">
        <w:rPr>
          <w:rFonts w:cs="Arial"/>
          <w:color w:val="000000"/>
          <w:szCs w:val="22"/>
          <w:lang w:val="cs-CZ"/>
        </w:rPr>
        <w:t xml:space="preserve">vydalo </w:t>
      </w:r>
      <w:r w:rsidR="008513A9">
        <w:rPr>
          <w:rFonts w:cs="Arial"/>
          <w:color w:val="000000"/>
          <w:szCs w:val="22"/>
          <w:lang w:val="cs-CZ"/>
        </w:rPr>
        <w:t>s</w:t>
      </w:r>
      <w:r w:rsidRPr="006967DA">
        <w:rPr>
          <w:rFonts w:cs="Arial"/>
          <w:color w:val="000000"/>
          <w:szCs w:val="22"/>
          <w:lang w:val="cs-CZ"/>
        </w:rPr>
        <w:t xml:space="preserve">tatut PKÚ, ve kterém mimo jiné stanovilo počet </w:t>
      </w:r>
      <w:r w:rsidR="008513A9">
        <w:rPr>
          <w:rFonts w:cs="Arial"/>
          <w:color w:val="000000"/>
          <w:szCs w:val="22"/>
          <w:lang w:val="cs-CZ"/>
        </w:rPr>
        <w:t xml:space="preserve">členů dozorčí rady, </w:t>
      </w:r>
      <w:r w:rsidRPr="006967DA">
        <w:rPr>
          <w:rFonts w:cs="Arial"/>
          <w:color w:val="000000"/>
          <w:szCs w:val="22"/>
          <w:lang w:val="cs-CZ"/>
        </w:rPr>
        <w:t xml:space="preserve">délku </w:t>
      </w:r>
      <w:r w:rsidR="008513A9">
        <w:rPr>
          <w:rFonts w:cs="Arial"/>
          <w:color w:val="000000"/>
          <w:szCs w:val="22"/>
          <w:lang w:val="cs-CZ"/>
        </w:rPr>
        <w:t xml:space="preserve">jejich </w:t>
      </w:r>
      <w:r w:rsidRPr="006967DA">
        <w:rPr>
          <w:rFonts w:cs="Arial"/>
          <w:color w:val="000000"/>
          <w:szCs w:val="22"/>
          <w:lang w:val="cs-CZ"/>
        </w:rPr>
        <w:t>funkčního období a minimální četnost zasedání</w:t>
      </w:r>
      <w:r w:rsidR="008513A9">
        <w:rPr>
          <w:rFonts w:cs="Arial"/>
          <w:color w:val="000000"/>
          <w:szCs w:val="22"/>
          <w:lang w:val="cs-CZ"/>
        </w:rPr>
        <w:t xml:space="preserve"> dozorčí rady</w:t>
      </w:r>
      <w:r w:rsidRPr="006967DA">
        <w:rPr>
          <w:rFonts w:cs="Arial"/>
          <w:color w:val="000000"/>
          <w:szCs w:val="22"/>
          <w:lang w:val="cs-CZ"/>
        </w:rPr>
        <w:t>.</w:t>
      </w:r>
      <w:r w:rsidR="00C828E8" w:rsidRPr="006967DA">
        <w:rPr>
          <w:rFonts w:cs="Arial"/>
          <w:color w:val="000000"/>
          <w:szCs w:val="22"/>
          <w:lang w:val="cs-CZ"/>
        </w:rPr>
        <w:t xml:space="preserve"> </w:t>
      </w:r>
      <w:r w:rsidRPr="006967DA">
        <w:rPr>
          <w:rFonts w:cs="Arial"/>
          <w:color w:val="000000"/>
          <w:szCs w:val="22"/>
          <w:lang w:val="cs-CZ"/>
        </w:rPr>
        <w:t xml:space="preserve">Složení a činnost dozorčí rady a způsob volby členů dozorčí rady </w:t>
      </w:r>
      <w:r w:rsidR="008513A9">
        <w:rPr>
          <w:rFonts w:cs="Arial"/>
          <w:color w:val="000000"/>
          <w:szCs w:val="22"/>
          <w:lang w:val="cs-CZ"/>
        </w:rPr>
        <w:t>jsou</w:t>
      </w:r>
      <w:r w:rsidRPr="006967DA">
        <w:rPr>
          <w:rFonts w:cs="Arial"/>
          <w:color w:val="000000"/>
          <w:szCs w:val="22"/>
          <w:lang w:val="cs-CZ"/>
        </w:rPr>
        <w:t xml:space="preserve"> v so</w:t>
      </w:r>
      <w:r w:rsidR="000D4019" w:rsidRPr="006967DA">
        <w:rPr>
          <w:rFonts w:cs="Arial"/>
          <w:color w:val="000000"/>
          <w:szCs w:val="22"/>
          <w:lang w:val="cs-CZ"/>
        </w:rPr>
        <w:t>uladu se zákonem č. 77/1997 Sb.</w:t>
      </w:r>
    </w:p>
    <w:p w:rsidR="000D4019" w:rsidRPr="006967DA" w:rsidRDefault="000D4019" w:rsidP="00D86D6E">
      <w:pPr>
        <w:pStyle w:val="normlnmezera"/>
        <w:spacing w:before="0"/>
        <w:rPr>
          <w:rFonts w:cs="Arial"/>
          <w:color w:val="000000"/>
          <w:szCs w:val="22"/>
          <w:lang w:val="cs-CZ"/>
        </w:rPr>
      </w:pPr>
    </w:p>
    <w:p w:rsidR="00F6154C" w:rsidRPr="006967DA" w:rsidRDefault="00F6154C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V kontrolovaném období MPO schvalovalo účetní závěrky a výroční zprávy a rozhodovalo o rozdělení použitelného zisku PKÚ.</w:t>
      </w:r>
    </w:p>
    <w:p w:rsidR="00A66C2F" w:rsidRPr="006967DA" w:rsidRDefault="00A66C2F" w:rsidP="00D86D6E">
      <w:pPr>
        <w:rPr>
          <w:rFonts w:cs="Arial"/>
          <w:b/>
          <w:i/>
          <w:szCs w:val="22"/>
          <w:lang w:val="cs-CZ"/>
        </w:rPr>
      </w:pPr>
    </w:p>
    <w:p w:rsidR="00F6154C" w:rsidRPr="00A258F2" w:rsidRDefault="008513A9" w:rsidP="00D86D6E">
      <w:pPr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1.4 </w:t>
      </w:r>
      <w:r w:rsidR="00F6154C" w:rsidRPr="00A258F2">
        <w:rPr>
          <w:rFonts w:cs="Arial"/>
          <w:b/>
          <w:szCs w:val="22"/>
          <w:lang w:val="cs-CZ"/>
        </w:rPr>
        <w:t>Vnitřní kontrolní systém</w:t>
      </w:r>
      <w:r w:rsidR="00C828E8" w:rsidRPr="00A258F2">
        <w:rPr>
          <w:rFonts w:cs="Arial"/>
          <w:b/>
          <w:szCs w:val="22"/>
          <w:lang w:val="cs-CZ"/>
        </w:rPr>
        <w:t xml:space="preserve"> a kontrolní činnost MPO prováděná u PKÚ</w:t>
      </w:r>
    </w:p>
    <w:p w:rsidR="000D4019" w:rsidRPr="006967DA" w:rsidRDefault="000D4019" w:rsidP="00D86D6E">
      <w:pPr>
        <w:pStyle w:val="Odstavecseseznamem"/>
        <w:autoSpaceDE w:val="0"/>
        <w:autoSpaceDN w:val="0"/>
        <w:adjustRightInd w:val="0"/>
        <w:ind w:left="0"/>
        <w:contextualSpacing w:val="0"/>
        <w:rPr>
          <w:rFonts w:cs="Arial"/>
          <w:szCs w:val="22"/>
        </w:rPr>
      </w:pPr>
    </w:p>
    <w:p w:rsidR="00F6154C" w:rsidRPr="006967DA" w:rsidRDefault="00F6154C" w:rsidP="00D86D6E">
      <w:pPr>
        <w:pStyle w:val="Odstavecseseznamem"/>
        <w:autoSpaceDE w:val="0"/>
        <w:autoSpaceDN w:val="0"/>
        <w:adjustRightInd w:val="0"/>
        <w:ind w:left="0"/>
        <w:contextualSpacing w:val="0"/>
        <w:rPr>
          <w:rFonts w:cs="Arial"/>
          <w:szCs w:val="22"/>
        </w:rPr>
      </w:pPr>
      <w:r w:rsidRPr="006967DA">
        <w:rPr>
          <w:rFonts w:cs="Arial"/>
          <w:szCs w:val="22"/>
        </w:rPr>
        <w:t>Pro jednotný postup při výkonu zakladatelské funkce vůči státním podnikům a pro nakládání s majetkem státu, se kterým mají státní podniky právo hospodařit, vydalo</w:t>
      </w:r>
      <w:r w:rsidR="008513A9" w:rsidRPr="008513A9">
        <w:rPr>
          <w:rFonts w:cs="Arial"/>
          <w:szCs w:val="22"/>
        </w:rPr>
        <w:t xml:space="preserve"> </w:t>
      </w:r>
      <w:r w:rsidR="008513A9" w:rsidRPr="006967DA">
        <w:rPr>
          <w:rFonts w:cs="Arial"/>
          <w:szCs w:val="22"/>
        </w:rPr>
        <w:t>MPO</w:t>
      </w:r>
      <w:r w:rsidRPr="006967DA">
        <w:rPr>
          <w:rFonts w:cs="Arial"/>
          <w:szCs w:val="22"/>
        </w:rPr>
        <w:t xml:space="preserve"> vnitřní předpisy.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F6154C" w:rsidRPr="006967DA" w:rsidRDefault="00F6154C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Podle</w:t>
      </w:r>
      <w:r w:rsidR="000D4019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zákona č. 77/1997 Sb.</w:t>
      </w:r>
      <w:r w:rsidR="00F044C9" w:rsidRPr="006967DA">
        <w:rPr>
          <w:rStyle w:val="Znakapoznpodarou"/>
          <w:rFonts w:cs="Arial"/>
          <w:szCs w:val="22"/>
          <w:lang w:val="cs-CZ"/>
        </w:rPr>
        <w:footnoteReference w:id="16"/>
      </w:r>
      <w:r w:rsidRPr="006967DA">
        <w:rPr>
          <w:rFonts w:cs="Arial"/>
          <w:szCs w:val="22"/>
          <w:lang w:val="cs-CZ"/>
        </w:rPr>
        <w:t xml:space="preserve"> zakladatel kontroluje, zda potřeby státu, které podnik svou podnikatelskou činností zabezpečuje, jsou zajišťovány účelně a hospodárně. </w:t>
      </w:r>
      <w:r w:rsidR="0047211F" w:rsidRPr="006967DA">
        <w:rPr>
          <w:rFonts w:cs="Arial"/>
          <w:szCs w:val="22"/>
          <w:lang w:val="cs-CZ"/>
        </w:rPr>
        <w:t>MPO v</w:t>
      </w:r>
      <w:r w:rsidRPr="006967DA">
        <w:rPr>
          <w:rFonts w:cs="Arial"/>
          <w:szCs w:val="22"/>
          <w:lang w:val="cs-CZ"/>
        </w:rPr>
        <w:t xml:space="preserve">e smyslu tohoto ustanovení </w:t>
      </w:r>
      <w:r w:rsidR="0047211F" w:rsidRPr="006967DA">
        <w:rPr>
          <w:rFonts w:cs="Arial"/>
          <w:szCs w:val="22"/>
          <w:lang w:val="cs-CZ"/>
        </w:rPr>
        <w:t xml:space="preserve">zákona č. 77/1997 Sb. </w:t>
      </w:r>
      <w:r w:rsidRPr="006967DA">
        <w:rPr>
          <w:rFonts w:cs="Arial"/>
          <w:szCs w:val="22"/>
          <w:lang w:val="cs-CZ"/>
        </w:rPr>
        <w:t>neprovedlo v kontrolovaném období u PKÚ žádnou kontrolu</w:t>
      </w:r>
      <w:r w:rsidR="00F044C9" w:rsidRPr="006967DA">
        <w:rPr>
          <w:rFonts w:cs="Arial"/>
          <w:szCs w:val="22"/>
          <w:lang w:val="cs-CZ"/>
        </w:rPr>
        <w:t>.</w:t>
      </w:r>
      <w:r w:rsidRPr="006967DA">
        <w:rPr>
          <w:rFonts w:cs="Arial"/>
          <w:szCs w:val="22"/>
          <w:lang w:val="cs-CZ"/>
        </w:rPr>
        <w:t xml:space="preserve"> MPO provádělo </w:t>
      </w:r>
      <w:r w:rsidR="007261C1" w:rsidRPr="006967DA">
        <w:rPr>
          <w:rFonts w:cs="Arial"/>
          <w:szCs w:val="22"/>
          <w:lang w:val="cs-CZ"/>
        </w:rPr>
        <w:t xml:space="preserve">u PKÚ </w:t>
      </w:r>
      <w:r w:rsidRPr="006967DA">
        <w:rPr>
          <w:rFonts w:cs="Arial"/>
          <w:szCs w:val="22"/>
          <w:lang w:val="cs-CZ"/>
        </w:rPr>
        <w:t>kontroly čerpání a užití finančních prostředků poskytnutých ze státního rozpočtu na zahlazování následků hornické činnosti</w:t>
      </w:r>
      <w:r w:rsidR="007519C5" w:rsidRPr="006967DA">
        <w:rPr>
          <w:rFonts w:cs="Arial"/>
          <w:szCs w:val="22"/>
          <w:lang w:val="cs-CZ"/>
        </w:rPr>
        <w:t xml:space="preserve"> (dále též „ZNHČ)</w:t>
      </w:r>
      <w:r w:rsidRPr="006967DA">
        <w:rPr>
          <w:rFonts w:cs="Arial"/>
          <w:szCs w:val="22"/>
          <w:lang w:val="cs-CZ"/>
        </w:rPr>
        <w:t>.</w:t>
      </w:r>
    </w:p>
    <w:p w:rsidR="000D4019" w:rsidRPr="006967DA" w:rsidRDefault="000D4019" w:rsidP="00D86D6E">
      <w:pPr>
        <w:rPr>
          <w:rFonts w:cs="Arial"/>
          <w:szCs w:val="22"/>
          <w:lang w:val="cs-CZ"/>
        </w:rPr>
      </w:pPr>
    </w:p>
    <w:p w:rsidR="00F6154C" w:rsidRPr="006967DA" w:rsidRDefault="000D4019" w:rsidP="000D4019">
      <w:pPr>
        <w:rPr>
          <w:b/>
          <w:lang w:val="cs-CZ"/>
        </w:rPr>
      </w:pPr>
      <w:r w:rsidRPr="006967DA">
        <w:rPr>
          <w:b/>
          <w:lang w:val="cs-CZ"/>
        </w:rPr>
        <w:t xml:space="preserve">2. </w:t>
      </w:r>
      <w:r w:rsidR="00F6154C" w:rsidRPr="006967DA">
        <w:rPr>
          <w:b/>
          <w:lang w:val="cs-CZ"/>
        </w:rPr>
        <w:t>Palivový kombinát Ústí, státní podnik</w:t>
      </w:r>
    </w:p>
    <w:p w:rsidR="000D4019" w:rsidRPr="006967DA" w:rsidRDefault="000D4019" w:rsidP="00D86D6E">
      <w:pPr>
        <w:autoSpaceDE w:val="0"/>
        <w:autoSpaceDN w:val="0"/>
        <w:adjustRightInd w:val="0"/>
        <w:rPr>
          <w:rFonts w:eastAsiaTheme="minorHAnsi" w:cs="Arial"/>
          <w:szCs w:val="22"/>
          <w:lang w:val="cs-CZ"/>
        </w:rPr>
      </w:pPr>
    </w:p>
    <w:p w:rsidR="002B7F02" w:rsidRPr="006967DA" w:rsidRDefault="002B7F02" w:rsidP="00D86D6E">
      <w:pPr>
        <w:autoSpaceDE w:val="0"/>
        <w:autoSpaceDN w:val="0"/>
        <w:adjustRightInd w:val="0"/>
        <w:rPr>
          <w:rFonts w:eastAsiaTheme="minorHAnsi" w:cs="Arial"/>
          <w:szCs w:val="22"/>
          <w:lang w:val="cs-CZ"/>
        </w:rPr>
      </w:pPr>
      <w:r w:rsidRPr="006967DA">
        <w:rPr>
          <w:rFonts w:eastAsiaTheme="minorHAnsi" w:cs="Arial"/>
          <w:szCs w:val="22"/>
          <w:lang w:val="cs-CZ"/>
        </w:rPr>
        <w:t>Činnost PKÚ byla v kontrolovaném období financována ze tří zdrojů:</w:t>
      </w:r>
    </w:p>
    <w:p w:rsidR="002B7F02" w:rsidRPr="006967DA" w:rsidRDefault="002B7F02" w:rsidP="00D86D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357"/>
        <w:contextualSpacing w:val="0"/>
        <w:rPr>
          <w:rFonts w:eastAsiaTheme="minorHAnsi" w:cs="Arial"/>
          <w:szCs w:val="22"/>
        </w:rPr>
      </w:pPr>
      <w:r w:rsidRPr="006967DA">
        <w:rPr>
          <w:rFonts w:eastAsiaTheme="minorHAnsi" w:cs="Arial"/>
          <w:szCs w:val="22"/>
        </w:rPr>
        <w:t>z rozpočtové kapitoly MPO – investiční dotace, neinvestiční dotace</w:t>
      </w:r>
      <w:r w:rsidR="00A7716D" w:rsidRPr="006967DA">
        <w:rPr>
          <w:rFonts w:eastAsiaTheme="minorHAnsi" w:cs="Arial"/>
          <w:szCs w:val="22"/>
        </w:rPr>
        <w:t>,</w:t>
      </w:r>
      <w:r w:rsidRPr="006967DA">
        <w:rPr>
          <w:rFonts w:eastAsiaTheme="minorHAnsi" w:cs="Arial"/>
          <w:szCs w:val="22"/>
        </w:rPr>
        <w:t xml:space="preserve"> ekologick</w:t>
      </w:r>
      <w:r w:rsidR="00B53DA7">
        <w:rPr>
          <w:rFonts w:eastAsiaTheme="minorHAnsi" w:cs="Arial"/>
          <w:szCs w:val="22"/>
        </w:rPr>
        <w:t>é</w:t>
      </w:r>
      <w:r w:rsidRPr="006967DA">
        <w:rPr>
          <w:rFonts w:eastAsiaTheme="minorHAnsi" w:cs="Arial"/>
          <w:szCs w:val="22"/>
        </w:rPr>
        <w:t xml:space="preserve"> dotace</w:t>
      </w:r>
      <w:r w:rsidR="00A7716D" w:rsidRPr="006967DA">
        <w:rPr>
          <w:rFonts w:eastAsiaTheme="minorHAnsi" w:cs="Arial"/>
          <w:szCs w:val="22"/>
        </w:rPr>
        <w:t xml:space="preserve"> a</w:t>
      </w:r>
      <w:r w:rsidR="000460BD" w:rsidRPr="006967DA">
        <w:rPr>
          <w:rFonts w:eastAsiaTheme="minorHAnsi" w:cs="Arial"/>
          <w:szCs w:val="22"/>
        </w:rPr>
        <w:t> </w:t>
      </w:r>
      <w:r w:rsidR="00A7716D" w:rsidRPr="006967DA">
        <w:rPr>
          <w:rFonts w:eastAsiaTheme="minorHAnsi" w:cs="Arial"/>
          <w:szCs w:val="22"/>
        </w:rPr>
        <w:t xml:space="preserve">dotace na sociálně zdravotní </w:t>
      </w:r>
      <w:r w:rsidR="003E15A1" w:rsidRPr="006967DA">
        <w:rPr>
          <w:rFonts w:eastAsiaTheme="minorHAnsi" w:cs="Arial"/>
          <w:szCs w:val="22"/>
        </w:rPr>
        <w:t>dávky horníků</w:t>
      </w:r>
      <w:r w:rsidR="00B53DA7">
        <w:rPr>
          <w:rFonts w:eastAsiaTheme="minorHAnsi" w:cs="Arial"/>
          <w:szCs w:val="22"/>
        </w:rPr>
        <w:t>m</w:t>
      </w:r>
      <w:r w:rsidR="00A7716D" w:rsidRPr="006967DA">
        <w:rPr>
          <w:rFonts w:eastAsiaTheme="minorHAnsi" w:cs="Arial"/>
          <w:szCs w:val="22"/>
        </w:rPr>
        <w:t xml:space="preserve"> </w:t>
      </w:r>
      <w:r w:rsidR="00A7716D" w:rsidRPr="006967DA">
        <w:rPr>
          <w:rFonts w:cs="Arial"/>
          <w:szCs w:val="22"/>
        </w:rPr>
        <w:t>dle zákona č. 154/2002 Sb.</w:t>
      </w:r>
      <w:r w:rsidR="00A7716D" w:rsidRPr="006967DA">
        <w:rPr>
          <w:rStyle w:val="Znakapoznpodarou"/>
          <w:rFonts w:cs="Arial"/>
          <w:szCs w:val="22"/>
        </w:rPr>
        <w:footnoteReference w:id="17"/>
      </w:r>
      <w:r w:rsidRPr="006967DA">
        <w:rPr>
          <w:rFonts w:eastAsiaTheme="minorHAnsi" w:cs="Arial"/>
          <w:szCs w:val="22"/>
        </w:rPr>
        <w:t>;</w:t>
      </w:r>
    </w:p>
    <w:p w:rsidR="002B7F02" w:rsidRPr="006967DA" w:rsidRDefault="002B7F02" w:rsidP="00D86D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357"/>
        <w:contextualSpacing w:val="0"/>
        <w:rPr>
          <w:rFonts w:eastAsiaTheme="minorHAnsi" w:cs="Arial"/>
          <w:szCs w:val="22"/>
        </w:rPr>
      </w:pPr>
      <w:r w:rsidRPr="006967DA">
        <w:rPr>
          <w:rFonts w:eastAsiaTheme="minorHAnsi" w:cs="Arial"/>
          <w:szCs w:val="22"/>
        </w:rPr>
        <w:t>z výnosů zahlazování následků hornické činnosti</w:t>
      </w:r>
      <w:r w:rsidR="00D648AE" w:rsidRPr="006967DA">
        <w:rPr>
          <w:rFonts w:eastAsiaTheme="minorHAnsi" w:cs="Arial"/>
          <w:szCs w:val="22"/>
        </w:rPr>
        <w:t xml:space="preserve"> předcházejících let </w:t>
      </w:r>
      <w:r w:rsidR="00D648AE" w:rsidRPr="006967DA">
        <w:rPr>
          <w:rFonts w:cs="Arial"/>
          <w:szCs w:val="22"/>
        </w:rPr>
        <w:t xml:space="preserve">(zejména z prodeje majetku, surovin, materiálů, energií, </w:t>
      </w:r>
      <w:r w:rsidR="00B53DA7">
        <w:rPr>
          <w:rFonts w:cs="Arial"/>
          <w:szCs w:val="22"/>
        </w:rPr>
        <w:t>z </w:t>
      </w:r>
      <w:r w:rsidR="00D648AE" w:rsidRPr="006967DA">
        <w:rPr>
          <w:rFonts w:cs="Arial"/>
          <w:szCs w:val="22"/>
        </w:rPr>
        <w:t>pronájmů, poskytování služeb apod.)</w:t>
      </w:r>
      <w:r w:rsidRPr="006967DA">
        <w:rPr>
          <w:rFonts w:eastAsiaTheme="minorHAnsi" w:cs="Arial"/>
          <w:szCs w:val="22"/>
        </w:rPr>
        <w:t>;</w:t>
      </w:r>
    </w:p>
    <w:p w:rsidR="002B7F02" w:rsidRPr="006967DA" w:rsidRDefault="002B7F02" w:rsidP="00D86D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357"/>
        <w:contextualSpacing w:val="0"/>
        <w:rPr>
          <w:rFonts w:eastAsiaTheme="minorHAnsi" w:cs="Arial"/>
          <w:szCs w:val="22"/>
        </w:rPr>
      </w:pPr>
      <w:r w:rsidRPr="006967DA">
        <w:rPr>
          <w:rFonts w:eastAsiaTheme="minorHAnsi" w:cs="Arial"/>
          <w:szCs w:val="22"/>
        </w:rPr>
        <w:t>z ostatních zdrojů – financování z</w:t>
      </w:r>
      <w:r w:rsidR="00A7716D" w:rsidRPr="006967DA">
        <w:rPr>
          <w:rFonts w:eastAsiaTheme="minorHAnsi" w:cs="Arial"/>
          <w:szCs w:val="22"/>
        </w:rPr>
        <w:t xml:space="preserve"> rozpočtové kapitoly </w:t>
      </w:r>
      <w:r w:rsidRPr="006967DA">
        <w:rPr>
          <w:rFonts w:eastAsiaTheme="minorHAnsi" w:cs="Arial"/>
          <w:szCs w:val="22"/>
        </w:rPr>
        <w:t>Ministerstva financí</w:t>
      </w:r>
      <w:r w:rsidRPr="006967DA">
        <w:rPr>
          <w:rStyle w:val="Znakapoznpodarou"/>
          <w:rFonts w:eastAsiaTheme="minorHAnsi" w:cs="Arial"/>
          <w:szCs w:val="22"/>
        </w:rPr>
        <w:footnoteReference w:id="18"/>
      </w:r>
      <w:r w:rsidRPr="006967DA">
        <w:rPr>
          <w:rFonts w:eastAsiaTheme="minorHAnsi" w:cs="Arial"/>
          <w:szCs w:val="22"/>
        </w:rPr>
        <w:t xml:space="preserve"> (dále též „MF“), z</w:t>
      </w:r>
      <w:r w:rsidR="00A7716D" w:rsidRPr="006967DA">
        <w:rPr>
          <w:rFonts w:eastAsiaTheme="minorHAnsi" w:cs="Arial"/>
          <w:szCs w:val="22"/>
        </w:rPr>
        <w:t xml:space="preserve"> rozpočtové kapitoly </w:t>
      </w:r>
      <w:r w:rsidRPr="006967DA">
        <w:rPr>
          <w:rFonts w:eastAsiaTheme="minorHAnsi" w:cs="Arial"/>
          <w:szCs w:val="22"/>
        </w:rPr>
        <w:t>Ministerstva životního prostředí</w:t>
      </w:r>
      <w:r w:rsidR="00237702" w:rsidRPr="006967DA">
        <w:rPr>
          <w:rStyle w:val="Znakapoznpodarou"/>
          <w:rFonts w:eastAsiaTheme="minorHAnsi" w:cs="Arial"/>
          <w:szCs w:val="22"/>
        </w:rPr>
        <w:footnoteReference w:id="19"/>
      </w:r>
      <w:r w:rsidRPr="006967DA">
        <w:rPr>
          <w:rFonts w:eastAsiaTheme="minorHAnsi" w:cs="Arial"/>
          <w:szCs w:val="22"/>
        </w:rPr>
        <w:t xml:space="preserve"> (dále též „MŽP“) a</w:t>
      </w:r>
      <w:r w:rsidR="000460BD" w:rsidRPr="006967DA">
        <w:rPr>
          <w:rFonts w:eastAsiaTheme="minorHAnsi" w:cs="Arial"/>
          <w:szCs w:val="22"/>
        </w:rPr>
        <w:t> </w:t>
      </w:r>
      <w:r w:rsidRPr="006967DA">
        <w:rPr>
          <w:rFonts w:eastAsiaTheme="minorHAnsi" w:cs="Arial"/>
          <w:szCs w:val="22"/>
        </w:rPr>
        <w:t>z </w:t>
      </w:r>
      <w:r w:rsidR="00B53DA7">
        <w:rPr>
          <w:rFonts w:eastAsiaTheme="minorHAnsi" w:cs="Arial"/>
          <w:szCs w:val="22"/>
        </w:rPr>
        <w:t>o</w:t>
      </w:r>
      <w:r w:rsidRPr="006967DA">
        <w:rPr>
          <w:rFonts w:eastAsiaTheme="minorHAnsi" w:cs="Arial"/>
          <w:szCs w:val="22"/>
        </w:rPr>
        <w:t xml:space="preserve">peračního programu </w:t>
      </w:r>
      <w:r w:rsidRPr="00A258F2">
        <w:rPr>
          <w:rFonts w:eastAsiaTheme="minorHAnsi" w:cs="Arial"/>
          <w:i/>
          <w:szCs w:val="22"/>
        </w:rPr>
        <w:t>Životní prostředí</w:t>
      </w:r>
      <w:r w:rsidRPr="006967DA">
        <w:rPr>
          <w:rFonts w:eastAsiaTheme="minorHAnsi" w:cs="Arial"/>
          <w:szCs w:val="22"/>
        </w:rPr>
        <w:t xml:space="preserve"> (dále též „OP ŽP“).</w:t>
      </w:r>
    </w:p>
    <w:p w:rsidR="000D4019" w:rsidRPr="006967DA" w:rsidRDefault="000D4019" w:rsidP="00D86D6E">
      <w:pPr>
        <w:autoSpaceDE w:val="0"/>
        <w:autoSpaceDN w:val="0"/>
        <w:adjustRightInd w:val="0"/>
        <w:rPr>
          <w:rFonts w:eastAsiaTheme="minorHAnsi" w:cs="Arial"/>
          <w:szCs w:val="22"/>
          <w:lang w:val="cs-CZ"/>
        </w:rPr>
      </w:pPr>
    </w:p>
    <w:p w:rsidR="00237702" w:rsidRPr="006967DA" w:rsidRDefault="00F6154C" w:rsidP="00D86D6E">
      <w:pPr>
        <w:autoSpaceDE w:val="0"/>
        <w:autoSpaceDN w:val="0"/>
        <w:adjustRightInd w:val="0"/>
        <w:rPr>
          <w:rFonts w:eastAsiaTheme="minorHAnsi" w:cs="Arial"/>
          <w:szCs w:val="22"/>
          <w:lang w:val="cs-CZ"/>
        </w:rPr>
      </w:pPr>
      <w:r w:rsidRPr="006967DA">
        <w:rPr>
          <w:rFonts w:eastAsiaTheme="minorHAnsi" w:cs="Arial"/>
          <w:szCs w:val="22"/>
          <w:lang w:val="cs-CZ"/>
        </w:rPr>
        <w:t>P</w:t>
      </w:r>
      <w:r w:rsidR="00237702" w:rsidRPr="006967DA">
        <w:rPr>
          <w:rFonts w:eastAsiaTheme="minorHAnsi" w:cs="Arial"/>
          <w:szCs w:val="22"/>
          <w:lang w:val="cs-CZ"/>
        </w:rPr>
        <w:t xml:space="preserve">řehled čerpání finančních prostředků k zabezpečení činnosti PKÚ a v souvislosti s útlumem a </w:t>
      </w:r>
      <w:r w:rsidR="00726ABF" w:rsidRPr="006967DA">
        <w:rPr>
          <w:rFonts w:cs="Arial"/>
          <w:szCs w:val="22"/>
          <w:lang w:val="cs-CZ"/>
        </w:rPr>
        <w:t>zahlazováním následků hornické činnosti</w:t>
      </w:r>
      <w:r w:rsidR="00237702" w:rsidRPr="006967DA">
        <w:rPr>
          <w:rFonts w:eastAsiaTheme="minorHAnsi" w:cs="Arial"/>
          <w:szCs w:val="22"/>
          <w:lang w:val="cs-CZ"/>
        </w:rPr>
        <w:t xml:space="preserve"> je uveden v </w:t>
      </w:r>
      <w:r w:rsidR="00B53DA7">
        <w:rPr>
          <w:rFonts w:eastAsiaTheme="minorHAnsi" w:cs="Arial"/>
          <w:szCs w:val="22"/>
          <w:lang w:val="cs-CZ"/>
        </w:rPr>
        <w:t>t</w:t>
      </w:r>
      <w:r w:rsidR="00237702" w:rsidRPr="006967DA">
        <w:rPr>
          <w:rFonts w:eastAsiaTheme="minorHAnsi" w:cs="Arial"/>
          <w:szCs w:val="22"/>
          <w:lang w:val="cs-CZ"/>
        </w:rPr>
        <w:t>abul</w:t>
      </w:r>
      <w:r w:rsidR="0001740F" w:rsidRPr="006967DA">
        <w:rPr>
          <w:rFonts w:eastAsiaTheme="minorHAnsi" w:cs="Arial"/>
          <w:szCs w:val="22"/>
          <w:lang w:val="cs-CZ"/>
        </w:rPr>
        <w:t>kách</w:t>
      </w:r>
      <w:r w:rsidR="00237702" w:rsidRPr="006967DA">
        <w:rPr>
          <w:rFonts w:eastAsiaTheme="minorHAnsi" w:cs="Arial"/>
          <w:szCs w:val="22"/>
          <w:lang w:val="cs-CZ"/>
        </w:rPr>
        <w:t xml:space="preserve"> č. </w:t>
      </w:r>
      <w:r w:rsidR="00323653" w:rsidRPr="006967DA">
        <w:rPr>
          <w:rFonts w:eastAsiaTheme="minorHAnsi" w:cs="Arial"/>
          <w:szCs w:val="22"/>
          <w:lang w:val="cs-CZ"/>
        </w:rPr>
        <w:t>1</w:t>
      </w:r>
      <w:r w:rsidR="0001740F" w:rsidRPr="006967DA">
        <w:rPr>
          <w:rFonts w:eastAsiaTheme="minorHAnsi" w:cs="Arial"/>
          <w:szCs w:val="22"/>
          <w:lang w:val="cs-CZ"/>
        </w:rPr>
        <w:t xml:space="preserve"> a č. 2</w:t>
      </w:r>
      <w:r w:rsidR="00237702" w:rsidRPr="006967DA">
        <w:rPr>
          <w:rFonts w:eastAsiaTheme="minorHAnsi" w:cs="Arial"/>
          <w:szCs w:val="22"/>
          <w:lang w:val="cs-CZ"/>
        </w:rPr>
        <w:t>.</w:t>
      </w:r>
    </w:p>
    <w:p w:rsidR="00410599" w:rsidRPr="006967DA" w:rsidRDefault="00410599" w:rsidP="000D4019">
      <w:pPr>
        <w:autoSpaceDE w:val="0"/>
        <w:autoSpaceDN w:val="0"/>
        <w:adjustRightInd w:val="0"/>
        <w:rPr>
          <w:rFonts w:eastAsiaTheme="minorHAnsi" w:cs="Arial"/>
          <w:szCs w:val="22"/>
          <w:lang w:val="cs-CZ"/>
        </w:rPr>
      </w:pPr>
    </w:p>
    <w:p w:rsidR="00FE1C4D" w:rsidRDefault="00FE1C4D">
      <w:pPr>
        <w:spacing w:after="200" w:line="276" w:lineRule="auto"/>
        <w:jc w:val="left"/>
        <w:rPr>
          <w:rFonts w:eastAsiaTheme="minorHAnsi" w:cs="Arial"/>
          <w:b/>
          <w:szCs w:val="22"/>
          <w:lang w:val="cs-CZ"/>
        </w:rPr>
      </w:pPr>
      <w:r>
        <w:rPr>
          <w:rFonts w:eastAsiaTheme="minorHAnsi" w:cs="Arial"/>
          <w:b/>
          <w:szCs w:val="22"/>
          <w:lang w:val="cs-CZ"/>
        </w:rPr>
        <w:br w:type="page"/>
      </w:r>
    </w:p>
    <w:p w:rsidR="00F6154C" w:rsidRPr="006967DA" w:rsidRDefault="00237702" w:rsidP="0080342C">
      <w:pPr>
        <w:tabs>
          <w:tab w:val="left" w:pos="7938"/>
        </w:tabs>
        <w:spacing w:after="40"/>
        <w:rPr>
          <w:rFonts w:eastAsiaTheme="minorHAnsi" w:cs="Arial"/>
          <w:b/>
          <w:szCs w:val="22"/>
          <w:lang w:val="cs-CZ"/>
        </w:rPr>
      </w:pPr>
      <w:r w:rsidRPr="006967DA">
        <w:rPr>
          <w:rFonts w:eastAsiaTheme="minorHAnsi" w:cs="Arial"/>
          <w:b/>
          <w:szCs w:val="22"/>
          <w:lang w:val="cs-CZ"/>
        </w:rPr>
        <w:lastRenderedPageBreak/>
        <w:t xml:space="preserve">Tabulka č. </w:t>
      </w:r>
      <w:r w:rsidR="00323653" w:rsidRPr="006967DA">
        <w:rPr>
          <w:rFonts w:eastAsiaTheme="minorHAnsi" w:cs="Arial"/>
          <w:b/>
          <w:szCs w:val="22"/>
          <w:lang w:val="cs-CZ"/>
        </w:rPr>
        <w:t>1</w:t>
      </w:r>
      <w:r w:rsidRPr="006967DA">
        <w:rPr>
          <w:rFonts w:eastAsiaTheme="minorHAnsi" w:cs="Arial"/>
          <w:b/>
          <w:szCs w:val="22"/>
          <w:lang w:val="cs-CZ"/>
        </w:rPr>
        <w:t xml:space="preserve"> – Přehled čerpání finančních prostředků </w:t>
      </w:r>
      <w:r w:rsidR="0001740F" w:rsidRPr="006967DA">
        <w:rPr>
          <w:rFonts w:eastAsiaTheme="minorHAnsi" w:cs="Arial"/>
          <w:b/>
          <w:szCs w:val="22"/>
          <w:lang w:val="cs-CZ"/>
        </w:rPr>
        <w:t>dle zdrojů</w:t>
      </w:r>
      <w:r w:rsidR="000D4019" w:rsidRPr="006967DA">
        <w:rPr>
          <w:rFonts w:eastAsiaTheme="minorHAnsi" w:cs="Arial"/>
          <w:b/>
          <w:szCs w:val="22"/>
          <w:lang w:val="cs-CZ"/>
        </w:rPr>
        <w:tab/>
      </w:r>
      <w:r w:rsidRPr="00A258F2">
        <w:rPr>
          <w:rFonts w:eastAsiaTheme="minorHAnsi" w:cs="Arial"/>
          <w:b/>
          <w:szCs w:val="22"/>
          <w:lang w:val="cs-CZ"/>
        </w:rPr>
        <w:t>(v tis. Kč)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587"/>
        <w:gridCol w:w="1587"/>
        <w:gridCol w:w="794"/>
        <w:gridCol w:w="1316"/>
        <w:gridCol w:w="1531"/>
        <w:gridCol w:w="1361"/>
      </w:tblGrid>
      <w:tr w:rsidR="00A72732" w:rsidRPr="00A72732" w:rsidTr="00727CD4">
        <w:trPr>
          <w:trHeight w:val="227"/>
          <w:jc w:val="center"/>
        </w:trPr>
        <w:tc>
          <w:tcPr>
            <w:tcW w:w="850" w:type="dxa"/>
            <w:vAlign w:val="center"/>
          </w:tcPr>
          <w:p w:rsidR="00A72732" w:rsidRPr="00A258F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Rok</w:t>
            </w:r>
          </w:p>
        </w:tc>
        <w:tc>
          <w:tcPr>
            <w:tcW w:w="1587" w:type="dxa"/>
            <w:vAlign w:val="center"/>
          </w:tcPr>
          <w:p w:rsidR="00A72732" w:rsidRPr="00A258F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Dotace z MPO</w:t>
            </w:r>
          </w:p>
        </w:tc>
        <w:tc>
          <w:tcPr>
            <w:tcW w:w="1587" w:type="dxa"/>
            <w:vAlign w:val="center"/>
          </w:tcPr>
          <w:p w:rsidR="00A72732" w:rsidRPr="00A258F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Výnosy ZNHČ</w:t>
            </w:r>
          </w:p>
        </w:tc>
        <w:tc>
          <w:tcPr>
            <w:tcW w:w="794" w:type="dxa"/>
            <w:vAlign w:val="center"/>
          </w:tcPr>
          <w:p w:rsidR="00A72732" w:rsidRPr="00A258F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MŽP</w:t>
            </w:r>
          </w:p>
        </w:tc>
        <w:tc>
          <w:tcPr>
            <w:tcW w:w="1316" w:type="dxa"/>
            <w:vAlign w:val="center"/>
          </w:tcPr>
          <w:p w:rsidR="00A72732" w:rsidRPr="00A258F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OP ŽP</w:t>
            </w:r>
          </w:p>
        </w:tc>
        <w:tc>
          <w:tcPr>
            <w:tcW w:w="1531" w:type="dxa"/>
            <w:vAlign w:val="center"/>
          </w:tcPr>
          <w:p w:rsidR="00A72732" w:rsidRPr="00A258F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Celkem PKÚ</w:t>
            </w:r>
          </w:p>
        </w:tc>
        <w:tc>
          <w:tcPr>
            <w:tcW w:w="1361" w:type="dxa"/>
            <w:vAlign w:val="center"/>
          </w:tcPr>
          <w:p w:rsidR="00A72732" w:rsidRPr="00A258F2" w:rsidRDefault="00A72732" w:rsidP="0080342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sz w:val="18"/>
                <w:szCs w:val="18"/>
                <w:lang w:val="cs-CZ"/>
              </w:rPr>
              <w:t>MF</w:t>
            </w:r>
            <w:r w:rsidRPr="00A258F2">
              <w:rPr>
                <w:rFonts w:cs="Arial"/>
                <w:b/>
                <w:sz w:val="18"/>
                <w:szCs w:val="18"/>
                <w:vertAlign w:val="superscript"/>
                <w:lang w:val="cs-CZ"/>
              </w:rPr>
              <w:t>17</w:t>
            </w:r>
          </w:p>
        </w:tc>
      </w:tr>
      <w:tr w:rsidR="00A72732" w:rsidRPr="00A72732" w:rsidTr="00727CD4">
        <w:trPr>
          <w:trHeight w:val="227"/>
          <w:jc w:val="center"/>
        </w:trPr>
        <w:tc>
          <w:tcPr>
            <w:tcW w:w="850" w:type="dxa"/>
            <w:vAlign w:val="center"/>
          </w:tcPr>
          <w:p w:rsidR="00A72732" w:rsidRPr="00A7273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2010</w:t>
            </w:r>
          </w:p>
        </w:tc>
        <w:tc>
          <w:tcPr>
            <w:tcW w:w="1587" w:type="dxa"/>
            <w:vAlign w:val="center"/>
          </w:tcPr>
          <w:p w:rsidR="00A72732" w:rsidRPr="00A72732" w:rsidRDefault="00A72732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354 841</w:t>
            </w:r>
          </w:p>
        </w:tc>
        <w:tc>
          <w:tcPr>
            <w:tcW w:w="1587" w:type="dxa"/>
            <w:vAlign w:val="center"/>
          </w:tcPr>
          <w:p w:rsidR="00A72732" w:rsidRPr="00A72732" w:rsidRDefault="00A72732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262 688</w:t>
            </w:r>
          </w:p>
        </w:tc>
        <w:tc>
          <w:tcPr>
            <w:tcW w:w="794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945</w:t>
            </w:r>
          </w:p>
        </w:tc>
        <w:tc>
          <w:tcPr>
            <w:tcW w:w="1316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77 366</w:t>
            </w:r>
          </w:p>
        </w:tc>
        <w:tc>
          <w:tcPr>
            <w:tcW w:w="1531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695 840</w:t>
            </w:r>
          </w:p>
        </w:tc>
        <w:tc>
          <w:tcPr>
            <w:tcW w:w="1361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817 688</w:t>
            </w:r>
          </w:p>
        </w:tc>
      </w:tr>
      <w:tr w:rsidR="00A72732" w:rsidRPr="00A72732" w:rsidTr="00727CD4">
        <w:trPr>
          <w:trHeight w:val="227"/>
          <w:jc w:val="center"/>
        </w:trPr>
        <w:tc>
          <w:tcPr>
            <w:tcW w:w="850" w:type="dxa"/>
            <w:vAlign w:val="center"/>
          </w:tcPr>
          <w:p w:rsidR="00A72732" w:rsidRPr="00A7273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2011</w:t>
            </w:r>
          </w:p>
        </w:tc>
        <w:tc>
          <w:tcPr>
            <w:tcW w:w="1587" w:type="dxa"/>
            <w:vAlign w:val="center"/>
          </w:tcPr>
          <w:p w:rsidR="00A72732" w:rsidRPr="00A72732" w:rsidRDefault="00A72732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308 914</w:t>
            </w:r>
          </w:p>
        </w:tc>
        <w:tc>
          <w:tcPr>
            <w:tcW w:w="1587" w:type="dxa"/>
            <w:vAlign w:val="center"/>
          </w:tcPr>
          <w:p w:rsidR="00A72732" w:rsidRPr="00A72732" w:rsidRDefault="00A72732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356 064</w:t>
            </w:r>
          </w:p>
        </w:tc>
        <w:tc>
          <w:tcPr>
            <w:tcW w:w="794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633</w:t>
            </w:r>
          </w:p>
        </w:tc>
        <w:tc>
          <w:tcPr>
            <w:tcW w:w="1316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531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665 611</w:t>
            </w:r>
          </w:p>
        </w:tc>
        <w:tc>
          <w:tcPr>
            <w:tcW w:w="1361" w:type="dxa"/>
            <w:vAlign w:val="center"/>
          </w:tcPr>
          <w:p w:rsidR="00A72732" w:rsidRPr="00A72732" w:rsidRDefault="00A72732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1 035 027</w:t>
            </w:r>
          </w:p>
        </w:tc>
      </w:tr>
      <w:tr w:rsidR="00A72732" w:rsidRPr="00A72732" w:rsidTr="00727CD4">
        <w:trPr>
          <w:trHeight w:val="227"/>
          <w:jc w:val="center"/>
        </w:trPr>
        <w:tc>
          <w:tcPr>
            <w:tcW w:w="850" w:type="dxa"/>
            <w:vAlign w:val="center"/>
          </w:tcPr>
          <w:p w:rsidR="00A72732" w:rsidRPr="00A72732" w:rsidRDefault="00A72732" w:rsidP="00A7273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2012</w:t>
            </w:r>
          </w:p>
        </w:tc>
        <w:tc>
          <w:tcPr>
            <w:tcW w:w="1587" w:type="dxa"/>
            <w:vAlign w:val="center"/>
          </w:tcPr>
          <w:p w:rsidR="00A72732" w:rsidRPr="00A72732" w:rsidRDefault="00A72732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393 575</w:t>
            </w:r>
          </w:p>
        </w:tc>
        <w:tc>
          <w:tcPr>
            <w:tcW w:w="1587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99 878</w:t>
            </w:r>
          </w:p>
        </w:tc>
        <w:tc>
          <w:tcPr>
            <w:tcW w:w="794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497</w:t>
            </w:r>
          </w:p>
        </w:tc>
        <w:tc>
          <w:tcPr>
            <w:tcW w:w="1316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531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493 950</w:t>
            </w:r>
          </w:p>
        </w:tc>
        <w:tc>
          <w:tcPr>
            <w:tcW w:w="1361" w:type="dxa"/>
            <w:vAlign w:val="center"/>
          </w:tcPr>
          <w:p w:rsidR="00A72732" w:rsidRPr="00A72732" w:rsidRDefault="0080342C" w:rsidP="0080342C">
            <w:pPr>
              <w:autoSpaceDE w:val="0"/>
              <w:autoSpaceDN w:val="0"/>
              <w:adjustRightInd w:val="0"/>
              <w:spacing w:before="20" w:after="20"/>
              <w:ind w:right="63"/>
              <w:jc w:val="righ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880 116</w:t>
            </w:r>
          </w:p>
        </w:tc>
      </w:tr>
    </w:tbl>
    <w:p w:rsidR="00237702" w:rsidRPr="006967DA" w:rsidRDefault="00237702" w:rsidP="0080342C">
      <w:pPr>
        <w:autoSpaceDE w:val="0"/>
        <w:autoSpaceDN w:val="0"/>
        <w:adjustRightInd w:val="0"/>
        <w:spacing w:before="40"/>
        <w:rPr>
          <w:rFonts w:eastAsiaTheme="minorHAnsi" w:cs="Arial"/>
          <w:sz w:val="18"/>
          <w:szCs w:val="18"/>
          <w:lang w:val="cs-CZ"/>
        </w:rPr>
      </w:pPr>
      <w:r w:rsidRPr="006967DA">
        <w:rPr>
          <w:rFonts w:cs="Arial"/>
          <w:b/>
          <w:sz w:val="18"/>
          <w:szCs w:val="18"/>
          <w:lang w:val="cs-CZ"/>
        </w:rPr>
        <w:t>Zdroj:</w:t>
      </w:r>
      <w:r w:rsidRPr="006967DA">
        <w:rPr>
          <w:rFonts w:cs="Arial"/>
          <w:sz w:val="18"/>
          <w:szCs w:val="18"/>
          <w:lang w:val="cs-CZ"/>
        </w:rPr>
        <w:t xml:space="preserve"> </w:t>
      </w:r>
      <w:r w:rsidR="00A72732">
        <w:rPr>
          <w:rFonts w:cs="Arial"/>
          <w:sz w:val="18"/>
          <w:szCs w:val="18"/>
          <w:lang w:val="cs-CZ"/>
        </w:rPr>
        <w:t>ú</w:t>
      </w:r>
      <w:r w:rsidRPr="006967DA">
        <w:rPr>
          <w:rFonts w:cs="Arial"/>
          <w:sz w:val="18"/>
          <w:szCs w:val="18"/>
          <w:lang w:val="cs-CZ"/>
        </w:rPr>
        <w:t>četní evidence PKÚ</w:t>
      </w:r>
      <w:r w:rsidR="00FE4427" w:rsidRPr="006967DA">
        <w:rPr>
          <w:rFonts w:cs="Arial"/>
          <w:sz w:val="18"/>
          <w:szCs w:val="18"/>
          <w:lang w:val="cs-CZ"/>
        </w:rPr>
        <w:t xml:space="preserve"> a operativní evidence akcí hrazených z prostředků MF</w:t>
      </w:r>
      <w:r w:rsidR="0089247A" w:rsidRPr="006967DA">
        <w:rPr>
          <w:rFonts w:cs="Arial"/>
          <w:sz w:val="18"/>
          <w:szCs w:val="18"/>
          <w:lang w:val="cs-CZ"/>
        </w:rPr>
        <w:t>.</w:t>
      </w:r>
      <w:r w:rsidRPr="006967DA">
        <w:rPr>
          <w:rFonts w:eastAsiaTheme="minorHAnsi" w:cs="Arial"/>
          <w:sz w:val="18"/>
          <w:szCs w:val="18"/>
          <w:lang w:val="cs-CZ"/>
        </w:rPr>
        <w:t xml:space="preserve"> </w:t>
      </w:r>
    </w:p>
    <w:p w:rsidR="000D4019" w:rsidRPr="006967DA" w:rsidRDefault="000D4019" w:rsidP="000D4019">
      <w:pPr>
        <w:autoSpaceDE w:val="0"/>
        <w:autoSpaceDN w:val="0"/>
        <w:adjustRightInd w:val="0"/>
        <w:rPr>
          <w:rFonts w:eastAsiaTheme="minorHAnsi" w:cs="Arial"/>
          <w:szCs w:val="22"/>
          <w:lang w:val="cs-CZ"/>
        </w:rPr>
      </w:pPr>
    </w:p>
    <w:p w:rsidR="0001740F" w:rsidRPr="006967DA" w:rsidRDefault="0001740F" w:rsidP="004D6BAA">
      <w:pPr>
        <w:tabs>
          <w:tab w:val="left" w:pos="7938"/>
        </w:tabs>
        <w:spacing w:after="40"/>
        <w:rPr>
          <w:rFonts w:eastAsiaTheme="minorHAnsi" w:cs="Arial"/>
          <w:b/>
          <w:szCs w:val="22"/>
          <w:lang w:val="cs-CZ"/>
        </w:rPr>
      </w:pPr>
      <w:r w:rsidRPr="006967DA">
        <w:rPr>
          <w:rFonts w:eastAsiaTheme="minorHAnsi" w:cs="Arial"/>
          <w:b/>
          <w:szCs w:val="22"/>
          <w:lang w:val="cs-CZ"/>
        </w:rPr>
        <w:t>Tabulka č. 2 – Přehled čerpání finančních prostředků dle činností</w:t>
      </w:r>
      <w:r w:rsidR="00D86D6E" w:rsidRPr="006967DA">
        <w:rPr>
          <w:rFonts w:eastAsiaTheme="minorHAnsi" w:cs="Arial"/>
          <w:b/>
          <w:szCs w:val="22"/>
          <w:lang w:val="cs-CZ"/>
        </w:rPr>
        <w:tab/>
      </w:r>
      <w:r w:rsidRPr="00A258F2">
        <w:rPr>
          <w:rFonts w:eastAsiaTheme="minorHAnsi" w:cs="Arial"/>
          <w:b/>
          <w:szCs w:val="22"/>
          <w:lang w:val="cs-CZ"/>
        </w:rPr>
        <w:t>(v tis. Kč)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1417"/>
        <w:gridCol w:w="1417"/>
        <w:gridCol w:w="1417"/>
      </w:tblGrid>
      <w:tr w:rsidR="0080342C" w:rsidRPr="0080342C" w:rsidTr="0080342C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A258F2" w:rsidRDefault="0080342C" w:rsidP="0080342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vAlign w:val="center"/>
          </w:tcPr>
          <w:p w:rsidR="0080342C" w:rsidRPr="00A258F2" w:rsidRDefault="0080342C" w:rsidP="0080342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  <w:t>Rok 2010</w:t>
            </w:r>
          </w:p>
        </w:tc>
        <w:tc>
          <w:tcPr>
            <w:tcW w:w="1417" w:type="dxa"/>
            <w:vAlign w:val="center"/>
          </w:tcPr>
          <w:p w:rsidR="0080342C" w:rsidRPr="00A258F2" w:rsidRDefault="0080342C" w:rsidP="0080342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  <w:t>Rok 2011</w:t>
            </w:r>
          </w:p>
        </w:tc>
        <w:tc>
          <w:tcPr>
            <w:tcW w:w="1417" w:type="dxa"/>
            <w:vAlign w:val="center"/>
          </w:tcPr>
          <w:p w:rsidR="0080342C" w:rsidRPr="00A258F2" w:rsidRDefault="0080342C" w:rsidP="0080342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</w:pPr>
            <w:r w:rsidRPr="00A258F2">
              <w:rPr>
                <w:rFonts w:cs="Arial"/>
                <w:b/>
                <w:color w:val="000000" w:themeColor="text1"/>
                <w:sz w:val="18"/>
                <w:szCs w:val="18"/>
                <w:lang w:val="cs-CZ"/>
              </w:rPr>
              <w:t>Rok 2012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342C" w:rsidRDefault="0080342C" w:rsidP="0080342C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Likvidační práce</w:t>
            </w:r>
          </w:p>
        </w:tc>
        <w:tc>
          <w:tcPr>
            <w:tcW w:w="1417" w:type="dxa"/>
            <w:vAlign w:val="center"/>
          </w:tcPr>
          <w:p w:rsidR="0080342C" w:rsidRPr="0080342C" w:rsidRDefault="00D77EB3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405 876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415 630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355 125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342C" w:rsidRDefault="0080342C" w:rsidP="0080342C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Sanační a rekultivační práce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200 159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172 668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77 497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342C" w:rsidRDefault="0080342C" w:rsidP="0080288F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Mandatorní sociálně zdravotní náklady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86 305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75 186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59 738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342C" w:rsidRDefault="0080342C" w:rsidP="0080342C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Sociálně zdravotní náklady spojené s útlumem</w:t>
            </w:r>
            <w:r w:rsidR="006C397A"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 xml:space="preserve"> těžby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2 554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1 494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1 093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288F" w:rsidRDefault="0080342C" w:rsidP="0080342C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vertAlign w:val="superscript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Výplaty pro bývalé zaměstnance v</w:t>
            </w:r>
            <w:r w:rsidR="0080288F"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 </w:t>
            </w: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hornictví</w:t>
            </w:r>
            <w:r w:rsidR="0080288F">
              <w:rPr>
                <w:rFonts w:cs="Arial"/>
                <w:color w:val="000000" w:themeColor="text1"/>
                <w:sz w:val="18"/>
                <w:szCs w:val="18"/>
                <w:vertAlign w:val="superscript"/>
                <w:lang w:val="cs-CZ"/>
              </w:rPr>
              <w:t>18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946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633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497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342C" w:rsidRDefault="0080342C" w:rsidP="0080342C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Celkem PKÚ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695 840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665 611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493 950</w:t>
            </w:r>
          </w:p>
        </w:tc>
      </w:tr>
      <w:tr w:rsidR="0080342C" w:rsidRPr="0080342C" w:rsidTr="00D77EB3">
        <w:trPr>
          <w:trHeight w:val="227"/>
          <w:jc w:val="center"/>
        </w:trPr>
        <w:tc>
          <w:tcPr>
            <w:tcW w:w="4762" w:type="dxa"/>
            <w:vAlign w:val="center"/>
          </w:tcPr>
          <w:p w:rsidR="0080342C" w:rsidRPr="0080342C" w:rsidRDefault="0080342C" w:rsidP="006C397A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Sanační a rekultivační práce (MF)</w:t>
            </w:r>
            <w:r w:rsidRPr="0080342C">
              <w:rPr>
                <w:rFonts w:cs="Arial"/>
                <w:color w:val="000000" w:themeColor="text1"/>
                <w:sz w:val="18"/>
                <w:szCs w:val="18"/>
                <w:vertAlign w:val="superscript"/>
                <w:lang w:val="cs-CZ"/>
              </w:rPr>
              <w:t>17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817 688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1 035 027</w:t>
            </w:r>
          </w:p>
        </w:tc>
        <w:tc>
          <w:tcPr>
            <w:tcW w:w="1417" w:type="dxa"/>
            <w:vAlign w:val="center"/>
          </w:tcPr>
          <w:p w:rsidR="0080342C" w:rsidRPr="0080342C" w:rsidRDefault="00727CD4" w:rsidP="00D77EB3">
            <w:pPr>
              <w:autoSpaceDE w:val="0"/>
              <w:autoSpaceDN w:val="0"/>
              <w:adjustRightInd w:val="0"/>
              <w:spacing w:before="20" w:after="20"/>
              <w:ind w:right="146"/>
              <w:jc w:val="right"/>
              <w:rPr>
                <w:rFonts w:cs="Arial"/>
                <w:color w:val="000000" w:themeColor="text1"/>
                <w:sz w:val="18"/>
                <w:szCs w:val="18"/>
                <w:lang w:val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cs-CZ"/>
              </w:rPr>
              <w:t>880 116</w:t>
            </w:r>
          </w:p>
        </w:tc>
      </w:tr>
    </w:tbl>
    <w:p w:rsidR="00411049" w:rsidRPr="006967DA" w:rsidRDefault="0001740F" w:rsidP="00D77EB3">
      <w:pPr>
        <w:autoSpaceDE w:val="0"/>
        <w:autoSpaceDN w:val="0"/>
        <w:adjustRightInd w:val="0"/>
        <w:spacing w:before="40"/>
        <w:rPr>
          <w:rFonts w:eastAsiaTheme="minorHAnsi" w:cs="Arial"/>
          <w:color w:val="000000" w:themeColor="text1"/>
          <w:sz w:val="18"/>
          <w:szCs w:val="18"/>
          <w:lang w:val="cs-CZ"/>
        </w:rPr>
      </w:pPr>
      <w:r w:rsidRPr="006967DA">
        <w:rPr>
          <w:rFonts w:cs="Arial"/>
          <w:b/>
          <w:color w:val="000000" w:themeColor="text1"/>
          <w:sz w:val="18"/>
          <w:szCs w:val="18"/>
          <w:lang w:val="cs-CZ"/>
        </w:rPr>
        <w:t>Zdroj:</w:t>
      </w:r>
      <w:r w:rsidRPr="006967DA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A72732">
        <w:rPr>
          <w:rFonts w:cs="Arial"/>
          <w:color w:val="000000" w:themeColor="text1"/>
          <w:sz w:val="18"/>
          <w:szCs w:val="18"/>
          <w:lang w:val="cs-CZ"/>
        </w:rPr>
        <w:t>ú</w:t>
      </w:r>
      <w:r w:rsidRPr="006967DA">
        <w:rPr>
          <w:rFonts w:cs="Arial"/>
          <w:color w:val="000000" w:themeColor="text1"/>
          <w:sz w:val="18"/>
          <w:szCs w:val="18"/>
          <w:lang w:val="cs-CZ"/>
        </w:rPr>
        <w:t>četní evidence PKÚ a operativní evidence akcí hrazených z prostředků MF.</w:t>
      </w:r>
    </w:p>
    <w:p w:rsidR="00D86D6E" w:rsidRPr="006967DA" w:rsidRDefault="00D86D6E" w:rsidP="00D86D6E">
      <w:pPr>
        <w:rPr>
          <w:color w:val="000000" w:themeColor="text1"/>
          <w:szCs w:val="22"/>
          <w:lang w:val="cs-CZ"/>
        </w:rPr>
      </w:pPr>
    </w:p>
    <w:p w:rsidR="00F6154C" w:rsidRPr="006967DA" w:rsidRDefault="00D86D6E" w:rsidP="00D86D6E">
      <w:pPr>
        <w:rPr>
          <w:b/>
          <w:lang w:val="cs-CZ"/>
        </w:rPr>
      </w:pPr>
      <w:r w:rsidRPr="006967DA">
        <w:rPr>
          <w:b/>
          <w:lang w:val="cs-CZ"/>
        </w:rPr>
        <w:t xml:space="preserve">2.1 </w:t>
      </w:r>
      <w:r w:rsidR="00F6154C" w:rsidRPr="006967DA">
        <w:rPr>
          <w:b/>
          <w:lang w:val="cs-CZ"/>
        </w:rPr>
        <w:t>Hospodaření s majetkem státu</w:t>
      </w:r>
    </w:p>
    <w:p w:rsidR="00D86D6E" w:rsidRPr="006967DA" w:rsidRDefault="00D86D6E" w:rsidP="00D86D6E">
      <w:pPr>
        <w:rPr>
          <w:rFonts w:eastAsiaTheme="minorHAnsi" w:cs="Arial"/>
          <w:szCs w:val="22"/>
          <w:lang w:val="cs-CZ"/>
        </w:rPr>
      </w:pPr>
    </w:p>
    <w:p w:rsidR="0042798A" w:rsidRPr="006967DA" w:rsidRDefault="00F6154C" w:rsidP="00D86D6E">
      <w:pPr>
        <w:rPr>
          <w:rFonts w:cs="Arial"/>
          <w:szCs w:val="22"/>
          <w:lang w:val="cs-CZ" w:eastAsia="cs-CZ"/>
        </w:rPr>
      </w:pPr>
      <w:r w:rsidRPr="006967DA">
        <w:rPr>
          <w:rFonts w:eastAsiaTheme="minorHAnsi" w:cs="Arial"/>
          <w:szCs w:val="22"/>
          <w:lang w:val="cs-CZ"/>
        </w:rPr>
        <w:t>Celková hodnota aktiv</w:t>
      </w:r>
      <w:r w:rsidR="00AB32A0" w:rsidRPr="006967DA">
        <w:rPr>
          <w:rFonts w:eastAsiaTheme="minorHAnsi" w:cs="Arial"/>
          <w:szCs w:val="22"/>
          <w:lang w:val="cs-CZ"/>
        </w:rPr>
        <w:t>,</w:t>
      </w:r>
      <w:r w:rsidRPr="006967DA">
        <w:rPr>
          <w:rFonts w:eastAsiaTheme="minorHAnsi" w:cs="Arial"/>
          <w:szCs w:val="22"/>
          <w:lang w:val="cs-CZ"/>
        </w:rPr>
        <w:t xml:space="preserve"> </w:t>
      </w:r>
      <w:r w:rsidR="00AB32A0" w:rsidRPr="006967DA">
        <w:rPr>
          <w:rFonts w:eastAsiaTheme="minorHAnsi" w:cs="Arial"/>
          <w:szCs w:val="22"/>
          <w:lang w:val="cs-CZ"/>
        </w:rPr>
        <w:t>r</w:t>
      </w:r>
      <w:r w:rsidR="0042798A" w:rsidRPr="006967DA">
        <w:rPr>
          <w:rFonts w:cs="Arial"/>
          <w:szCs w:val="22"/>
          <w:lang w:val="cs-CZ" w:eastAsia="cs-CZ"/>
        </w:rPr>
        <w:t xml:space="preserve">ozpis jednotlivých položek aktiv uvedených </w:t>
      </w:r>
      <w:r w:rsidR="00F95F05">
        <w:rPr>
          <w:rFonts w:cs="Arial"/>
          <w:szCs w:val="22"/>
          <w:lang w:val="cs-CZ" w:eastAsia="cs-CZ"/>
        </w:rPr>
        <w:t>ve výkazu rozvaha</w:t>
      </w:r>
      <w:r w:rsidR="0042798A" w:rsidRPr="006967DA">
        <w:rPr>
          <w:rFonts w:cs="Arial"/>
          <w:szCs w:val="22"/>
          <w:lang w:val="cs-CZ" w:eastAsia="cs-CZ"/>
        </w:rPr>
        <w:t xml:space="preserve"> </w:t>
      </w:r>
      <w:r w:rsidR="0042798A" w:rsidRPr="006967DA">
        <w:rPr>
          <w:rFonts w:cs="Arial"/>
          <w:szCs w:val="22"/>
          <w:lang w:val="cs-CZ"/>
        </w:rPr>
        <w:t>PKÚ</w:t>
      </w:r>
      <w:r w:rsidR="0042798A" w:rsidRPr="006967DA">
        <w:rPr>
          <w:rFonts w:cs="Arial"/>
          <w:szCs w:val="22"/>
          <w:lang w:val="cs-CZ" w:eastAsia="cs-CZ"/>
        </w:rPr>
        <w:t xml:space="preserve"> </w:t>
      </w:r>
      <w:r w:rsidR="00330D7C" w:rsidRPr="006967DA">
        <w:rPr>
          <w:rFonts w:eastAsiaTheme="minorHAnsi" w:cs="Arial"/>
          <w:szCs w:val="22"/>
          <w:lang w:val="cs-CZ"/>
        </w:rPr>
        <w:t>a </w:t>
      </w:r>
      <w:r w:rsidR="00AB32A0" w:rsidRPr="006967DA">
        <w:rPr>
          <w:rFonts w:eastAsiaTheme="minorHAnsi" w:cs="Arial"/>
          <w:szCs w:val="22"/>
          <w:lang w:val="cs-CZ"/>
        </w:rPr>
        <w:t>hodnota majetku vedeného na podrozvahových účtech</w:t>
      </w:r>
      <w:r w:rsidR="00AB32A0" w:rsidRPr="006967DA">
        <w:rPr>
          <w:rFonts w:cs="Arial"/>
          <w:szCs w:val="22"/>
          <w:lang w:val="cs-CZ" w:eastAsia="cs-CZ"/>
        </w:rPr>
        <w:t xml:space="preserve"> </w:t>
      </w:r>
      <w:r w:rsidR="0042798A" w:rsidRPr="006967DA">
        <w:rPr>
          <w:rFonts w:cs="Arial"/>
          <w:szCs w:val="22"/>
          <w:lang w:val="cs-CZ" w:eastAsia="cs-CZ"/>
        </w:rPr>
        <w:t>j</w:t>
      </w:r>
      <w:r w:rsidR="00AB32A0" w:rsidRPr="006967DA">
        <w:rPr>
          <w:rFonts w:cs="Arial"/>
          <w:szCs w:val="22"/>
          <w:lang w:val="cs-CZ" w:eastAsia="cs-CZ"/>
        </w:rPr>
        <w:t>sou</w:t>
      </w:r>
      <w:r w:rsidR="0042798A" w:rsidRPr="006967DA">
        <w:rPr>
          <w:rFonts w:cs="Arial"/>
          <w:szCs w:val="22"/>
          <w:lang w:val="cs-CZ" w:eastAsia="cs-CZ"/>
        </w:rPr>
        <w:t xml:space="preserve"> uveden</w:t>
      </w:r>
      <w:r w:rsidR="00AB32A0" w:rsidRPr="006967DA">
        <w:rPr>
          <w:rFonts w:cs="Arial"/>
          <w:szCs w:val="22"/>
          <w:lang w:val="cs-CZ" w:eastAsia="cs-CZ"/>
        </w:rPr>
        <w:t>y</w:t>
      </w:r>
      <w:r w:rsidR="0042798A" w:rsidRPr="006967DA">
        <w:rPr>
          <w:rFonts w:cs="Arial"/>
          <w:szCs w:val="22"/>
          <w:lang w:val="cs-CZ" w:eastAsia="cs-CZ"/>
        </w:rPr>
        <w:t xml:space="preserve"> v </w:t>
      </w:r>
      <w:r w:rsidR="00F95F05">
        <w:rPr>
          <w:rFonts w:cs="Arial"/>
          <w:szCs w:val="22"/>
          <w:lang w:val="cs-CZ" w:eastAsia="cs-CZ"/>
        </w:rPr>
        <w:t>t</w:t>
      </w:r>
      <w:r w:rsidR="0042798A" w:rsidRPr="006967DA">
        <w:rPr>
          <w:rFonts w:cs="Arial"/>
          <w:szCs w:val="22"/>
          <w:lang w:val="cs-CZ" w:eastAsia="cs-CZ"/>
        </w:rPr>
        <w:t xml:space="preserve">abulce č. </w:t>
      </w:r>
      <w:r w:rsidR="0001740F" w:rsidRPr="006967DA">
        <w:rPr>
          <w:rFonts w:cs="Arial"/>
          <w:szCs w:val="22"/>
          <w:lang w:val="cs-CZ" w:eastAsia="cs-CZ"/>
        </w:rPr>
        <w:t>3</w:t>
      </w:r>
      <w:r w:rsidR="0042798A" w:rsidRPr="006967DA">
        <w:rPr>
          <w:rFonts w:cs="Arial"/>
          <w:szCs w:val="22"/>
          <w:lang w:val="cs-CZ" w:eastAsia="cs-CZ"/>
        </w:rPr>
        <w:t>.</w:t>
      </w:r>
    </w:p>
    <w:p w:rsidR="00D86D6E" w:rsidRPr="006967DA" w:rsidRDefault="00D86D6E" w:rsidP="00D86D6E">
      <w:pPr>
        <w:rPr>
          <w:rFonts w:cs="Arial"/>
          <w:bCs/>
          <w:szCs w:val="22"/>
          <w:lang w:val="cs-CZ" w:eastAsia="cs-CZ"/>
        </w:rPr>
      </w:pPr>
    </w:p>
    <w:p w:rsidR="0042798A" w:rsidRPr="006967DA" w:rsidRDefault="0042798A" w:rsidP="00183E48">
      <w:pPr>
        <w:tabs>
          <w:tab w:val="left" w:pos="7938"/>
        </w:tabs>
        <w:spacing w:after="40"/>
        <w:ind w:left="1559" w:hanging="1559"/>
        <w:rPr>
          <w:b/>
          <w:lang w:val="cs-CZ"/>
        </w:rPr>
      </w:pPr>
      <w:r w:rsidRPr="006967DA">
        <w:rPr>
          <w:b/>
          <w:lang w:val="cs-CZ"/>
        </w:rPr>
        <w:t xml:space="preserve">Tabulka č. </w:t>
      </w:r>
      <w:r w:rsidR="0001740F" w:rsidRPr="006967DA">
        <w:rPr>
          <w:b/>
          <w:lang w:val="cs-CZ"/>
        </w:rPr>
        <w:t>3</w:t>
      </w:r>
      <w:r w:rsidR="00330D7C" w:rsidRPr="006967DA">
        <w:rPr>
          <w:b/>
          <w:lang w:val="cs-CZ"/>
        </w:rPr>
        <w:t> </w:t>
      </w:r>
      <w:r w:rsidR="00EB4AF2" w:rsidRPr="006967DA">
        <w:rPr>
          <w:b/>
          <w:lang w:val="cs-CZ"/>
        </w:rPr>
        <w:t>–</w:t>
      </w:r>
      <w:r w:rsidR="00DC5FCA" w:rsidRPr="006967DA">
        <w:rPr>
          <w:b/>
          <w:lang w:val="cs-CZ"/>
        </w:rPr>
        <w:t xml:space="preserve"> </w:t>
      </w:r>
      <w:r w:rsidR="00D86D6E" w:rsidRPr="006967DA">
        <w:rPr>
          <w:b/>
          <w:lang w:val="cs-CZ"/>
        </w:rPr>
        <w:tab/>
      </w:r>
      <w:r w:rsidR="00DC5FCA" w:rsidRPr="006967DA">
        <w:rPr>
          <w:b/>
          <w:lang w:val="cs-CZ"/>
        </w:rPr>
        <w:t>Přehled vybraných položek aktiv</w:t>
      </w:r>
      <w:r w:rsidR="00AB32A0" w:rsidRPr="006967DA">
        <w:rPr>
          <w:b/>
          <w:lang w:val="cs-CZ"/>
        </w:rPr>
        <w:t xml:space="preserve"> a majetek vedený na podrozvahových účtech</w:t>
      </w:r>
      <w:r w:rsidR="00183E48" w:rsidRPr="006967DA">
        <w:rPr>
          <w:b/>
          <w:lang w:val="cs-CZ"/>
        </w:rPr>
        <w:tab/>
      </w:r>
      <w:r w:rsidR="00A63DAF" w:rsidRPr="006967DA">
        <w:rPr>
          <w:b/>
          <w:lang w:val="cs-CZ"/>
        </w:rPr>
        <w:t>(</w:t>
      </w:r>
      <w:r w:rsidRPr="006967DA">
        <w:rPr>
          <w:b/>
          <w:lang w:val="cs-CZ"/>
        </w:rPr>
        <w:t>v tis. Kč</w:t>
      </w:r>
      <w:r w:rsidR="00A63DAF" w:rsidRPr="006967DA">
        <w:rPr>
          <w:b/>
          <w:lang w:val="cs-CZ"/>
        </w:rPr>
        <w:t>)</w:t>
      </w:r>
    </w:p>
    <w:tbl>
      <w:tblPr>
        <w:tblStyle w:val="Mkatabulky"/>
        <w:tblW w:w="9048" w:type="dxa"/>
        <w:jc w:val="center"/>
        <w:tblLook w:val="04A0" w:firstRow="1" w:lastRow="0" w:firstColumn="1" w:lastColumn="0" w:noHBand="0" w:noVBand="1"/>
      </w:tblPr>
      <w:tblGrid>
        <w:gridCol w:w="3402"/>
        <w:gridCol w:w="941"/>
        <w:gridCol w:w="941"/>
        <w:gridCol w:w="941"/>
        <w:gridCol w:w="941"/>
        <w:gridCol w:w="941"/>
        <w:gridCol w:w="941"/>
      </w:tblGrid>
      <w:tr w:rsidR="00560594" w:rsidRPr="00617B06" w:rsidTr="00C65166">
        <w:trPr>
          <w:trHeight w:val="227"/>
          <w:jc w:val="center"/>
        </w:trPr>
        <w:tc>
          <w:tcPr>
            <w:tcW w:w="3402" w:type="dxa"/>
            <w:vMerge w:val="restart"/>
            <w:vAlign w:val="center"/>
          </w:tcPr>
          <w:p w:rsidR="00560594" w:rsidRPr="00617B06" w:rsidRDefault="00560594" w:rsidP="00560594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gridSpan w:val="6"/>
            <w:vAlign w:val="center"/>
          </w:tcPr>
          <w:p w:rsidR="00560594" w:rsidRPr="00617B06" w:rsidRDefault="00560594" w:rsidP="00736027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Účetní stav</w:t>
            </w:r>
          </w:p>
        </w:tc>
      </w:tr>
      <w:tr w:rsidR="00560594" w:rsidRPr="00617B06" w:rsidTr="00C65166">
        <w:trPr>
          <w:trHeight w:val="227"/>
          <w:jc w:val="center"/>
        </w:trPr>
        <w:tc>
          <w:tcPr>
            <w:tcW w:w="3402" w:type="dxa"/>
            <w:vMerge/>
            <w:vAlign w:val="center"/>
          </w:tcPr>
          <w:p w:rsidR="00560594" w:rsidRPr="00617B06" w:rsidRDefault="00560594" w:rsidP="00F95F05">
            <w:pPr>
              <w:spacing w:before="20" w:after="20"/>
              <w:jc w:val="left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60594" w:rsidRPr="00617B06" w:rsidRDefault="00560594" w:rsidP="00736027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ke dni 31.</w:t>
            </w:r>
            <w:r w:rsidR="00DB3983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 </w:t>
            </w: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12.</w:t>
            </w:r>
            <w:r w:rsidR="00DB3983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 </w:t>
            </w: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2010</w:t>
            </w:r>
          </w:p>
        </w:tc>
        <w:tc>
          <w:tcPr>
            <w:tcW w:w="0" w:type="auto"/>
            <w:gridSpan w:val="2"/>
            <w:vAlign w:val="center"/>
          </w:tcPr>
          <w:p w:rsidR="00560594" w:rsidRPr="00617B06" w:rsidRDefault="00560594" w:rsidP="00736027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ke dni 31.</w:t>
            </w:r>
            <w:r w:rsidR="00DB3983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 </w:t>
            </w: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12.</w:t>
            </w:r>
            <w:r w:rsidR="00DB3983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 </w:t>
            </w:r>
            <w:r w:rsidR="005B346B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2011</w:t>
            </w:r>
          </w:p>
        </w:tc>
        <w:tc>
          <w:tcPr>
            <w:tcW w:w="0" w:type="auto"/>
            <w:gridSpan w:val="2"/>
            <w:vAlign w:val="center"/>
          </w:tcPr>
          <w:p w:rsidR="00560594" w:rsidRPr="00617B06" w:rsidRDefault="00560594" w:rsidP="00736027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ke dni 31.</w:t>
            </w:r>
            <w:r w:rsidR="00DB3983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 </w:t>
            </w: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12.</w:t>
            </w:r>
            <w:r w:rsidR="00DB3983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 </w:t>
            </w:r>
            <w:r w:rsidR="005B346B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2012</w:t>
            </w:r>
          </w:p>
        </w:tc>
      </w:tr>
      <w:tr w:rsidR="00617B06" w:rsidRPr="00617B06" w:rsidTr="00C65166">
        <w:trPr>
          <w:trHeight w:val="227"/>
          <w:jc w:val="center"/>
        </w:trPr>
        <w:tc>
          <w:tcPr>
            <w:tcW w:w="3402" w:type="dxa"/>
            <w:vMerge/>
            <w:vAlign w:val="center"/>
          </w:tcPr>
          <w:p w:rsidR="00617B06" w:rsidRPr="00617B06" w:rsidRDefault="00617B06" w:rsidP="00F95F05">
            <w:pPr>
              <w:spacing w:before="20" w:after="20"/>
              <w:jc w:val="left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617B06" w:rsidRPr="00617B06" w:rsidRDefault="00DB3983" w:rsidP="00F95F05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b</w:t>
            </w:r>
            <w:r w:rsidR="00617B06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rutto</w:t>
            </w:r>
          </w:p>
        </w:tc>
        <w:tc>
          <w:tcPr>
            <w:tcW w:w="0" w:type="auto"/>
            <w:vAlign w:val="center"/>
          </w:tcPr>
          <w:p w:rsidR="00617B06" w:rsidRPr="00617B06" w:rsidRDefault="00DB3983" w:rsidP="00F95F05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n</w:t>
            </w:r>
            <w:r w:rsidR="00617B06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etto</w:t>
            </w:r>
          </w:p>
        </w:tc>
        <w:tc>
          <w:tcPr>
            <w:tcW w:w="0" w:type="auto"/>
            <w:vAlign w:val="center"/>
          </w:tcPr>
          <w:p w:rsidR="00617B06" w:rsidRPr="00617B06" w:rsidRDefault="00DB3983" w:rsidP="00F95F05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b</w:t>
            </w:r>
            <w:r w:rsidR="00617B06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rutto</w:t>
            </w:r>
          </w:p>
        </w:tc>
        <w:tc>
          <w:tcPr>
            <w:tcW w:w="0" w:type="auto"/>
            <w:vAlign w:val="center"/>
          </w:tcPr>
          <w:p w:rsidR="00617B06" w:rsidRPr="00617B06" w:rsidRDefault="00DB3983" w:rsidP="00F95F05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n</w:t>
            </w:r>
            <w:r w:rsidR="00617B06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etto</w:t>
            </w:r>
          </w:p>
        </w:tc>
        <w:tc>
          <w:tcPr>
            <w:tcW w:w="0" w:type="auto"/>
            <w:vAlign w:val="center"/>
          </w:tcPr>
          <w:p w:rsidR="00617B06" w:rsidRPr="00617B06" w:rsidRDefault="00DB3983" w:rsidP="00F95F05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b</w:t>
            </w:r>
            <w:r w:rsidR="00617B06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rutto</w:t>
            </w:r>
          </w:p>
        </w:tc>
        <w:tc>
          <w:tcPr>
            <w:tcW w:w="0" w:type="auto"/>
            <w:vAlign w:val="center"/>
          </w:tcPr>
          <w:p w:rsidR="00617B06" w:rsidRPr="00617B06" w:rsidRDefault="00DB3983" w:rsidP="00F95F05">
            <w:pPr>
              <w:spacing w:before="20" w:after="20"/>
              <w:jc w:val="center"/>
              <w:rPr>
                <w:rFonts w:cs="Arial"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n</w:t>
            </w:r>
            <w:r w:rsidR="00617B06">
              <w:rPr>
                <w:rFonts w:cs="Arial"/>
                <w:color w:val="000000" w:themeColor="text1"/>
                <w:sz w:val="15"/>
                <w:szCs w:val="15"/>
                <w:lang w:val="cs-CZ"/>
              </w:rPr>
              <w:t>etto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AKTIVA CELKEM</w:t>
            </w:r>
          </w:p>
        </w:tc>
        <w:tc>
          <w:tcPr>
            <w:tcW w:w="0" w:type="auto"/>
            <w:vAlign w:val="center"/>
          </w:tcPr>
          <w:p w:rsidR="00F95F05" w:rsidRPr="00617B06" w:rsidRDefault="00617B0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 w:rsidRPr="00617B06"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1 969 713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1 315 451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1 930 184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1 330 479</w:t>
            </w:r>
          </w:p>
        </w:tc>
        <w:tc>
          <w:tcPr>
            <w:tcW w:w="0" w:type="auto"/>
            <w:vAlign w:val="center"/>
          </w:tcPr>
          <w:p w:rsidR="00F95F05" w:rsidRPr="00617B06" w:rsidRDefault="00736027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2 009 310</w:t>
            </w:r>
          </w:p>
        </w:tc>
        <w:tc>
          <w:tcPr>
            <w:tcW w:w="0" w:type="auto"/>
            <w:vAlign w:val="center"/>
          </w:tcPr>
          <w:p w:rsidR="00F95F05" w:rsidRPr="00617B06" w:rsidRDefault="00C6516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1 421 041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Dlouhodobý nehmotný majetek</w:t>
            </w:r>
          </w:p>
        </w:tc>
        <w:tc>
          <w:tcPr>
            <w:tcW w:w="0" w:type="auto"/>
            <w:vAlign w:val="center"/>
          </w:tcPr>
          <w:p w:rsidR="00F95F05" w:rsidRPr="00617B06" w:rsidRDefault="00EF6379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3 352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240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5 351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2 124</w:t>
            </w:r>
          </w:p>
        </w:tc>
        <w:tc>
          <w:tcPr>
            <w:tcW w:w="0" w:type="auto"/>
            <w:vAlign w:val="center"/>
          </w:tcPr>
          <w:p w:rsidR="00F95F05" w:rsidRPr="00617B06" w:rsidRDefault="00736027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5 450</w:t>
            </w:r>
          </w:p>
        </w:tc>
        <w:tc>
          <w:tcPr>
            <w:tcW w:w="0" w:type="auto"/>
            <w:vAlign w:val="center"/>
          </w:tcPr>
          <w:p w:rsidR="00F95F05" w:rsidRPr="00617B06" w:rsidRDefault="00C6516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1 327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Dlouhodobý hmotný majetek</w:t>
            </w:r>
          </w:p>
        </w:tc>
        <w:tc>
          <w:tcPr>
            <w:tcW w:w="0" w:type="auto"/>
            <w:vAlign w:val="center"/>
          </w:tcPr>
          <w:p w:rsidR="00F95F05" w:rsidRPr="00617B06" w:rsidRDefault="00EF6379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1 180 976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545 364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1 136 710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554 865</w:t>
            </w:r>
          </w:p>
        </w:tc>
        <w:tc>
          <w:tcPr>
            <w:tcW w:w="0" w:type="auto"/>
            <w:vAlign w:val="center"/>
          </w:tcPr>
          <w:p w:rsidR="00F95F05" w:rsidRPr="00617B06" w:rsidRDefault="00736027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1 105 205</w:t>
            </w:r>
          </w:p>
        </w:tc>
        <w:tc>
          <w:tcPr>
            <w:tcW w:w="0" w:type="auto"/>
            <w:vAlign w:val="center"/>
          </w:tcPr>
          <w:p w:rsidR="00F95F05" w:rsidRPr="00617B06" w:rsidRDefault="00C6516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533 706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Pozemky</w:t>
            </w:r>
          </w:p>
        </w:tc>
        <w:tc>
          <w:tcPr>
            <w:tcW w:w="0" w:type="auto"/>
            <w:vAlign w:val="center"/>
          </w:tcPr>
          <w:p w:rsidR="00F95F05" w:rsidRPr="00EF6379" w:rsidRDefault="00EF6379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 w:rsidRPr="00EF6379"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371 339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371 339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371 552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371 552</w:t>
            </w:r>
          </w:p>
        </w:tc>
        <w:tc>
          <w:tcPr>
            <w:tcW w:w="0" w:type="auto"/>
            <w:vAlign w:val="center"/>
          </w:tcPr>
          <w:p w:rsidR="00F95F05" w:rsidRPr="00EF6379" w:rsidRDefault="00736027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370 171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370 171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Stavby</w:t>
            </w:r>
          </w:p>
        </w:tc>
        <w:tc>
          <w:tcPr>
            <w:tcW w:w="0" w:type="auto"/>
            <w:vAlign w:val="center"/>
          </w:tcPr>
          <w:p w:rsidR="00F95F05" w:rsidRPr="00EF6379" w:rsidRDefault="00EF6379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1 008 550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319 257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965 244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307 448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934 464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269 048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Samostatné movité věci a soubory movitých věcí</w:t>
            </w:r>
          </w:p>
        </w:tc>
        <w:tc>
          <w:tcPr>
            <w:tcW w:w="0" w:type="auto"/>
            <w:vAlign w:val="center"/>
          </w:tcPr>
          <w:p w:rsidR="00F95F05" w:rsidRPr="00EF6379" w:rsidRDefault="00EF6379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101 337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11 481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103 049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14 958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103 325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12 694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Jiný dlouhodobý hmotný majetek</w:t>
            </w:r>
          </w:p>
        </w:tc>
        <w:tc>
          <w:tcPr>
            <w:tcW w:w="0" w:type="auto"/>
            <w:vAlign w:val="center"/>
          </w:tcPr>
          <w:p w:rsidR="00F95F05" w:rsidRPr="00EF6379" w:rsidRDefault="00EF6379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117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117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117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Nedokončený dlouhodobý hmotný majetek</w:t>
            </w:r>
          </w:p>
        </w:tc>
        <w:tc>
          <w:tcPr>
            <w:tcW w:w="0" w:type="auto"/>
            <w:vAlign w:val="center"/>
          </w:tcPr>
          <w:p w:rsidR="00F95F05" w:rsidRPr="00EF6379" w:rsidRDefault="00EF6379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7 242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7 242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4 357</w:t>
            </w:r>
          </w:p>
        </w:tc>
        <w:tc>
          <w:tcPr>
            <w:tcW w:w="0" w:type="auto"/>
            <w:vAlign w:val="center"/>
          </w:tcPr>
          <w:p w:rsidR="00F95F05" w:rsidRPr="00EF6379" w:rsidRDefault="00736027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4 357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4737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4 737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Oceňovací rozdíl k nabytému majetku</w:t>
            </w:r>
          </w:p>
        </w:tc>
        <w:tc>
          <w:tcPr>
            <w:tcW w:w="0" w:type="auto"/>
            <w:vAlign w:val="center"/>
          </w:tcPr>
          <w:p w:rsidR="00F95F05" w:rsidRPr="00EF6379" w:rsidRDefault="00EF6379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−307 609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−164 072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−307 609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−</w:t>
            </w:r>
            <w:r w:rsidR="00736027"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143 567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−</w:t>
            </w:r>
            <w:r w:rsidR="00C65166"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307 609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−</w:t>
            </w:r>
            <w:r w:rsidR="00F621B2"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123 061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Zásoby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1 055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1 055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926</w:t>
            </w:r>
          </w:p>
        </w:tc>
        <w:tc>
          <w:tcPr>
            <w:tcW w:w="0" w:type="auto"/>
            <w:vAlign w:val="center"/>
          </w:tcPr>
          <w:p w:rsidR="00F95F05" w:rsidRPr="00617B06" w:rsidRDefault="00736027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926</w:t>
            </w:r>
          </w:p>
        </w:tc>
        <w:tc>
          <w:tcPr>
            <w:tcW w:w="0" w:type="auto"/>
            <w:vAlign w:val="center"/>
          </w:tcPr>
          <w:p w:rsidR="00F95F05" w:rsidRPr="00617B06" w:rsidRDefault="00C6516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916</w:t>
            </w:r>
          </w:p>
        </w:tc>
        <w:tc>
          <w:tcPr>
            <w:tcW w:w="0" w:type="auto"/>
            <w:vAlign w:val="center"/>
          </w:tcPr>
          <w:p w:rsidR="00F95F05" w:rsidRPr="00617B06" w:rsidRDefault="00F621B2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916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Krátkodobé pohledávky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77 282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61744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120 521</w:t>
            </w:r>
          </w:p>
        </w:tc>
        <w:tc>
          <w:tcPr>
            <w:tcW w:w="0" w:type="auto"/>
            <w:vAlign w:val="center"/>
          </w:tcPr>
          <w:p w:rsidR="00F95F05" w:rsidRPr="00617B06" w:rsidRDefault="00736027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105 888</w:t>
            </w:r>
          </w:p>
        </w:tc>
        <w:tc>
          <w:tcPr>
            <w:tcW w:w="0" w:type="auto"/>
            <w:vAlign w:val="center"/>
          </w:tcPr>
          <w:p w:rsidR="00F95F05" w:rsidRPr="00617B06" w:rsidRDefault="00C6516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39 751</w:t>
            </w:r>
          </w:p>
        </w:tc>
        <w:tc>
          <w:tcPr>
            <w:tcW w:w="0" w:type="auto"/>
            <w:vAlign w:val="center"/>
          </w:tcPr>
          <w:p w:rsidR="00F95F05" w:rsidRPr="00617B06" w:rsidRDefault="00F621B2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27 104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Pohledávky z obchodních vztahů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32 069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27 893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38 197</w:t>
            </w:r>
          </w:p>
        </w:tc>
        <w:tc>
          <w:tcPr>
            <w:tcW w:w="0" w:type="auto"/>
            <w:vAlign w:val="center"/>
          </w:tcPr>
          <w:p w:rsidR="00F95F05" w:rsidRPr="00EF6379" w:rsidRDefault="00736027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34 899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17 897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15 589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Krátkodobý finanční majetek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705 633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705 633</w:t>
            </w:r>
          </w:p>
        </w:tc>
        <w:tc>
          <w:tcPr>
            <w:tcW w:w="0" w:type="auto"/>
            <w:vAlign w:val="center"/>
          </w:tcPr>
          <w:p w:rsidR="00F95F05" w:rsidRPr="00617B06" w:rsidRDefault="00560594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665 848</w:t>
            </w:r>
          </w:p>
        </w:tc>
        <w:tc>
          <w:tcPr>
            <w:tcW w:w="0" w:type="auto"/>
            <w:vAlign w:val="center"/>
          </w:tcPr>
          <w:p w:rsidR="00F95F05" w:rsidRPr="00617B06" w:rsidRDefault="00736027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665 848</w:t>
            </w:r>
          </w:p>
        </w:tc>
        <w:tc>
          <w:tcPr>
            <w:tcW w:w="0" w:type="auto"/>
            <w:vAlign w:val="center"/>
          </w:tcPr>
          <w:p w:rsidR="00F95F05" w:rsidRPr="00617B06" w:rsidRDefault="00C65166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857 375</w:t>
            </w:r>
          </w:p>
        </w:tc>
        <w:tc>
          <w:tcPr>
            <w:tcW w:w="0" w:type="auto"/>
            <w:vAlign w:val="center"/>
          </w:tcPr>
          <w:p w:rsidR="00F95F05" w:rsidRPr="00617B06" w:rsidRDefault="00F621B2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  <w:t>857 375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Peníze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717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717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519</w:t>
            </w:r>
          </w:p>
        </w:tc>
        <w:tc>
          <w:tcPr>
            <w:tcW w:w="0" w:type="auto"/>
            <w:vAlign w:val="center"/>
          </w:tcPr>
          <w:p w:rsidR="00F95F05" w:rsidRPr="00EF6379" w:rsidRDefault="00736027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519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407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407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Účty v bankách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380 916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380 916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515 329</w:t>
            </w:r>
          </w:p>
        </w:tc>
        <w:tc>
          <w:tcPr>
            <w:tcW w:w="0" w:type="auto"/>
            <w:vAlign w:val="center"/>
          </w:tcPr>
          <w:p w:rsidR="00F95F05" w:rsidRPr="00EF6379" w:rsidRDefault="00736027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515 329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856 964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856 964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Pořizovaný krátkodobý finanční majetek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324 000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324 000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150 000</w:t>
            </w:r>
          </w:p>
        </w:tc>
        <w:tc>
          <w:tcPr>
            <w:tcW w:w="0" w:type="auto"/>
            <w:vAlign w:val="center"/>
          </w:tcPr>
          <w:p w:rsidR="00F95F05" w:rsidRPr="00EF6379" w:rsidRDefault="00736027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150 000</w:t>
            </w: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</w:t>
            </w:r>
          </w:p>
        </w:tc>
        <w:tc>
          <w:tcPr>
            <w:tcW w:w="0" w:type="auto"/>
            <w:vAlign w:val="center"/>
          </w:tcPr>
          <w:p w:rsidR="00F95F05" w:rsidRPr="00EF6379" w:rsidRDefault="00F621B2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</w:t>
            </w: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b/>
                <w:color w:val="000000" w:themeColor="text1"/>
                <w:sz w:val="14"/>
                <w:szCs w:val="14"/>
                <w:lang w:val="cs-CZ"/>
              </w:rPr>
              <w:t>Podrozvahové účty</w:t>
            </w:r>
          </w:p>
        </w:tc>
        <w:tc>
          <w:tcPr>
            <w:tcW w:w="0" w:type="auto"/>
            <w:vAlign w:val="center"/>
          </w:tcPr>
          <w:p w:rsidR="00F95F05" w:rsidRPr="00617B06" w:rsidRDefault="00F95F05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617B06" w:rsidRDefault="00F95F05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617B06" w:rsidRDefault="00F95F05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617B06" w:rsidRDefault="00F95F05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617B06" w:rsidRDefault="00F95F05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617B06" w:rsidRDefault="00F95F05" w:rsidP="00DB3983">
            <w:pPr>
              <w:spacing w:before="20" w:after="20"/>
              <w:ind w:right="57"/>
              <w:jc w:val="right"/>
              <w:rPr>
                <w:rFonts w:cs="Arial"/>
                <w:b/>
                <w:color w:val="000000" w:themeColor="text1"/>
                <w:sz w:val="15"/>
                <w:szCs w:val="15"/>
                <w:lang w:val="cs-CZ"/>
              </w:rPr>
            </w:pPr>
          </w:p>
        </w:tc>
      </w:tr>
      <w:tr w:rsidR="00560594" w:rsidRPr="00617B06" w:rsidTr="00DB3983">
        <w:trPr>
          <w:trHeight w:val="227"/>
          <w:jc w:val="center"/>
        </w:trPr>
        <w:tc>
          <w:tcPr>
            <w:tcW w:w="3402" w:type="dxa"/>
            <w:vAlign w:val="center"/>
          </w:tcPr>
          <w:p w:rsidR="00F95F05" w:rsidRPr="00C65166" w:rsidRDefault="00F95F05" w:rsidP="00F95F05">
            <w:pPr>
              <w:spacing w:before="20" w:after="20"/>
              <w:jc w:val="left"/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</w:pPr>
            <w:r w:rsidRPr="00C65166">
              <w:rPr>
                <w:rFonts w:cs="Arial"/>
                <w:i/>
                <w:color w:val="000000" w:themeColor="text1"/>
                <w:sz w:val="14"/>
                <w:szCs w:val="14"/>
                <w:lang w:val="cs-CZ"/>
              </w:rPr>
              <w:t>Majetek vedený na podrozvahových účtech</w:t>
            </w: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422 888</w:t>
            </w:r>
          </w:p>
        </w:tc>
        <w:tc>
          <w:tcPr>
            <w:tcW w:w="0" w:type="auto"/>
            <w:vAlign w:val="center"/>
          </w:tcPr>
          <w:p w:rsidR="00F95F05" w:rsidRPr="00EF6379" w:rsidRDefault="00F95F05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EF6379" w:rsidRDefault="00560594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420 915</w:t>
            </w:r>
          </w:p>
        </w:tc>
        <w:tc>
          <w:tcPr>
            <w:tcW w:w="0" w:type="auto"/>
            <w:vAlign w:val="center"/>
          </w:tcPr>
          <w:p w:rsidR="00F95F05" w:rsidRPr="00EF6379" w:rsidRDefault="00F95F05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</w:p>
        </w:tc>
        <w:tc>
          <w:tcPr>
            <w:tcW w:w="0" w:type="auto"/>
            <w:vAlign w:val="center"/>
          </w:tcPr>
          <w:p w:rsidR="00F95F05" w:rsidRPr="00EF6379" w:rsidRDefault="00C65166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  <w:r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  <w:t>434 063</w:t>
            </w:r>
          </w:p>
        </w:tc>
        <w:tc>
          <w:tcPr>
            <w:tcW w:w="0" w:type="auto"/>
            <w:vAlign w:val="center"/>
          </w:tcPr>
          <w:p w:rsidR="00F95F05" w:rsidRPr="00EF6379" w:rsidRDefault="00F95F05" w:rsidP="00DB3983">
            <w:pPr>
              <w:spacing w:before="20" w:after="20"/>
              <w:ind w:right="57"/>
              <w:jc w:val="right"/>
              <w:rPr>
                <w:rFonts w:cs="Arial"/>
                <w:i/>
                <w:color w:val="000000" w:themeColor="text1"/>
                <w:sz w:val="15"/>
                <w:szCs w:val="15"/>
                <w:lang w:val="cs-CZ"/>
              </w:rPr>
            </w:pPr>
          </w:p>
        </w:tc>
      </w:tr>
    </w:tbl>
    <w:p w:rsidR="0042798A" w:rsidRPr="006967DA" w:rsidRDefault="0042798A" w:rsidP="00183E48">
      <w:pPr>
        <w:spacing w:before="40"/>
        <w:ind w:left="567" w:hanging="567"/>
        <w:rPr>
          <w:rFonts w:cs="Arial"/>
          <w:sz w:val="18"/>
          <w:szCs w:val="18"/>
          <w:lang w:val="cs-CZ" w:eastAsia="cs-CZ"/>
        </w:rPr>
      </w:pPr>
      <w:r w:rsidRPr="006967DA">
        <w:rPr>
          <w:rFonts w:cs="Arial"/>
          <w:b/>
          <w:sz w:val="18"/>
          <w:szCs w:val="18"/>
          <w:lang w:val="cs-CZ"/>
        </w:rPr>
        <w:t>Zdroj:</w:t>
      </w:r>
      <w:r w:rsidRPr="006967DA">
        <w:rPr>
          <w:rFonts w:cs="Arial"/>
          <w:sz w:val="18"/>
          <w:szCs w:val="18"/>
          <w:lang w:val="cs-CZ"/>
        </w:rPr>
        <w:t xml:space="preserve"> </w:t>
      </w:r>
      <w:r w:rsidR="00DB3983">
        <w:rPr>
          <w:rFonts w:cs="Arial"/>
          <w:sz w:val="18"/>
          <w:szCs w:val="18"/>
          <w:lang w:val="cs-CZ"/>
        </w:rPr>
        <w:t>ú</w:t>
      </w:r>
      <w:r w:rsidRPr="006967DA">
        <w:rPr>
          <w:rFonts w:cs="Arial"/>
          <w:sz w:val="18"/>
          <w:szCs w:val="18"/>
          <w:lang w:val="cs-CZ"/>
        </w:rPr>
        <w:t xml:space="preserve">četní závěrky PKÚ </w:t>
      </w:r>
      <w:r w:rsidR="00965E3A" w:rsidRPr="006967DA">
        <w:rPr>
          <w:rFonts w:cs="Arial"/>
          <w:sz w:val="18"/>
          <w:szCs w:val="18"/>
          <w:lang w:val="cs-CZ"/>
        </w:rPr>
        <w:t>–</w:t>
      </w:r>
      <w:r w:rsidRPr="006967DA">
        <w:rPr>
          <w:rFonts w:cs="Arial"/>
          <w:sz w:val="18"/>
          <w:szCs w:val="18"/>
          <w:lang w:val="cs-CZ"/>
        </w:rPr>
        <w:t xml:space="preserve"> </w:t>
      </w:r>
      <w:r w:rsidR="00DB3983">
        <w:rPr>
          <w:rFonts w:cs="Arial"/>
          <w:sz w:val="18"/>
          <w:szCs w:val="18"/>
          <w:lang w:val="cs-CZ"/>
        </w:rPr>
        <w:t>r</w:t>
      </w:r>
      <w:r w:rsidRPr="006967DA">
        <w:rPr>
          <w:rFonts w:cs="Arial"/>
          <w:sz w:val="18"/>
          <w:szCs w:val="18"/>
          <w:lang w:val="cs-CZ"/>
        </w:rPr>
        <w:t>ozvahy PKÚ</w:t>
      </w:r>
      <w:r w:rsidRPr="006967DA">
        <w:rPr>
          <w:rFonts w:cs="Arial"/>
          <w:sz w:val="18"/>
          <w:szCs w:val="18"/>
          <w:lang w:val="cs-CZ" w:eastAsia="cs-CZ"/>
        </w:rPr>
        <w:t xml:space="preserve"> ke dni 31. </w:t>
      </w:r>
      <w:r w:rsidR="00410599" w:rsidRPr="006967DA">
        <w:rPr>
          <w:rFonts w:cs="Arial"/>
          <w:sz w:val="18"/>
          <w:szCs w:val="18"/>
          <w:lang w:val="cs-CZ" w:eastAsia="cs-CZ"/>
        </w:rPr>
        <w:t>prosince</w:t>
      </w:r>
      <w:r w:rsidRPr="006967DA">
        <w:rPr>
          <w:rFonts w:cs="Arial"/>
          <w:sz w:val="18"/>
          <w:szCs w:val="18"/>
          <w:lang w:val="cs-CZ" w:eastAsia="cs-CZ"/>
        </w:rPr>
        <w:t> let 2010, 2011 a 2012</w:t>
      </w:r>
      <w:r w:rsidR="00AB32A0" w:rsidRPr="006967DA">
        <w:rPr>
          <w:rFonts w:cs="Arial"/>
          <w:sz w:val="18"/>
          <w:szCs w:val="18"/>
          <w:lang w:val="cs-CZ" w:eastAsia="cs-CZ"/>
        </w:rPr>
        <w:t>, ú</w:t>
      </w:r>
      <w:r w:rsidR="00AB32A0" w:rsidRPr="006967DA">
        <w:rPr>
          <w:rFonts w:cs="Arial"/>
          <w:sz w:val="18"/>
          <w:szCs w:val="18"/>
          <w:lang w:val="cs-CZ"/>
        </w:rPr>
        <w:t>četní evidence PKÚ</w:t>
      </w:r>
      <w:r w:rsidR="00410599" w:rsidRPr="006967DA">
        <w:rPr>
          <w:rFonts w:cs="Arial"/>
          <w:sz w:val="18"/>
          <w:szCs w:val="18"/>
          <w:lang w:val="cs-CZ"/>
        </w:rPr>
        <w:t>.</w:t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D86D6E" w:rsidRPr="006967DA" w:rsidRDefault="00BA1E6E" w:rsidP="00D86D6E">
      <w:pPr>
        <w:rPr>
          <w:rFonts w:cs="Arial"/>
          <w:szCs w:val="22"/>
          <w:lang w:val="cs-CZ" w:eastAsia="cs-CZ"/>
        </w:rPr>
      </w:pPr>
      <w:r w:rsidRPr="006967DA">
        <w:rPr>
          <w:rFonts w:cs="Arial"/>
          <w:szCs w:val="22"/>
          <w:lang w:val="cs-CZ" w:eastAsia="cs-CZ"/>
        </w:rPr>
        <w:t>V průběhu kontrolovaného období došlo k poklesu účetních stavů (</w:t>
      </w:r>
      <w:r w:rsidR="00DB3983">
        <w:rPr>
          <w:rFonts w:cs="Arial"/>
          <w:szCs w:val="22"/>
          <w:lang w:val="cs-CZ" w:eastAsia="cs-CZ"/>
        </w:rPr>
        <w:t>b</w:t>
      </w:r>
      <w:r w:rsidRPr="006967DA">
        <w:rPr>
          <w:rFonts w:cs="Arial"/>
          <w:szCs w:val="22"/>
          <w:lang w:val="cs-CZ" w:eastAsia="cs-CZ"/>
        </w:rPr>
        <w:t>rutto) dlouhodobého hmotného majetku, zejména u budov a pozemků</w:t>
      </w:r>
      <w:r w:rsidR="00DB3983">
        <w:rPr>
          <w:rFonts w:cs="Arial"/>
          <w:szCs w:val="22"/>
          <w:lang w:val="cs-CZ" w:eastAsia="cs-CZ"/>
        </w:rPr>
        <w:t>, a to</w:t>
      </w:r>
      <w:r w:rsidRPr="006967DA">
        <w:rPr>
          <w:rFonts w:cs="Arial"/>
          <w:szCs w:val="22"/>
          <w:lang w:val="cs-CZ" w:eastAsia="cs-CZ"/>
        </w:rPr>
        <w:t xml:space="preserve"> z důvodu prodej</w:t>
      </w:r>
      <w:r w:rsidR="00DB3983">
        <w:rPr>
          <w:rFonts w:cs="Arial"/>
          <w:szCs w:val="22"/>
          <w:lang w:val="cs-CZ" w:eastAsia="cs-CZ"/>
        </w:rPr>
        <w:t>e</w:t>
      </w:r>
      <w:r w:rsidRPr="006967DA">
        <w:rPr>
          <w:rFonts w:cs="Arial"/>
          <w:szCs w:val="22"/>
          <w:lang w:val="cs-CZ" w:eastAsia="cs-CZ"/>
        </w:rPr>
        <w:t>, likvidace nebo převod</w:t>
      </w:r>
      <w:r w:rsidR="00DB3983">
        <w:rPr>
          <w:rFonts w:cs="Arial"/>
          <w:szCs w:val="22"/>
          <w:lang w:val="cs-CZ" w:eastAsia="cs-CZ"/>
        </w:rPr>
        <w:t>u</w:t>
      </w:r>
      <w:r w:rsidRPr="006967DA">
        <w:rPr>
          <w:rFonts w:cs="Arial"/>
          <w:szCs w:val="22"/>
          <w:lang w:val="cs-CZ" w:eastAsia="cs-CZ"/>
        </w:rPr>
        <w:t xml:space="preserve"> práva hospodařit s majetkem státu.</w:t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355E4E" w:rsidRPr="006967DA" w:rsidRDefault="00355E4E" w:rsidP="00D86D6E">
      <w:pPr>
        <w:rPr>
          <w:rFonts w:cs="Arial"/>
          <w:szCs w:val="22"/>
          <w:lang w:val="cs-CZ" w:eastAsia="cs-CZ"/>
        </w:rPr>
      </w:pPr>
      <w:r w:rsidRPr="006967DA">
        <w:rPr>
          <w:rFonts w:cs="Arial"/>
          <w:szCs w:val="22"/>
          <w:lang w:val="cs-CZ" w:eastAsia="cs-CZ"/>
        </w:rPr>
        <w:t>Kontrolován</w:t>
      </w:r>
      <w:r w:rsidR="00DB3983">
        <w:rPr>
          <w:rFonts w:cs="Arial"/>
          <w:szCs w:val="22"/>
          <w:lang w:val="cs-CZ" w:eastAsia="cs-CZ"/>
        </w:rPr>
        <w:t>y</w:t>
      </w:r>
      <w:r w:rsidRPr="006967DA">
        <w:rPr>
          <w:rFonts w:cs="Arial"/>
          <w:szCs w:val="22"/>
          <w:lang w:val="cs-CZ" w:eastAsia="cs-CZ"/>
        </w:rPr>
        <w:t xml:space="preserve"> byl</w:t>
      </w:r>
      <w:r w:rsidR="00DB3983">
        <w:rPr>
          <w:rFonts w:cs="Arial"/>
          <w:szCs w:val="22"/>
          <w:lang w:val="cs-CZ" w:eastAsia="cs-CZ"/>
        </w:rPr>
        <w:t>y</w:t>
      </w:r>
      <w:r w:rsidRPr="006967DA">
        <w:rPr>
          <w:rFonts w:cs="Arial"/>
          <w:szCs w:val="22"/>
          <w:lang w:val="cs-CZ" w:eastAsia="cs-CZ"/>
        </w:rPr>
        <w:t xml:space="preserve"> majetek</w:t>
      </w:r>
      <w:r w:rsidR="00A76D88" w:rsidRPr="006967DA">
        <w:rPr>
          <w:rFonts w:cs="Arial"/>
          <w:szCs w:val="22"/>
          <w:lang w:val="cs-CZ" w:eastAsia="cs-CZ"/>
        </w:rPr>
        <w:t xml:space="preserve"> a</w:t>
      </w:r>
      <w:r w:rsidRPr="006967DA">
        <w:rPr>
          <w:rFonts w:cs="Arial"/>
          <w:szCs w:val="22"/>
          <w:lang w:val="cs-CZ" w:eastAsia="cs-CZ"/>
        </w:rPr>
        <w:t xml:space="preserve"> pohledávky ve výši </w:t>
      </w:r>
      <w:r w:rsidR="003E2B70" w:rsidRPr="006967DA">
        <w:rPr>
          <w:rFonts w:cs="Arial"/>
          <w:szCs w:val="22"/>
          <w:lang w:val="cs-CZ" w:eastAsia="cs-CZ"/>
        </w:rPr>
        <w:t>1 561 12</w:t>
      </w:r>
      <w:r w:rsidR="00B1300D" w:rsidRPr="006967DA">
        <w:rPr>
          <w:rFonts w:cs="Arial"/>
          <w:szCs w:val="22"/>
          <w:lang w:val="cs-CZ" w:eastAsia="cs-CZ"/>
        </w:rPr>
        <w:t>3</w:t>
      </w:r>
      <w:r w:rsidR="003E2B70" w:rsidRPr="006967DA">
        <w:rPr>
          <w:rFonts w:cs="Arial"/>
          <w:szCs w:val="22"/>
          <w:lang w:val="cs-CZ" w:eastAsia="cs-CZ"/>
        </w:rPr>
        <w:t xml:space="preserve"> tis. Kč</w:t>
      </w:r>
      <w:r w:rsidR="00EA33AA" w:rsidRPr="006967DA">
        <w:rPr>
          <w:rFonts w:cs="Arial"/>
          <w:szCs w:val="22"/>
          <w:lang w:val="cs-CZ" w:eastAsia="cs-CZ"/>
        </w:rPr>
        <w:t xml:space="preserve"> (</w:t>
      </w:r>
      <w:r w:rsidR="00410599" w:rsidRPr="006967DA">
        <w:rPr>
          <w:rFonts w:cs="Arial"/>
          <w:szCs w:val="22"/>
          <w:lang w:val="cs-CZ" w:eastAsia="cs-CZ"/>
        </w:rPr>
        <w:t>z </w:t>
      </w:r>
      <w:r w:rsidR="003E2B70" w:rsidRPr="006967DA">
        <w:rPr>
          <w:rFonts w:cs="Arial"/>
          <w:szCs w:val="22"/>
          <w:lang w:val="cs-CZ" w:eastAsia="cs-CZ"/>
        </w:rPr>
        <w:t xml:space="preserve">toho dlouhodobý majetek </w:t>
      </w:r>
      <w:r w:rsidR="00A76D88" w:rsidRPr="006967DA">
        <w:rPr>
          <w:rFonts w:cs="Arial"/>
          <w:szCs w:val="22"/>
          <w:lang w:val="cs-CZ" w:eastAsia="cs-CZ"/>
        </w:rPr>
        <w:t>1</w:t>
      </w:r>
      <w:r w:rsidR="00D60C71" w:rsidRPr="006967DA">
        <w:rPr>
          <w:rFonts w:cs="Arial"/>
          <w:szCs w:val="22"/>
          <w:lang w:val="cs-CZ" w:eastAsia="cs-CZ"/>
        </w:rPr>
        <w:t> </w:t>
      </w:r>
      <w:r w:rsidR="003E2B70" w:rsidRPr="006967DA">
        <w:rPr>
          <w:rFonts w:cs="Arial"/>
          <w:szCs w:val="22"/>
          <w:lang w:val="cs-CZ" w:eastAsia="cs-CZ"/>
        </w:rPr>
        <w:t>1</w:t>
      </w:r>
      <w:r w:rsidR="00D60C71" w:rsidRPr="006967DA">
        <w:rPr>
          <w:rFonts w:cs="Arial"/>
          <w:szCs w:val="22"/>
          <w:lang w:val="cs-CZ" w:eastAsia="cs-CZ"/>
        </w:rPr>
        <w:t>1</w:t>
      </w:r>
      <w:r w:rsidR="005E7FA5" w:rsidRPr="006967DA">
        <w:rPr>
          <w:rFonts w:cs="Arial"/>
          <w:szCs w:val="22"/>
          <w:lang w:val="cs-CZ" w:eastAsia="cs-CZ"/>
        </w:rPr>
        <w:t>0</w:t>
      </w:r>
      <w:r w:rsidR="00BA1E6E" w:rsidRPr="006967DA">
        <w:rPr>
          <w:rFonts w:cs="Arial"/>
          <w:szCs w:val="22"/>
          <w:lang w:val="cs-CZ" w:eastAsia="cs-CZ"/>
        </w:rPr>
        <w:t> </w:t>
      </w:r>
      <w:r w:rsidR="005E7FA5" w:rsidRPr="006967DA">
        <w:rPr>
          <w:rFonts w:cs="Arial"/>
          <w:szCs w:val="22"/>
          <w:lang w:val="cs-CZ" w:eastAsia="cs-CZ"/>
        </w:rPr>
        <w:t>655</w:t>
      </w:r>
      <w:r w:rsidR="00BA1E6E" w:rsidRPr="006967DA">
        <w:rPr>
          <w:rFonts w:cs="Arial"/>
          <w:szCs w:val="22"/>
          <w:lang w:val="cs-CZ" w:eastAsia="cs-CZ"/>
        </w:rPr>
        <w:t> </w:t>
      </w:r>
      <w:r w:rsidRPr="006967DA">
        <w:rPr>
          <w:rFonts w:cs="Arial"/>
          <w:szCs w:val="22"/>
          <w:lang w:val="cs-CZ" w:eastAsia="cs-CZ"/>
        </w:rPr>
        <w:t>tis. Kč</w:t>
      </w:r>
      <w:r w:rsidR="00B1300D" w:rsidRPr="006967DA">
        <w:rPr>
          <w:rFonts w:cs="Arial"/>
          <w:szCs w:val="22"/>
          <w:lang w:val="cs-CZ" w:eastAsia="cs-CZ"/>
        </w:rPr>
        <w:t xml:space="preserve"> </w:t>
      </w:r>
      <w:r w:rsidR="00D038B9" w:rsidRPr="006967DA">
        <w:rPr>
          <w:rFonts w:cs="Arial"/>
          <w:szCs w:val="22"/>
          <w:lang w:val="cs-CZ" w:eastAsia="cs-CZ"/>
        </w:rPr>
        <w:t>[</w:t>
      </w:r>
      <w:r w:rsidR="00915875" w:rsidRPr="006967DA">
        <w:rPr>
          <w:rFonts w:cs="Arial"/>
          <w:szCs w:val="22"/>
          <w:lang w:val="cs-CZ" w:eastAsia="cs-CZ"/>
        </w:rPr>
        <w:t>brutto</w:t>
      </w:r>
      <w:r w:rsidR="00D038B9" w:rsidRPr="006967DA">
        <w:rPr>
          <w:rFonts w:cs="Arial"/>
          <w:szCs w:val="22"/>
          <w:lang w:val="cs-CZ" w:eastAsia="cs-CZ"/>
        </w:rPr>
        <w:t>]</w:t>
      </w:r>
      <w:r w:rsidR="00915875" w:rsidRPr="006967DA">
        <w:rPr>
          <w:rFonts w:cs="Arial"/>
          <w:szCs w:val="22"/>
          <w:lang w:val="cs-CZ" w:eastAsia="cs-CZ"/>
        </w:rPr>
        <w:t xml:space="preserve"> </w:t>
      </w:r>
      <w:r w:rsidR="00B1300D" w:rsidRPr="006967DA">
        <w:rPr>
          <w:rFonts w:cs="Arial"/>
          <w:szCs w:val="22"/>
          <w:lang w:val="cs-CZ" w:eastAsia="cs-CZ"/>
        </w:rPr>
        <w:t>a zásoby 916 tis. Kč</w:t>
      </w:r>
      <w:r w:rsidR="00410599" w:rsidRPr="006967DA">
        <w:rPr>
          <w:rFonts w:cs="Arial"/>
          <w:szCs w:val="22"/>
          <w:lang w:val="cs-CZ" w:eastAsia="cs-CZ"/>
        </w:rPr>
        <w:t>, majetek vedený na </w:t>
      </w:r>
      <w:r w:rsidR="00A76D88" w:rsidRPr="006967DA">
        <w:rPr>
          <w:rFonts w:cs="Arial"/>
          <w:szCs w:val="22"/>
          <w:lang w:val="cs-CZ" w:eastAsia="cs-CZ"/>
        </w:rPr>
        <w:t>podrozvahových účtech ve</w:t>
      </w:r>
      <w:r w:rsidR="00421490" w:rsidRPr="006967DA">
        <w:rPr>
          <w:rFonts w:cs="Arial"/>
          <w:szCs w:val="22"/>
          <w:lang w:val="cs-CZ" w:eastAsia="cs-CZ"/>
        </w:rPr>
        <w:t> </w:t>
      </w:r>
      <w:r w:rsidR="00A76D88" w:rsidRPr="006967DA">
        <w:rPr>
          <w:rFonts w:cs="Arial"/>
          <w:szCs w:val="22"/>
          <w:lang w:val="cs-CZ" w:eastAsia="cs-CZ"/>
        </w:rPr>
        <w:t>výši 43</w:t>
      </w:r>
      <w:r w:rsidR="00B1300D" w:rsidRPr="006967DA">
        <w:rPr>
          <w:rFonts w:cs="Arial"/>
          <w:szCs w:val="22"/>
          <w:lang w:val="cs-CZ" w:eastAsia="cs-CZ"/>
        </w:rPr>
        <w:t>4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A76D88" w:rsidRPr="006967DA">
        <w:rPr>
          <w:rFonts w:cs="Arial"/>
          <w:szCs w:val="22"/>
          <w:lang w:val="cs-CZ" w:eastAsia="cs-CZ"/>
        </w:rPr>
        <w:t>063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A76D88" w:rsidRPr="006967DA">
        <w:rPr>
          <w:rFonts w:cs="Arial"/>
          <w:szCs w:val="22"/>
          <w:lang w:val="cs-CZ" w:eastAsia="cs-CZ"/>
        </w:rPr>
        <w:t>tis.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A76D88" w:rsidRPr="006967DA">
        <w:rPr>
          <w:rFonts w:cs="Arial"/>
          <w:szCs w:val="22"/>
          <w:lang w:val="cs-CZ" w:eastAsia="cs-CZ"/>
        </w:rPr>
        <w:t>Kč</w:t>
      </w:r>
      <w:r w:rsidR="00D60C71" w:rsidRPr="006967DA">
        <w:rPr>
          <w:rFonts w:cs="Arial"/>
          <w:szCs w:val="22"/>
          <w:lang w:val="cs-CZ" w:eastAsia="cs-CZ"/>
        </w:rPr>
        <w:t xml:space="preserve">, </w:t>
      </w:r>
      <w:r w:rsidR="00EA33AA" w:rsidRPr="006967DA">
        <w:rPr>
          <w:rFonts w:cs="Arial"/>
          <w:szCs w:val="22"/>
          <w:lang w:val="cs-CZ" w:eastAsia="cs-CZ"/>
        </w:rPr>
        <w:t xml:space="preserve">vybrané </w:t>
      </w:r>
      <w:r w:rsidR="00D60C71" w:rsidRPr="006967DA">
        <w:rPr>
          <w:rFonts w:cs="Arial"/>
          <w:szCs w:val="22"/>
          <w:lang w:val="cs-CZ" w:eastAsia="cs-CZ"/>
        </w:rPr>
        <w:t xml:space="preserve">pohledávky </w:t>
      </w:r>
      <w:r w:rsidR="00EA33AA" w:rsidRPr="006967DA">
        <w:rPr>
          <w:rFonts w:cs="Arial"/>
          <w:szCs w:val="22"/>
          <w:lang w:val="cs-CZ" w:eastAsia="cs-CZ"/>
        </w:rPr>
        <w:t xml:space="preserve">včetně příslušenství </w:t>
      </w:r>
      <w:r w:rsidR="00D60C71" w:rsidRPr="006967DA">
        <w:rPr>
          <w:rFonts w:cs="Arial"/>
          <w:szCs w:val="22"/>
          <w:lang w:val="cs-CZ" w:eastAsia="cs-CZ"/>
        </w:rPr>
        <w:t xml:space="preserve">ve výši </w:t>
      </w:r>
      <w:r w:rsidR="00D60C71" w:rsidRPr="006967DA">
        <w:rPr>
          <w:rFonts w:cs="Arial"/>
          <w:szCs w:val="22"/>
          <w:lang w:val="cs-CZ" w:eastAsia="cs-CZ"/>
        </w:rPr>
        <w:lastRenderedPageBreak/>
        <w:t>15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D60C71" w:rsidRPr="006967DA">
        <w:rPr>
          <w:rFonts w:cs="Arial"/>
          <w:szCs w:val="22"/>
          <w:lang w:val="cs-CZ" w:eastAsia="cs-CZ"/>
        </w:rPr>
        <w:t>489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D60C71" w:rsidRPr="006967DA">
        <w:rPr>
          <w:rFonts w:cs="Arial"/>
          <w:szCs w:val="22"/>
          <w:lang w:val="cs-CZ" w:eastAsia="cs-CZ"/>
        </w:rPr>
        <w:t>tis.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D60C71" w:rsidRPr="006967DA">
        <w:rPr>
          <w:rFonts w:cs="Arial"/>
          <w:szCs w:val="22"/>
          <w:lang w:val="cs-CZ" w:eastAsia="cs-CZ"/>
        </w:rPr>
        <w:t>Kč</w:t>
      </w:r>
      <w:r w:rsidR="003E2B70" w:rsidRPr="006967DA">
        <w:rPr>
          <w:rFonts w:cs="Arial"/>
          <w:szCs w:val="22"/>
          <w:lang w:val="cs-CZ" w:eastAsia="cs-CZ"/>
        </w:rPr>
        <w:t>), krátkodobý finanční majetek ve výši 85</w:t>
      </w:r>
      <w:r w:rsidR="00B1300D" w:rsidRPr="006967DA">
        <w:rPr>
          <w:rFonts w:cs="Arial"/>
          <w:szCs w:val="22"/>
          <w:lang w:val="cs-CZ" w:eastAsia="cs-CZ"/>
        </w:rPr>
        <w:t>7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B1300D" w:rsidRPr="006967DA">
        <w:rPr>
          <w:rFonts w:cs="Arial"/>
          <w:szCs w:val="22"/>
          <w:lang w:val="cs-CZ" w:eastAsia="cs-CZ"/>
        </w:rPr>
        <w:t>375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3E2B70" w:rsidRPr="006967DA">
        <w:rPr>
          <w:rFonts w:cs="Arial"/>
          <w:szCs w:val="22"/>
          <w:lang w:val="cs-CZ" w:eastAsia="cs-CZ"/>
        </w:rPr>
        <w:t>tis.</w:t>
      </w:r>
      <w:r w:rsidR="000460BD" w:rsidRPr="006967DA">
        <w:rPr>
          <w:rFonts w:cs="Arial"/>
          <w:szCs w:val="22"/>
          <w:lang w:val="cs-CZ" w:eastAsia="cs-CZ"/>
        </w:rPr>
        <w:t> </w:t>
      </w:r>
      <w:r w:rsidR="003E2B70" w:rsidRPr="006967DA">
        <w:rPr>
          <w:rFonts w:cs="Arial"/>
          <w:szCs w:val="22"/>
          <w:lang w:val="cs-CZ" w:eastAsia="cs-CZ"/>
        </w:rPr>
        <w:t>Kč</w:t>
      </w:r>
      <w:r w:rsidRPr="006967DA">
        <w:rPr>
          <w:rFonts w:cs="Arial"/>
          <w:szCs w:val="22"/>
          <w:lang w:val="cs-CZ" w:eastAsia="cs-CZ"/>
        </w:rPr>
        <w:t xml:space="preserve"> a související finanční prostředky</w:t>
      </w:r>
      <w:r w:rsidR="00915875" w:rsidRPr="006967DA">
        <w:rPr>
          <w:rFonts w:cs="Arial"/>
          <w:szCs w:val="22"/>
          <w:lang w:val="cs-CZ" w:eastAsia="cs-CZ"/>
        </w:rPr>
        <w:t xml:space="preserve"> a</w:t>
      </w:r>
      <w:r w:rsidR="00421490" w:rsidRPr="006967DA">
        <w:rPr>
          <w:rFonts w:cs="Arial"/>
          <w:szCs w:val="22"/>
          <w:lang w:val="cs-CZ" w:eastAsia="cs-CZ"/>
        </w:rPr>
        <w:t> </w:t>
      </w:r>
      <w:r w:rsidR="00915875" w:rsidRPr="006967DA">
        <w:rPr>
          <w:rFonts w:cs="Arial"/>
          <w:szCs w:val="22"/>
          <w:lang w:val="cs-CZ" w:eastAsia="cs-CZ"/>
        </w:rPr>
        <w:t>náklady</w:t>
      </w:r>
      <w:r w:rsidRPr="006967DA">
        <w:rPr>
          <w:rStyle w:val="Znakapoznpodarou"/>
          <w:rFonts w:cs="Arial"/>
          <w:szCs w:val="22"/>
          <w:lang w:val="cs-CZ" w:eastAsia="cs-CZ"/>
        </w:rPr>
        <w:footnoteReference w:id="20"/>
      </w:r>
      <w:r w:rsidRPr="006967DA">
        <w:rPr>
          <w:rFonts w:cs="Arial"/>
          <w:szCs w:val="22"/>
          <w:lang w:val="cs-CZ" w:eastAsia="cs-CZ"/>
        </w:rPr>
        <w:t xml:space="preserve"> ve</w:t>
      </w:r>
      <w:r w:rsidR="00751E74" w:rsidRPr="006967DA">
        <w:rPr>
          <w:rFonts w:cs="Arial"/>
          <w:szCs w:val="22"/>
          <w:lang w:val="cs-CZ" w:eastAsia="cs-CZ"/>
        </w:rPr>
        <w:t> </w:t>
      </w:r>
      <w:r w:rsidRPr="006967DA">
        <w:rPr>
          <w:rFonts w:cs="Arial"/>
          <w:szCs w:val="22"/>
          <w:lang w:val="cs-CZ" w:eastAsia="cs-CZ"/>
        </w:rPr>
        <w:t>výši 490</w:t>
      </w:r>
      <w:r w:rsidR="003E2B70" w:rsidRPr="006967DA">
        <w:rPr>
          <w:rFonts w:cs="Arial"/>
          <w:szCs w:val="22"/>
          <w:lang w:val="cs-CZ" w:eastAsia="cs-CZ"/>
        </w:rPr>
        <w:t> </w:t>
      </w:r>
      <w:r w:rsidRPr="006967DA">
        <w:rPr>
          <w:rFonts w:cs="Arial"/>
          <w:szCs w:val="22"/>
          <w:lang w:val="cs-CZ" w:eastAsia="cs-CZ"/>
        </w:rPr>
        <w:t>63</w:t>
      </w:r>
      <w:r w:rsidR="00A76D88" w:rsidRPr="006967DA">
        <w:rPr>
          <w:rFonts w:cs="Arial"/>
          <w:szCs w:val="22"/>
          <w:lang w:val="cs-CZ" w:eastAsia="cs-CZ"/>
        </w:rPr>
        <w:t>4</w:t>
      </w:r>
      <w:r w:rsidR="003E2B70" w:rsidRPr="006967DA">
        <w:rPr>
          <w:rFonts w:cs="Arial"/>
          <w:szCs w:val="22"/>
          <w:lang w:val="cs-CZ" w:eastAsia="cs-CZ"/>
        </w:rPr>
        <w:t> </w:t>
      </w:r>
      <w:r w:rsidRPr="006967DA">
        <w:rPr>
          <w:rFonts w:cs="Arial"/>
          <w:szCs w:val="22"/>
          <w:lang w:val="cs-CZ" w:eastAsia="cs-CZ"/>
        </w:rPr>
        <w:t>tis.</w:t>
      </w:r>
      <w:r w:rsidR="003E2B70" w:rsidRPr="006967DA">
        <w:rPr>
          <w:rFonts w:cs="Arial"/>
          <w:szCs w:val="22"/>
          <w:lang w:val="cs-CZ" w:eastAsia="cs-CZ"/>
        </w:rPr>
        <w:t> </w:t>
      </w:r>
      <w:r w:rsidRPr="006967DA">
        <w:rPr>
          <w:rFonts w:cs="Arial"/>
          <w:szCs w:val="22"/>
          <w:lang w:val="cs-CZ" w:eastAsia="cs-CZ"/>
        </w:rPr>
        <w:t>Kč.</w:t>
      </w:r>
    </w:p>
    <w:p w:rsidR="001756E1" w:rsidRPr="006967DA" w:rsidRDefault="001756E1" w:rsidP="00D86D6E">
      <w:pPr>
        <w:rPr>
          <w:rFonts w:cs="Arial"/>
          <w:szCs w:val="22"/>
          <w:lang w:val="cs-CZ" w:eastAsia="cs-CZ"/>
        </w:rPr>
      </w:pPr>
    </w:p>
    <w:p w:rsidR="007519C5" w:rsidRPr="003C7D49" w:rsidRDefault="00DB3983" w:rsidP="00D86D6E">
      <w:pPr>
        <w:pStyle w:val="normlnmezera"/>
        <w:spacing w:before="0"/>
        <w:rPr>
          <w:rFonts w:cs="Arial"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2.1.1 </w:t>
      </w:r>
      <w:r w:rsidR="007519C5" w:rsidRPr="003C7D49">
        <w:rPr>
          <w:rFonts w:cs="Arial"/>
          <w:b/>
          <w:szCs w:val="22"/>
          <w:lang w:val="cs-CZ"/>
        </w:rPr>
        <w:t>Zápisy v katastru nemovitostí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610920" w:rsidRPr="006967DA" w:rsidRDefault="00D005C9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nepostupoval v souladu se zákonem č. 344/1992 Sb.</w:t>
      </w:r>
      <w:r w:rsidRPr="006967DA">
        <w:rPr>
          <w:rStyle w:val="Znakapoznpodarou"/>
          <w:rFonts w:cs="Arial"/>
          <w:szCs w:val="22"/>
          <w:lang w:val="cs-CZ"/>
        </w:rPr>
        <w:footnoteReference w:id="21"/>
      </w:r>
      <w:r w:rsidRPr="006967DA">
        <w:rPr>
          <w:rFonts w:cs="Arial"/>
          <w:szCs w:val="22"/>
          <w:lang w:val="cs-CZ"/>
        </w:rPr>
        <w:t xml:space="preserve"> tím, že </w:t>
      </w:r>
      <w:r w:rsidR="00DB3983">
        <w:rPr>
          <w:rFonts w:cs="Arial"/>
          <w:szCs w:val="22"/>
          <w:lang w:val="cs-CZ"/>
        </w:rPr>
        <w:t xml:space="preserve">do katastru nemovitostí </w:t>
      </w:r>
      <w:r w:rsidRPr="006967DA">
        <w:rPr>
          <w:rFonts w:cs="Arial"/>
          <w:szCs w:val="22"/>
          <w:lang w:val="cs-CZ"/>
        </w:rPr>
        <w:t>neohlásil změnu údajů</w:t>
      </w:r>
      <w:r w:rsidR="00DB3983">
        <w:rPr>
          <w:rFonts w:cs="Arial"/>
          <w:szCs w:val="22"/>
          <w:lang w:val="cs-CZ"/>
        </w:rPr>
        <w:t xml:space="preserve"> o</w:t>
      </w:r>
      <w:r w:rsidRPr="006967DA">
        <w:rPr>
          <w:rFonts w:cs="Arial"/>
          <w:szCs w:val="22"/>
          <w:lang w:val="cs-CZ"/>
        </w:rPr>
        <w:t> </w:t>
      </w:r>
      <w:r w:rsidR="00421490" w:rsidRPr="006967DA">
        <w:rPr>
          <w:rFonts w:cs="Arial"/>
          <w:szCs w:val="22"/>
          <w:lang w:val="cs-CZ"/>
        </w:rPr>
        <w:t xml:space="preserve">majetku státu, </w:t>
      </w:r>
      <w:r w:rsidR="00271FC3" w:rsidRPr="006967DA">
        <w:rPr>
          <w:rFonts w:cs="Arial"/>
          <w:szCs w:val="22"/>
          <w:lang w:val="cs-CZ"/>
        </w:rPr>
        <w:t>s nímž</w:t>
      </w:r>
      <w:r w:rsidR="00421490" w:rsidRPr="006967DA">
        <w:rPr>
          <w:rFonts w:cs="Arial"/>
          <w:szCs w:val="22"/>
          <w:lang w:val="cs-CZ"/>
        </w:rPr>
        <w:t xml:space="preserve"> má PKÚ právo hospodařit</w:t>
      </w:r>
      <w:r w:rsidRPr="006967DA">
        <w:rPr>
          <w:rFonts w:cs="Arial"/>
          <w:szCs w:val="22"/>
          <w:lang w:val="cs-CZ"/>
        </w:rPr>
        <w:t>.</w:t>
      </w:r>
      <w:r w:rsidRPr="006967DA">
        <w:rPr>
          <w:rFonts w:cs="Arial"/>
          <w:szCs w:val="22"/>
          <w:lang w:val="cs-CZ" w:eastAsia="cs-CZ"/>
        </w:rPr>
        <w:t xml:space="preserve"> </w:t>
      </w:r>
      <w:r w:rsidR="00421490" w:rsidRPr="006967DA">
        <w:rPr>
          <w:rFonts w:cs="Arial"/>
          <w:szCs w:val="22"/>
          <w:lang w:val="cs-CZ"/>
        </w:rPr>
        <w:t>V</w:t>
      </w:r>
      <w:r w:rsidR="00610920" w:rsidRPr="006967DA">
        <w:rPr>
          <w:rFonts w:cs="Arial"/>
          <w:szCs w:val="22"/>
          <w:lang w:val="cs-CZ"/>
        </w:rPr>
        <w:t> katastru nemovitostí nebylo evidován</w:t>
      </w:r>
      <w:r w:rsidR="00DB3983">
        <w:rPr>
          <w:rFonts w:cs="Arial"/>
          <w:szCs w:val="22"/>
          <w:lang w:val="cs-CZ"/>
        </w:rPr>
        <w:t>o v roce 2010 celkem 58 budov a </w:t>
      </w:r>
      <w:r w:rsidR="00610920" w:rsidRPr="006967DA">
        <w:rPr>
          <w:rFonts w:cs="Arial"/>
          <w:szCs w:val="22"/>
          <w:lang w:val="cs-CZ"/>
        </w:rPr>
        <w:t xml:space="preserve">staveb </w:t>
      </w:r>
      <w:r w:rsidR="002744E6" w:rsidRPr="006967DA">
        <w:rPr>
          <w:rFonts w:cs="Arial"/>
          <w:szCs w:val="22"/>
          <w:lang w:val="cs-CZ"/>
        </w:rPr>
        <w:t>(tj. 8,6 % z celkového počtu budov a staveb veden</w:t>
      </w:r>
      <w:r w:rsidR="00511C81" w:rsidRPr="006967DA">
        <w:rPr>
          <w:rFonts w:cs="Arial"/>
          <w:szCs w:val="22"/>
          <w:lang w:val="cs-CZ"/>
        </w:rPr>
        <w:t>ých</w:t>
      </w:r>
      <w:r w:rsidR="002744E6" w:rsidRPr="006967DA">
        <w:rPr>
          <w:rFonts w:cs="Arial"/>
          <w:szCs w:val="22"/>
          <w:lang w:val="cs-CZ"/>
        </w:rPr>
        <w:t xml:space="preserve"> v účetn</w:t>
      </w:r>
      <w:r w:rsidR="00511C81" w:rsidRPr="006967DA">
        <w:rPr>
          <w:rFonts w:cs="Arial"/>
          <w:szCs w:val="22"/>
          <w:lang w:val="cs-CZ"/>
        </w:rPr>
        <w:t>ictví</w:t>
      </w:r>
      <w:r w:rsidR="002744E6" w:rsidRPr="006967DA">
        <w:rPr>
          <w:rFonts w:cs="Arial"/>
          <w:szCs w:val="22"/>
          <w:lang w:val="cs-CZ"/>
        </w:rPr>
        <w:t>)</w:t>
      </w:r>
      <w:r w:rsidR="00610920" w:rsidRPr="006967DA">
        <w:rPr>
          <w:rFonts w:cs="Arial"/>
          <w:szCs w:val="22"/>
          <w:lang w:val="cs-CZ"/>
        </w:rPr>
        <w:t xml:space="preserve">, v roce 2011 celkem 32 </w:t>
      </w:r>
      <w:r w:rsidR="006D5C4C" w:rsidRPr="006967DA">
        <w:rPr>
          <w:rFonts w:cs="Arial"/>
          <w:szCs w:val="22"/>
          <w:lang w:val="cs-CZ"/>
        </w:rPr>
        <w:t xml:space="preserve">budov a </w:t>
      </w:r>
      <w:r w:rsidR="00610920" w:rsidRPr="006967DA">
        <w:rPr>
          <w:rFonts w:cs="Arial"/>
          <w:szCs w:val="22"/>
          <w:lang w:val="cs-CZ"/>
        </w:rPr>
        <w:t xml:space="preserve">staveb </w:t>
      </w:r>
      <w:r w:rsidR="002744E6" w:rsidRPr="006967DA">
        <w:rPr>
          <w:rFonts w:cs="Arial"/>
          <w:szCs w:val="22"/>
          <w:lang w:val="cs-CZ"/>
        </w:rPr>
        <w:t>(tj.</w:t>
      </w:r>
      <w:r w:rsidR="002B05A7" w:rsidRPr="006967DA">
        <w:rPr>
          <w:rFonts w:cs="Arial"/>
          <w:szCs w:val="22"/>
          <w:lang w:val="cs-CZ"/>
        </w:rPr>
        <w:t> </w:t>
      </w:r>
      <w:r w:rsidR="002744E6" w:rsidRPr="006967DA">
        <w:rPr>
          <w:rFonts w:cs="Arial"/>
          <w:szCs w:val="22"/>
          <w:lang w:val="cs-CZ"/>
        </w:rPr>
        <w:t>5,5</w:t>
      </w:r>
      <w:r w:rsidR="002B05A7" w:rsidRPr="006967DA">
        <w:rPr>
          <w:rFonts w:cs="Arial"/>
          <w:szCs w:val="22"/>
          <w:lang w:val="cs-CZ"/>
        </w:rPr>
        <w:t> </w:t>
      </w:r>
      <w:r w:rsidR="002744E6" w:rsidRPr="006967DA">
        <w:rPr>
          <w:rFonts w:cs="Arial"/>
          <w:szCs w:val="22"/>
          <w:lang w:val="cs-CZ"/>
        </w:rPr>
        <w:t xml:space="preserve">%) </w:t>
      </w:r>
      <w:r w:rsidR="00610920" w:rsidRPr="006967DA">
        <w:rPr>
          <w:rFonts w:cs="Arial"/>
          <w:szCs w:val="22"/>
          <w:lang w:val="cs-CZ"/>
        </w:rPr>
        <w:t xml:space="preserve">a v roce 2012 celkem 26 </w:t>
      </w:r>
      <w:r w:rsidR="006D5C4C" w:rsidRPr="006967DA">
        <w:rPr>
          <w:rFonts w:cs="Arial"/>
          <w:szCs w:val="22"/>
          <w:lang w:val="cs-CZ"/>
        </w:rPr>
        <w:t>budov a staveb</w:t>
      </w:r>
      <w:r w:rsidR="00610920" w:rsidRPr="006967DA">
        <w:rPr>
          <w:rFonts w:cs="Arial"/>
          <w:szCs w:val="22"/>
          <w:lang w:val="cs-CZ"/>
        </w:rPr>
        <w:t xml:space="preserve"> </w:t>
      </w:r>
      <w:r w:rsidR="002744E6" w:rsidRPr="006967DA">
        <w:rPr>
          <w:rFonts w:cs="Arial"/>
          <w:szCs w:val="22"/>
          <w:lang w:val="cs-CZ"/>
        </w:rPr>
        <w:t>(tj. 4,5 %)</w:t>
      </w:r>
      <w:r w:rsidR="00610920" w:rsidRPr="006967DA">
        <w:rPr>
          <w:rFonts w:cs="Arial"/>
          <w:szCs w:val="22"/>
          <w:lang w:val="cs-CZ"/>
        </w:rPr>
        <w:t>.</w:t>
      </w:r>
      <w:r w:rsidR="005D6EDC" w:rsidRPr="006967DA">
        <w:rPr>
          <w:rFonts w:cs="Arial"/>
          <w:szCs w:val="22"/>
          <w:lang w:val="cs-CZ"/>
        </w:rPr>
        <w:t xml:space="preserve"> </w:t>
      </w:r>
      <w:r w:rsidR="00BF1F0B" w:rsidRPr="006967DA">
        <w:rPr>
          <w:rFonts w:cs="Arial"/>
          <w:szCs w:val="22"/>
          <w:lang w:val="cs-CZ"/>
        </w:rPr>
        <w:t xml:space="preserve">Jednalo se o budovy a stavby, které byly </w:t>
      </w:r>
      <w:r w:rsidR="005138A8" w:rsidRPr="006967DA">
        <w:rPr>
          <w:rFonts w:cs="Arial"/>
          <w:szCs w:val="22"/>
          <w:lang w:val="cs-CZ"/>
        </w:rPr>
        <w:t>(</w:t>
      </w:r>
      <w:r w:rsidR="00BF1F0B" w:rsidRPr="006967DA">
        <w:rPr>
          <w:rFonts w:cs="Arial"/>
          <w:szCs w:val="22"/>
          <w:lang w:val="cs-CZ"/>
        </w:rPr>
        <w:t>nebo budou</w:t>
      </w:r>
      <w:r w:rsidR="006D5C4C" w:rsidRPr="006967DA">
        <w:rPr>
          <w:rFonts w:cs="Arial"/>
          <w:szCs w:val="22"/>
          <w:lang w:val="cs-CZ"/>
        </w:rPr>
        <w:t xml:space="preserve"> </w:t>
      </w:r>
      <w:r w:rsidR="00BF1F0B" w:rsidRPr="006967DA">
        <w:rPr>
          <w:rFonts w:cs="Arial"/>
          <w:szCs w:val="22"/>
          <w:lang w:val="cs-CZ"/>
        </w:rPr>
        <w:t>v následujících letech</w:t>
      </w:r>
      <w:r w:rsidR="006D5C4C" w:rsidRPr="006967DA">
        <w:rPr>
          <w:rFonts w:cs="Arial"/>
          <w:szCs w:val="22"/>
          <w:lang w:val="cs-CZ"/>
        </w:rPr>
        <w:t xml:space="preserve"> dle</w:t>
      </w:r>
      <w:r w:rsidR="00751E74" w:rsidRPr="006967DA">
        <w:rPr>
          <w:rFonts w:cs="Arial"/>
          <w:szCs w:val="22"/>
          <w:lang w:val="cs-CZ"/>
        </w:rPr>
        <w:t> </w:t>
      </w:r>
      <w:r w:rsidR="006D5C4C" w:rsidRPr="006967DA">
        <w:rPr>
          <w:rFonts w:cs="Arial"/>
          <w:szCs w:val="22"/>
          <w:lang w:val="cs-CZ"/>
        </w:rPr>
        <w:t>p</w:t>
      </w:r>
      <w:r w:rsidR="00E6513C" w:rsidRPr="006967DA">
        <w:rPr>
          <w:rFonts w:cs="Arial"/>
          <w:szCs w:val="22"/>
          <w:lang w:val="cs-CZ"/>
        </w:rPr>
        <w:t>rogramů</w:t>
      </w:r>
      <w:r w:rsidR="006D5C4C" w:rsidRPr="006967DA">
        <w:rPr>
          <w:rFonts w:cs="Arial"/>
          <w:szCs w:val="22"/>
          <w:lang w:val="cs-CZ"/>
        </w:rPr>
        <w:t xml:space="preserve"> </w:t>
      </w:r>
      <w:r w:rsidR="00726ABF" w:rsidRPr="006967DA">
        <w:rPr>
          <w:rFonts w:cs="Arial"/>
          <w:szCs w:val="22"/>
          <w:lang w:val="cs-CZ"/>
        </w:rPr>
        <w:t>zahlazování následků hornické činnosti</w:t>
      </w:r>
      <w:r w:rsidR="006D5C4C" w:rsidRPr="006967DA">
        <w:rPr>
          <w:rFonts w:cs="Arial"/>
          <w:szCs w:val="22"/>
          <w:lang w:val="cs-CZ"/>
        </w:rPr>
        <w:t xml:space="preserve">) </w:t>
      </w:r>
      <w:r w:rsidR="00BF1F0B" w:rsidRPr="006967DA">
        <w:rPr>
          <w:rFonts w:cs="Arial"/>
          <w:szCs w:val="22"/>
          <w:lang w:val="cs-CZ"/>
        </w:rPr>
        <w:t>zdemolovány</w:t>
      </w:r>
      <w:r w:rsidR="00DB3983">
        <w:rPr>
          <w:rFonts w:cs="Arial"/>
          <w:szCs w:val="22"/>
          <w:lang w:val="cs-CZ"/>
        </w:rPr>
        <w:t>,</w:t>
      </w:r>
      <w:r w:rsidR="00BF1F0B" w:rsidRPr="006967DA">
        <w:rPr>
          <w:rFonts w:cs="Arial"/>
          <w:szCs w:val="22"/>
          <w:lang w:val="cs-CZ"/>
        </w:rPr>
        <w:t xml:space="preserve"> nebo o nemovitosti, které byly </w:t>
      </w:r>
      <w:r w:rsidR="00B41AEA" w:rsidRPr="006967DA">
        <w:rPr>
          <w:rFonts w:cs="Arial"/>
          <w:szCs w:val="22"/>
          <w:lang w:val="cs-CZ"/>
        </w:rPr>
        <w:t xml:space="preserve">po kompletaci dokumentace </w:t>
      </w:r>
      <w:r w:rsidR="00BF1F0B" w:rsidRPr="006967DA">
        <w:rPr>
          <w:rFonts w:cs="Arial"/>
          <w:szCs w:val="22"/>
          <w:lang w:val="cs-CZ"/>
        </w:rPr>
        <w:t xml:space="preserve">zapsány do katastru nemovitostí </w:t>
      </w:r>
      <w:r w:rsidR="006D5C4C" w:rsidRPr="006967DA">
        <w:rPr>
          <w:rFonts w:cs="Arial"/>
          <w:szCs w:val="22"/>
          <w:lang w:val="cs-CZ"/>
        </w:rPr>
        <w:t>s časovou prodlevou</w:t>
      </w:r>
      <w:r w:rsidR="00BF1F0B" w:rsidRPr="006967DA">
        <w:rPr>
          <w:rFonts w:cs="Arial"/>
          <w:szCs w:val="22"/>
          <w:lang w:val="cs-CZ"/>
        </w:rPr>
        <w:t>.</w:t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F6154C" w:rsidRPr="006408E8" w:rsidRDefault="00DB3983" w:rsidP="00D86D6E">
      <w:pPr>
        <w:pStyle w:val="normlnmezera"/>
        <w:spacing w:before="0"/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2.1.2 </w:t>
      </w:r>
      <w:r w:rsidR="00355E4E" w:rsidRPr="006408E8">
        <w:rPr>
          <w:rFonts w:cs="Arial"/>
          <w:b/>
          <w:szCs w:val="22"/>
          <w:lang w:val="cs-CZ"/>
        </w:rPr>
        <w:t>Přírůstky majetku</w:t>
      </w:r>
    </w:p>
    <w:p w:rsidR="00D86D6E" w:rsidRPr="006967DA" w:rsidRDefault="00D86D6E" w:rsidP="00D86D6E">
      <w:pPr>
        <w:tabs>
          <w:tab w:val="center" w:pos="7230"/>
        </w:tabs>
        <w:rPr>
          <w:rFonts w:cs="Arial"/>
          <w:szCs w:val="22"/>
          <w:lang w:val="cs-CZ"/>
        </w:rPr>
      </w:pPr>
    </w:p>
    <w:p w:rsidR="002B05A7" w:rsidRPr="006967DA" w:rsidRDefault="007D1D07" w:rsidP="00D86D6E">
      <w:pPr>
        <w:tabs>
          <w:tab w:val="center" w:pos="7230"/>
        </w:tabs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v 1</w:t>
      </w:r>
      <w:r w:rsidR="00736612" w:rsidRPr="006967DA">
        <w:rPr>
          <w:rFonts w:cs="Arial"/>
          <w:szCs w:val="22"/>
          <w:lang w:val="cs-CZ"/>
        </w:rPr>
        <w:t>7</w:t>
      </w:r>
      <w:r w:rsidRPr="006967DA">
        <w:rPr>
          <w:rFonts w:cs="Arial"/>
          <w:szCs w:val="22"/>
          <w:lang w:val="cs-CZ"/>
        </w:rPr>
        <w:t xml:space="preserve"> případech </w:t>
      </w:r>
      <w:r w:rsidR="005F57DD" w:rsidRPr="006967DA">
        <w:rPr>
          <w:rFonts w:cs="Arial"/>
          <w:szCs w:val="22"/>
          <w:lang w:val="cs-CZ"/>
        </w:rPr>
        <w:t xml:space="preserve">u majetku vedeného na účtu </w:t>
      </w:r>
      <w:r w:rsidR="005F57DD" w:rsidRPr="006408E8">
        <w:rPr>
          <w:rFonts w:cs="Arial"/>
          <w:szCs w:val="22"/>
          <w:lang w:val="cs-CZ"/>
        </w:rPr>
        <w:t xml:space="preserve">042 </w:t>
      </w:r>
      <w:r w:rsidR="002B05A7" w:rsidRPr="006408E8">
        <w:rPr>
          <w:rFonts w:cs="Arial"/>
          <w:szCs w:val="22"/>
          <w:lang w:val="cs-CZ"/>
        </w:rPr>
        <w:t>–</w:t>
      </w:r>
      <w:r w:rsidR="005F57DD" w:rsidRPr="006408E8">
        <w:rPr>
          <w:rFonts w:cs="Arial"/>
          <w:szCs w:val="22"/>
          <w:lang w:val="cs-CZ"/>
        </w:rPr>
        <w:t xml:space="preserve"> </w:t>
      </w:r>
      <w:r w:rsidR="005F57DD" w:rsidRPr="006967DA">
        <w:rPr>
          <w:rFonts w:cs="Arial"/>
          <w:i/>
          <w:szCs w:val="22"/>
          <w:lang w:val="cs-CZ"/>
        </w:rPr>
        <w:t>Pořízení dlouhodobého hmotného majetku</w:t>
      </w:r>
      <w:r w:rsidR="005F57DD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v pořizovací ceně 1</w:t>
      </w:r>
      <w:r w:rsidR="00F71CA9" w:rsidRPr="006967DA">
        <w:rPr>
          <w:rFonts w:cs="Arial"/>
          <w:szCs w:val="22"/>
          <w:lang w:val="cs-CZ"/>
        </w:rPr>
        <w:t>5</w:t>
      </w:r>
      <w:r w:rsidR="000B722C" w:rsidRPr="006967DA">
        <w:rPr>
          <w:rFonts w:cs="Arial"/>
          <w:szCs w:val="22"/>
          <w:lang w:val="cs-CZ"/>
        </w:rPr>
        <w:t> </w:t>
      </w:r>
      <w:r w:rsidR="00F71CA9" w:rsidRPr="006967DA">
        <w:rPr>
          <w:rFonts w:cs="Arial"/>
          <w:szCs w:val="22"/>
          <w:lang w:val="cs-CZ"/>
        </w:rPr>
        <w:t>626</w:t>
      </w:r>
      <w:r w:rsidR="000B722C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 xml:space="preserve">Kč </w:t>
      </w:r>
      <w:r w:rsidR="005F57DD" w:rsidRPr="006967DA">
        <w:rPr>
          <w:rFonts w:cs="Arial"/>
          <w:szCs w:val="22"/>
          <w:lang w:val="cs-CZ"/>
        </w:rPr>
        <w:t xml:space="preserve">neúčtoval o zařazení majetku na příslušný majetkový účet </w:t>
      </w:r>
      <w:r w:rsidR="005F57DD" w:rsidRPr="006408E8">
        <w:rPr>
          <w:rFonts w:cs="Arial"/>
          <w:szCs w:val="22"/>
          <w:lang w:val="cs-CZ"/>
        </w:rPr>
        <w:t xml:space="preserve">021 – </w:t>
      </w:r>
      <w:r w:rsidR="005F57DD" w:rsidRPr="006967DA">
        <w:rPr>
          <w:rFonts w:cs="Arial"/>
          <w:i/>
          <w:szCs w:val="22"/>
          <w:lang w:val="cs-CZ"/>
        </w:rPr>
        <w:t>Stavby</w:t>
      </w:r>
      <w:r w:rsidR="005F57DD" w:rsidRPr="006967DA">
        <w:rPr>
          <w:rFonts w:cs="Arial"/>
          <w:szCs w:val="22"/>
          <w:lang w:val="cs-CZ"/>
        </w:rPr>
        <w:t xml:space="preserve">, </w:t>
      </w:r>
      <w:r w:rsidR="005F57DD" w:rsidRPr="006408E8">
        <w:rPr>
          <w:rFonts w:cs="Arial"/>
          <w:szCs w:val="22"/>
          <w:lang w:val="cs-CZ"/>
        </w:rPr>
        <w:t xml:space="preserve">022 – </w:t>
      </w:r>
      <w:r w:rsidR="005F57DD" w:rsidRPr="006967DA">
        <w:rPr>
          <w:rFonts w:cs="Arial"/>
          <w:i/>
          <w:szCs w:val="22"/>
          <w:lang w:val="cs-CZ"/>
        </w:rPr>
        <w:t>Samostatné movité věci a soubory movitých věcí</w:t>
      </w:r>
      <w:r w:rsidR="005F57DD" w:rsidRPr="006967DA">
        <w:rPr>
          <w:rFonts w:cs="Arial"/>
          <w:szCs w:val="22"/>
          <w:lang w:val="cs-CZ"/>
        </w:rPr>
        <w:t xml:space="preserve"> v době, kdy byl tento majetek způsobilý k</w:t>
      </w:r>
      <w:r w:rsidR="00C557EF" w:rsidRPr="006967DA">
        <w:rPr>
          <w:rFonts w:cs="Arial"/>
          <w:szCs w:val="22"/>
          <w:lang w:val="cs-CZ"/>
        </w:rPr>
        <w:t> </w:t>
      </w:r>
      <w:r w:rsidR="005F57DD" w:rsidRPr="006967DA">
        <w:rPr>
          <w:rFonts w:cs="Arial"/>
          <w:szCs w:val="22"/>
          <w:lang w:val="cs-CZ"/>
        </w:rPr>
        <w:t>užívání</w:t>
      </w:r>
      <w:r w:rsidR="00C557EF" w:rsidRPr="006967DA">
        <w:rPr>
          <w:rFonts w:cs="Arial"/>
          <w:szCs w:val="22"/>
          <w:lang w:val="cs-CZ"/>
        </w:rPr>
        <w:t>, ale</w:t>
      </w:r>
      <w:r w:rsidRPr="006967DA">
        <w:rPr>
          <w:rFonts w:cs="Arial"/>
          <w:szCs w:val="22"/>
          <w:lang w:val="cs-CZ"/>
        </w:rPr>
        <w:t xml:space="preserve"> až v následujícím účetním období</w:t>
      </w:r>
      <w:r w:rsidR="003C4873" w:rsidRPr="006967DA">
        <w:rPr>
          <w:rFonts w:cs="Arial"/>
          <w:szCs w:val="22"/>
          <w:lang w:val="cs-CZ"/>
        </w:rPr>
        <w:t xml:space="preserve"> (</w:t>
      </w:r>
      <w:r w:rsidR="00B42A81">
        <w:rPr>
          <w:rFonts w:cs="Arial"/>
          <w:szCs w:val="22"/>
          <w:lang w:val="cs-CZ"/>
        </w:rPr>
        <w:t xml:space="preserve">viz </w:t>
      </w:r>
      <w:r w:rsidR="00DB3983">
        <w:rPr>
          <w:rFonts w:cs="Arial"/>
          <w:szCs w:val="22"/>
          <w:lang w:val="cs-CZ"/>
        </w:rPr>
        <w:t>t</w:t>
      </w:r>
      <w:r w:rsidR="003C4873" w:rsidRPr="006967DA">
        <w:rPr>
          <w:rFonts w:cs="Arial"/>
          <w:szCs w:val="22"/>
          <w:lang w:val="cs-CZ"/>
        </w:rPr>
        <w:t xml:space="preserve">abulka č. </w:t>
      </w:r>
      <w:r w:rsidR="0001740F" w:rsidRPr="006967DA">
        <w:rPr>
          <w:rFonts w:cs="Arial"/>
          <w:szCs w:val="22"/>
          <w:lang w:val="cs-CZ"/>
        </w:rPr>
        <w:t>4</w:t>
      </w:r>
      <w:r w:rsidR="003C4873" w:rsidRPr="006967DA">
        <w:rPr>
          <w:rFonts w:cs="Arial"/>
          <w:szCs w:val="22"/>
          <w:lang w:val="cs-CZ"/>
        </w:rPr>
        <w:t>)</w:t>
      </w:r>
      <w:r w:rsidRPr="006967DA">
        <w:rPr>
          <w:rFonts w:cs="Arial"/>
          <w:szCs w:val="22"/>
          <w:lang w:val="cs-CZ"/>
        </w:rPr>
        <w:t>.</w:t>
      </w:r>
    </w:p>
    <w:p w:rsidR="00D86D6E" w:rsidRPr="006967DA" w:rsidRDefault="00D86D6E" w:rsidP="00D86D6E">
      <w:pPr>
        <w:tabs>
          <w:tab w:val="center" w:pos="7230"/>
        </w:tabs>
        <w:rPr>
          <w:rFonts w:cs="Arial"/>
          <w:szCs w:val="22"/>
          <w:lang w:val="cs-CZ"/>
        </w:rPr>
      </w:pPr>
    </w:p>
    <w:p w:rsidR="007D1D07" w:rsidRPr="006967DA" w:rsidRDefault="00B42A81" w:rsidP="00B42A81">
      <w:pPr>
        <w:tabs>
          <w:tab w:val="left" w:pos="8364"/>
        </w:tabs>
        <w:spacing w:after="40"/>
        <w:ind w:left="1560" w:hanging="1560"/>
        <w:rPr>
          <w:rFonts w:cs="Arial"/>
          <w:szCs w:val="22"/>
          <w:lang w:val="cs-CZ" w:eastAsia="cs-CZ"/>
        </w:rPr>
      </w:pPr>
      <w:r>
        <w:rPr>
          <w:rFonts w:cs="Arial"/>
          <w:b/>
          <w:szCs w:val="22"/>
          <w:lang w:val="cs-CZ" w:eastAsia="cs-CZ"/>
        </w:rPr>
        <w:t>Tabulka č. </w:t>
      </w:r>
      <w:r w:rsidR="0001740F" w:rsidRPr="006967DA">
        <w:rPr>
          <w:rFonts w:cs="Arial"/>
          <w:b/>
          <w:szCs w:val="22"/>
          <w:lang w:val="cs-CZ" w:eastAsia="cs-CZ"/>
        </w:rPr>
        <w:t>4</w:t>
      </w:r>
      <w:r w:rsidR="007D1D07" w:rsidRPr="006967DA">
        <w:rPr>
          <w:rFonts w:cs="Arial"/>
          <w:b/>
          <w:szCs w:val="22"/>
          <w:lang w:val="cs-CZ" w:eastAsia="cs-CZ"/>
        </w:rPr>
        <w:t xml:space="preserve"> –</w:t>
      </w:r>
      <w:r>
        <w:rPr>
          <w:rFonts w:cs="Arial"/>
          <w:b/>
          <w:szCs w:val="22"/>
          <w:lang w:val="cs-CZ" w:eastAsia="cs-CZ"/>
        </w:rPr>
        <w:tab/>
      </w:r>
      <w:r w:rsidR="007D1D07" w:rsidRPr="006967DA">
        <w:rPr>
          <w:rFonts w:cs="Arial"/>
          <w:b/>
          <w:szCs w:val="22"/>
          <w:lang w:val="cs-CZ" w:eastAsia="cs-CZ"/>
        </w:rPr>
        <w:t>Přehled majetku, který byl způsobilý k užívání a byl zaúčtován až</w:t>
      </w:r>
      <w:r w:rsidR="00751E74" w:rsidRPr="006967DA">
        <w:rPr>
          <w:rFonts w:cs="Arial"/>
          <w:b/>
          <w:szCs w:val="22"/>
          <w:lang w:val="cs-CZ" w:eastAsia="cs-CZ"/>
        </w:rPr>
        <w:t> </w:t>
      </w:r>
      <w:r w:rsidR="007D1D07" w:rsidRPr="006967DA">
        <w:rPr>
          <w:rFonts w:cs="Arial"/>
          <w:b/>
          <w:szCs w:val="22"/>
          <w:lang w:val="cs-CZ" w:eastAsia="cs-CZ"/>
        </w:rPr>
        <w:t>v ná</w:t>
      </w:r>
      <w:r w:rsidR="002B05A7" w:rsidRPr="006967DA">
        <w:rPr>
          <w:rFonts w:cs="Arial"/>
          <w:b/>
          <w:szCs w:val="22"/>
          <w:lang w:val="cs-CZ" w:eastAsia="cs-CZ"/>
        </w:rPr>
        <w:t>sl</w:t>
      </w:r>
      <w:r w:rsidR="00183E48" w:rsidRPr="006967DA">
        <w:rPr>
          <w:rFonts w:cs="Arial"/>
          <w:b/>
          <w:szCs w:val="22"/>
          <w:lang w:val="cs-CZ" w:eastAsia="cs-CZ"/>
        </w:rPr>
        <w:t>edujícím účetním období</w:t>
      </w:r>
      <w:r w:rsidR="002B05A7" w:rsidRPr="006967DA">
        <w:rPr>
          <w:rFonts w:cs="Arial"/>
          <w:b/>
          <w:szCs w:val="22"/>
          <w:lang w:val="cs-CZ" w:eastAsia="cs-CZ"/>
        </w:rPr>
        <w:tab/>
      </w:r>
      <w:r w:rsidR="00A63DAF" w:rsidRPr="006408E8">
        <w:rPr>
          <w:rFonts w:cs="Arial"/>
          <w:b/>
          <w:szCs w:val="22"/>
          <w:lang w:val="cs-CZ" w:eastAsia="cs-CZ"/>
        </w:rPr>
        <w:t>(</w:t>
      </w:r>
      <w:r w:rsidR="007D1D07" w:rsidRPr="006408E8">
        <w:rPr>
          <w:rFonts w:cs="Arial"/>
          <w:b/>
          <w:szCs w:val="22"/>
          <w:lang w:val="cs-CZ" w:eastAsia="cs-CZ"/>
        </w:rPr>
        <w:t>v Kč</w:t>
      </w:r>
      <w:r w:rsidR="00A63DAF" w:rsidRPr="006408E8">
        <w:rPr>
          <w:rFonts w:cs="Arial"/>
          <w:b/>
          <w:szCs w:val="22"/>
          <w:lang w:val="cs-CZ" w:eastAsia="cs-CZ"/>
        </w:rPr>
        <w:t>)</w:t>
      </w:r>
    </w:p>
    <w:tbl>
      <w:tblPr>
        <w:tblStyle w:val="Mkatabulky"/>
        <w:tblW w:w="8971" w:type="dxa"/>
        <w:jc w:val="center"/>
        <w:tblInd w:w="567" w:type="dxa"/>
        <w:tblLook w:val="04A0" w:firstRow="1" w:lastRow="0" w:firstColumn="1" w:lastColumn="0" w:noHBand="0" w:noVBand="1"/>
      </w:tblPr>
      <w:tblGrid>
        <w:gridCol w:w="2551"/>
        <w:gridCol w:w="1208"/>
        <w:gridCol w:w="1296"/>
        <w:gridCol w:w="1297"/>
        <w:gridCol w:w="1297"/>
        <w:gridCol w:w="1322"/>
      </w:tblGrid>
      <w:tr w:rsidR="00170B2A" w:rsidRPr="00B42A81" w:rsidTr="00170B2A">
        <w:trPr>
          <w:trHeight w:val="227"/>
          <w:jc w:val="center"/>
        </w:trPr>
        <w:tc>
          <w:tcPr>
            <w:tcW w:w="2551" w:type="dxa"/>
            <w:vMerge w:val="restart"/>
            <w:vAlign w:val="center"/>
          </w:tcPr>
          <w:p w:rsidR="00170B2A" w:rsidRPr="00B42A81" w:rsidRDefault="00170B2A" w:rsidP="00170B2A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Číslo účtu</w:t>
            </w:r>
          </w:p>
        </w:tc>
        <w:tc>
          <w:tcPr>
            <w:tcW w:w="5098" w:type="dxa"/>
            <w:gridSpan w:val="4"/>
            <w:vAlign w:val="center"/>
          </w:tcPr>
          <w:p w:rsidR="00170B2A" w:rsidRPr="00B42A81" w:rsidRDefault="00170B2A" w:rsidP="007C7B45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Pořizovací cena majetku v Kč, který byl způsobilý k užívání ke dni</w:t>
            </w:r>
          </w:p>
        </w:tc>
        <w:tc>
          <w:tcPr>
            <w:tcW w:w="1322" w:type="dxa"/>
            <w:vMerge w:val="restart"/>
            <w:vAlign w:val="center"/>
          </w:tcPr>
          <w:p w:rsidR="00170B2A" w:rsidRPr="00B42A81" w:rsidRDefault="00170B2A" w:rsidP="007C7B45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Celkem</w:t>
            </w:r>
          </w:p>
        </w:tc>
      </w:tr>
      <w:tr w:rsidR="00170B2A" w:rsidRPr="00B42A81" w:rsidTr="00170B2A">
        <w:trPr>
          <w:trHeight w:val="227"/>
          <w:jc w:val="center"/>
        </w:trPr>
        <w:tc>
          <w:tcPr>
            <w:tcW w:w="2551" w:type="dxa"/>
            <w:vMerge/>
            <w:vAlign w:val="center"/>
          </w:tcPr>
          <w:p w:rsidR="00170B2A" w:rsidRPr="00B42A81" w:rsidRDefault="00170B2A" w:rsidP="00B42A81">
            <w:pPr>
              <w:spacing w:before="40"/>
              <w:jc w:val="left"/>
              <w:rPr>
                <w:rFonts w:cs="Arial"/>
                <w:sz w:val="16"/>
                <w:szCs w:val="16"/>
                <w:lang w:val="cs-CZ"/>
              </w:rPr>
            </w:pPr>
          </w:p>
        </w:tc>
        <w:tc>
          <w:tcPr>
            <w:tcW w:w="1208" w:type="dxa"/>
            <w:vAlign w:val="center"/>
          </w:tcPr>
          <w:p w:rsidR="00170B2A" w:rsidRPr="00B42A81" w:rsidRDefault="00170B2A" w:rsidP="007C7B45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31.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12.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2009</w:t>
            </w:r>
          </w:p>
        </w:tc>
        <w:tc>
          <w:tcPr>
            <w:tcW w:w="1296" w:type="dxa"/>
            <w:vAlign w:val="center"/>
          </w:tcPr>
          <w:p w:rsidR="00170B2A" w:rsidRPr="00B42A81" w:rsidRDefault="00170B2A" w:rsidP="005B346B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31.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12.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20</w:t>
            </w:r>
            <w:r w:rsidR="005B346B">
              <w:rPr>
                <w:rFonts w:cs="Arial"/>
                <w:sz w:val="16"/>
                <w:szCs w:val="16"/>
                <w:lang w:val="cs-CZ"/>
              </w:rPr>
              <w:t>1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1297" w:type="dxa"/>
            <w:vAlign w:val="center"/>
          </w:tcPr>
          <w:p w:rsidR="00170B2A" w:rsidRPr="00B42A81" w:rsidRDefault="00170B2A" w:rsidP="005B346B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31.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12.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20</w:t>
            </w:r>
            <w:r w:rsidR="005B346B">
              <w:rPr>
                <w:rFonts w:cs="Arial"/>
                <w:sz w:val="16"/>
                <w:szCs w:val="16"/>
                <w:lang w:val="cs-CZ"/>
              </w:rPr>
              <w:t>11</w:t>
            </w:r>
          </w:p>
        </w:tc>
        <w:tc>
          <w:tcPr>
            <w:tcW w:w="1297" w:type="dxa"/>
            <w:vAlign w:val="center"/>
          </w:tcPr>
          <w:p w:rsidR="00170B2A" w:rsidRPr="00B42A81" w:rsidRDefault="00170B2A" w:rsidP="005B346B">
            <w:pPr>
              <w:spacing w:before="40"/>
              <w:jc w:val="center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31.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12.</w:t>
            </w:r>
            <w:r w:rsidR="00A85EAB">
              <w:rPr>
                <w:rFonts w:cs="Arial"/>
                <w:sz w:val="16"/>
                <w:szCs w:val="16"/>
                <w:lang w:val="cs-CZ"/>
              </w:rPr>
              <w:t> </w:t>
            </w:r>
            <w:r w:rsidRPr="00B42A81">
              <w:rPr>
                <w:rFonts w:cs="Arial"/>
                <w:sz w:val="16"/>
                <w:szCs w:val="16"/>
                <w:lang w:val="cs-CZ"/>
              </w:rPr>
              <w:t>20</w:t>
            </w:r>
            <w:r w:rsidR="005B346B">
              <w:rPr>
                <w:rFonts w:cs="Arial"/>
                <w:sz w:val="16"/>
                <w:szCs w:val="16"/>
                <w:lang w:val="cs-CZ"/>
              </w:rPr>
              <w:t>12</w:t>
            </w:r>
          </w:p>
        </w:tc>
        <w:tc>
          <w:tcPr>
            <w:tcW w:w="1322" w:type="dxa"/>
            <w:vMerge/>
            <w:vAlign w:val="center"/>
          </w:tcPr>
          <w:p w:rsidR="00170B2A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</w:p>
        </w:tc>
      </w:tr>
      <w:tr w:rsidR="00B42A81" w:rsidRPr="00B42A81" w:rsidTr="00170B2A">
        <w:trPr>
          <w:trHeight w:val="227"/>
          <w:jc w:val="center"/>
        </w:trPr>
        <w:tc>
          <w:tcPr>
            <w:tcW w:w="2551" w:type="dxa"/>
            <w:vAlign w:val="center"/>
          </w:tcPr>
          <w:p w:rsidR="00B42A81" w:rsidRPr="00B42A81" w:rsidRDefault="00B42A81" w:rsidP="00B42A81">
            <w:pPr>
              <w:spacing w:before="40"/>
              <w:jc w:val="left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042 – Pořízení DHM (Stavby)</w:t>
            </w:r>
          </w:p>
        </w:tc>
        <w:tc>
          <w:tcPr>
            <w:tcW w:w="1208" w:type="dxa"/>
            <w:vAlign w:val="center"/>
          </w:tcPr>
          <w:p w:rsidR="00B42A81" w:rsidRPr="00B42A81" w:rsidRDefault="00B42A81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3 054 022,31</w:t>
            </w:r>
          </w:p>
        </w:tc>
        <w:tc>
          <w:tcPr>
            <w:tcW w:w="1296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4 863 223,00</w:t>
            </w:r>
          </w:p>
        </w:tc>
        <w:tc>
          <w:tcPr>
            <w:tcW w:w="1297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725 000,00</w:t>
            </w:r>
          </w:p>
        </w:tc>
        <w:tc>
          <w:tcPr>
            <w:tcW w:w="1297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0,00</w:t>
            </w:r>
          </w:p>
        </w:tc>
        <w:tc>
          <w:tcPr>
            <w:tcW w:w="1322" w:type="dxa"/>
            <w:vAlign w:val="center"/>
          </w:tcPr>
          <w:p w:rsidR="00B42A81" w:rsidRPr="00B42A81" w:rsidRDefault="00B42A81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>8 642 245,31</w:t>
            </w:r>
          </w:p>
        </w:tc>
      </w:tr>
      <w:tr w:rsidR="00B42A81" w:rsidRPr="00B42A81" w:rsidTr="00170B2A">
        <w:trPr>
          <w:trHeight w:val="227"/>
          <w:jc w:val="center"/>
        </w:trPr>
        <w:tc>
          <w:tcPr>
            <w:tcW w:w="2551" w:type="dxa"/>
            <w:vAlign w:val="center"/>
          </w:tcPr>
          <w:p w:rsidR="00B42A81" w:rsidRPr="00B42A81" w:rsidRDefault="00B42A81" w:rsidP="00B42A81">
            <w:pPr>
              <w:spacing w:before="40"/>
              <w:jc w:val="left"/>
              <w:rPr>
                <w:rFonts w:cs="Arial"/>
                <w:sz w:val="16"/>
                <w:szCs w:val="16"/>
                <w:lang w:val="cs-CZ"/>
              </w:rPr>
            </w:pPr>
            <w:r w:rsidRPr="00B42A81">
              <w:rPr>
                <w:rFonts w:cs="Arial"/>
                <w:sz w:val="16"/>
                <w:szCs w:val="16"/>
                <w:lang w:val="cs-CZ"/>
              </w:rPr>
              <w:t xml:space="preserve">042 – Pořízení DHM (Sam. </w:t>
            </w:r>
            <w:proofErr w:type="spellStart"/>
            <w:r w:rsidRPr="00B42A81">
              <w:rPr>
                <w:rFonts w:cs="Arial"/>
                <w:sz w:val="16"/>
                <w:szCs w:val="16"/>
                <w:lang w:val="cs-CZ"/>
              </w:rPr>
              <w:t>mov</w:t>
            </w:r>
            <w:proofErr w:type="spellEnd"/>
            <w:r w:rsidRPr="00B42A81">
              <w:rPr>
                <w:rFonts w:cs="Arial"/>
                <w:sz w:val="16"/>
                <w:szCs w:val="16"/>
                <w:lang w:val="cs-CZ"/>
              </w:rPr>
              <w:t xml:space="preserve">. věci a soubory </w:t>
            </w:r>
            <w:proofErr w:type="spellStart"/>
            <w:r w:rsidRPr="00B42A81">
              <w:rPr>
                <w:rFonts w:cs="Arial"/>
                <w:sz w:val="16"/>
                <w:szCs w:val="16"/>
                <w:lang w:val="cs-CZ"/>
              </w:rPr>
              <w:t>mov</w:t>
            </w:r>
            <w:proofErr w:type="spellEnd"/>
            <w:r w:rsidRPr="00B42A81">
              <w:rPr>
                <w:rFonts w:cs="Arial"/>
                <w:sz w:val="16"/>
                <w:szCs w:val="16"/>
                <w:lang w:val="cs-CZ"/>
              </w:rPr>
              <w:t>. věcí</w:t>
            </w:r>
            <w:r w:rsidR="0080288F">
              <w:rPr>
                <w:rFonts w:cs="Arial"/>
                <w:sz w:val="16"/>
                <w:szCs w:val="16"/>
                <w:lang w:val="cs-CZ"/>
              </w:rPr>
              <w:t>)</w:t>
            </w:r>
            <w:bookmarkStart w:id="2" w:name="_GoBack"/>
            <w:bookmarkEnd w:id="2"/>
          </w:p>
        </w:tc>
        <w:tc>
          <w:tcPr>
            <w:tcW w:w="1208" w:type="dxa"/>
            <w:vAlign w:val="center"/>
          </w:tcPr>
          <w:p w:rsidR="00B42A81" w:rsidRPr="00B42A81" w:rsidRDefault="00B42A81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1 807 011,00</w:t>
            </w:r>
          </w:p>
        </w:tc>
        <w:tc>
          <w:tcPr>
            <w:tcW w:w="1296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1 534 561,67</w:t>
            </w:r>
          </w:p>
        </w:tc>
        <w:tc>
          <w:tcPr>
            <w:tcW w:w="1297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1 816 865,00</w:t>
            </w:r>
          </w:p>
        </w:tc>
        <w:tc>
          <w:tcPr>
            <w:tcW w:w="1297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1 825 000,00</w:t>
            </w:r>
          </w:p>
        </w:tc>
        <w:tc>
          <w:tcPr>
            <w:tcW w:w="1322" w:type="dxa"/>
            <w:vAlign w:val="center"/>
          </w:tcPr>
          <w:p w:rsidR="00B42A81" w:rsidRPr="00B42A81" w:rsidRDefault="00170B2A" w:rsidP="00B42A81">
            <w:pPr>
              <w:spacing w:before="40"/>
              <w:ind w:right="57"/>
              <w:jc w:val="right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6 983 437,67</w:t>
            </w:r>
          </w:p>
        </w:tc>
      </w:tr>
      <w:tr w:rsidR="00B42A81" w:rsidRPr="00B42A81" w:rsidTr="00170B2A">
        <w:trPr>
          <w:trHeight w:val="227"/>
          <w:jc w:val="center"/>
        </w:trPr>
        <w:tc>
          <w:tcPr>
            <w:tcW w:w="2551" w:type="dxa"/>
            <w:vAlign w:val="center"/>
          </w:tcPr>
          <w:p w:rsidR="00B42A81" w:rsidRPr="006408E8" w:rsidRDefault="00B42A81" w:rsidP="00B42A81">
            <w:pPr>
              <w:spacing w:before="40"/>
              <w:jc w:val="left"/>
              <w:rPr>
                <w:rFonts w:cs="Arial"/>
                <w:b/>
                <w:sz w:val="16"/>
                <w:szCs w:val="16"/>
                <w:lang w:val="cs-CZ"/>
              </w:rPr>
            </w:pPr>
            <w:r w:rsidRPr="006408E8">
              <w:rPr>
                <w:rFonts w:cs="Arial"/>
                <w:b/>
                <w:sz w:val="16"/>
                <w:szCs w:val="16"/>
                <w:lang w:val="cs-CZ"/>
              </w:rPr>
              <w:t>Celkem</w:t>
            </w:r>
          </w:p>
        </w:tc>
        <w:tc>
          <w:tcPr>
            <w:tcW w:w="1208" w:type="dxa"/>
            <w:vAlign w:val="center"/>
          </w:tcPr>
          <w:p w:rsidR="00B42A81" w:rsidRPr="006408E8" w:rsidRDefault="00B42A81" w:rsidP="00B42A81">
            <w:pPr>
              <w:spacing w:before="40"/>
              <w:ind w:right="57"/>
              <w:jc w:val="right"/>
              <w:rPr>
                <w:rFonts w:cs="Arial"/>
                <w:b/>
                <w:sz w:val="16"/>
                <w:szCs w:val="16"/>
                <w:lang w:val="cs-CZ"/>
              </w:rPr>
            </w:pPr>
            <w:r w:rsidRPr="006408E8">
              <w:rPr>
                <w:rFonts w:cs="Arial"/>
                <w:b/>
                <w:sz w:val="16"/>
                <w:szCs w:val="16"/>
                <w:lang w:val="cs-CZ"/>
              </w:rPr>
              <w:t>4 861 033,31</w:t>
            </w:r>
          </w:p>
        </w:tc>
        <w:tc>
          <w:tcPr>
            <w:tcW w:w="1296" w:type="dxa"/>
            <w:vAlign w:val="center"/>
          </w:tcPr>
          <w:p w:rsidR="00B42A81" w:rsidRPr="006408E8" w:rsidRDefault="00170B2A" w:rsidP="00B42A81">
            <w:pPr>
              <w:spacing w:before="40"/>
              <w:ind w:right="57"/>
              <w:jc w:val="right"/>
              <w:rPr>
                <w:rFonts w:cs="Arial"/>
                <w:b/>
                <w:sz w:val="16"/>
                <w:szCs w:val="16"/>
                <w:lang w:val="cs-CZ"/>
              </w:rPr>
            </w:pPr>
            <w:r w:rsidRPr="006408E8">
              <w:rPr>
                <w:rFonts w:cs="Arial"/>
                <w:b/>
                <w:sz w:val="16"/>
                <w:szCs w:val="16"/>
                <w:lang w:val="cs-CZ"/>
              </w:rPr>
              <w:t>6 397 784,67</w:t>
            </w:r>
          </w:p>
        </w:tc>
        <w:tc>
          <w:tcPr>
            <w:tcW w:w="1297" w:type="dxa"/>
            <w:vAlign w:val="center"/>
          </w:tcPr>
          <w:p w:rsidR="00B42A81" w:rsidRPr="006408E8" w:rsidRDefault="00170B2A" w:rsidP="00B42A81">
            <w:pPr>
              <w:spacing w:before="40"/>
              <w:ind w:right="57"/>
              <w:jc w:val="right"/>
              <w:rPr>
                <w:rFonts w:cs="Arial"/>
                <w:b/>
                <w:sz w:val="16"/>
                <w:szCs w:val="16"/>
                <w:lang w:val="cs-CZ"/>
              </w:rPr>
            </w:pPr>
            <w:r w:rsidRPr="006408E8">
              <w:rPr>
                <w:rFonts w:cs="Arial"/>
                <w:b/>
                <w:sz w:val="16"/>
                <w:szCs w:val="16"/>
                <w:lang w:val="cs-CZ"/>
              </w:rPr>
              <w:t>2 541 865,00</w:t>
            </w:r>
          </w:p>
        </w:tc>
        <w:tc>
          <w:tcPr>
            <w:tcW w:w="1297" w:type="dxa"/>
            <w:vAlign w:val="center"/>
          </w:tcPr>
          <w:p w:rsidR="00B42A81" w:rsidRPr="006408E8" w:rsidRDefault="00170B2A" w:rsidP="00B42A81">
            <w:pPr>
              <w:spacing w:before="40"/>
              <w:ind w:right="57"/>
              <w:jc w:val="right"/>
              <w:rPr>
                <w:rFonts w:cs="Arial"/>
                <w:b/>
                <w:sz w:val="16"/>
                <w:szCs w:val="16"/>
                <w:lang w:val="cs-CZ"/>
              </w:rPr>
            </w:pPr>
            <w:r w:rsidRPr="006408E8">
              <w:rPr>
                <w:rFonts w:cs="Arial"/>
                <w:b/>
                <w:sz w:val="16"/>
                <w:szCs w:val="16"/>
                <w:lang w:val="cs-CZ"/>
              </w:rPr>
              <w:t>1 825 000,00</w:t>
            </w:r>
          </w:p>
        </w:tc>
        <w:tc>
          <w:tcPr>
            <w:tcW w:w="1322" w:type="dxa"/>
            <w:vAlign w:val="center"/>
          </w:tcPr>
          <w:p w:rsidR="00B42A81" w:rsidRPr="006408E8" w:rsidRDefault="00170B2A" w:rsidP="00B42A81">
            <w:pPr>
              <w:spacing w:before="40"/>
              <w:ind w:right="57"/>
              <w:jc w:val="right"/>
              <w:rPr>
                <w:rFonts w:cs="Arial"/>
                <w:b/>
                <w:sz w:val="16"/>
                <w:szCs w:val="16"/>
                <w:lang w:val="cs-CZ"/>
              </w:rPr>
            </w:pPr>
            <w:r w:rsidRPr="006408E8">
              <w:rPr>
                <w:rFonts w:cs="Arial"/>
                <w:b/>
                <w:sz w:val="16"/>
                <w:szCs w:val="16"/>
                <w:lang w:val="cs-CZ"/>
              </w:rPr>
              <w:t>15 625 682,98</w:t>
            </w:r>
          </w:p>
        </w:tc>
      </w:tr>
    </w:tbl>
    <w:p w:rsidR="00D86D6E" w:rsidRPr="006967DA" w:rsidRDefault="00D86D6E" w:rsidP="00B42A81">
      <w:pPr>
        <w:spacing w:before="40"/>
        <w:ind w:left="567" w:hanging="567"/>
        <w:rPr>
          <w:rFonts w:cs="Arial"/>
          <w:sz w:val="18"/>
          <w:szCs w:val="18"/>
          <w:lang w:val="cs-CZ"/>
        </w:rPr>
      </w:pPr>
      <w:r w:rsidRPr="006967DA">
        <w:rPr>
          <w:rFonts w:cs="Arial"/>
          <w:b/>
          <w:sz w:val="18"/>
          <w:szCs w:val="18"/>
          <w:lang w:val="cs-CZ"/>
        </w:rPr>
        <w:t>Zdroj:</w:t>
      </w:r>
      <w:r w:rsidRPr="006967DA">
        <w:rPr>
          <w:rFonts w:cs="Arial"/>
          <w:sz w:val="18"/>
          <w:szCs w:val="18"/>
          <w:lang w:val="cs-CZ"/>
        </w:rPr>
        <w:t xml:space="preserve"> </w:t>
      </w:r>
      <w:r w:rsidR="00A85EAB">
        <w:rPr>
          <w:rFonts w:cs="Arial"/>
          <w:sz w:val="18"/>
          <w:szCs w:val="18"/>
          <w:lang w:val="cs-CZ"/>
        </w:rPr>
        <w:t>ú</w:t>
      </w:r>
      <w:r w:rsidRPr="006967DA">
        <w:rPr>
          <w:rFonts w:cs="Arial"/>
          <w:sz w:val="18"/>
          <w:szCs w:val="18"/>
          <w:lang w:val="cs-CZ"/>
        </w:rPr>
        <w:t>četní evidence státního podniku PKÚ v letech 2009–2012, zápisy o odevzdání a převzetí dokončených staveb, zjišťovací protokoly o provedených pracích, zápisy o předání a převzetí díla, předávací protokoly, dodací listy.</w:t>
      </w:r>
    </w:p>
    <w:p w:rsidR="00D86D6E" w:rsidRPr="006967DA" w:rsidRDefault="00D86D6E" w:rsidP="00D86D6E">
      <w:pPr>
        <w:tabs>
          <w:tab w:val="center" w:pos="7230"/>
        </w:tabs>
        <w:rPr>
          <w:rFonts w:cs="Arial"/>
          <w:szCs w:val="22"/>
          <w:lang w:val="cs-CZ"/>
        </w:rPr>
      </w:pPr>
    </w:p>
    <w:p w:rsidR="00355E4E" w:rsidRPr="006967DA" w:rsidRDefault="00445BC5" w:rsidP="00D86D6E">
      <w:pPr>
        <w:tabs>
          <w:tab w:val="center" w:pos="7230"/>
        </w:tabs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PKÚ </w:t>
      </w:r>
      <w:r w:rsidR="00A24D45" w:rsidRPr="006967DA">
        <w:rPr>
          <w:rFonts w:cs="Arial"/>
          <w:szCs w:val="22"/>
          <w:lang w:val="cs-CZ"/>
        </w:rPr>
        <w:t>nepostupoval v souladu se zákonem č. 563/1991 Sb.</w:t>
      </w:r>
      <w:r w:rsidR="00A24D45" w:rsidRPr="006967DA">
        <w:rPr>
          <w:rStyle w:val="Znakapoznpodarou"/>
          <w:rFonts w:cs="Arial"/>
          <w:szCs w:val="22"/>
          <w:lang w:val="cs-CZ"/>
        </w:rPr>
        <w:t xml:space="preserve"> </w:t>
      </w:r>
      <w:r w:rsidR="00A24D45" w:rsidRPr="006967DA">
        <w:rPr>
          <w:rStyle w:val="Znakapoznpodarou"/>
          <w:rFonts w:cs="Arial"/>
          <w:szCs w:val="22"/>
          <w:lang w:val="cs-CZ"/>
        </w:rPr>
        <w:footnoteReference w:id="22"/>
      </w:r>
      <w:r w:rsidR="00A24D45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tím, že neúčtoval o zařazení majetku </w:t>
      </w:r>
      <w:r w:rsidR="00E6513C" w:rsidRPr="006967DA">
        <w:rPr>
          <w:rFonts w:cs="Arial"/>
          <w:szCs w:val="22"/>
          <w:lang w:val="cs-CZ"/>
        </w:rPr>
        <w:t>v pořizovací ceně 1</w:t>
      </w:r>
      <w:r w:rsidR="00B517A6" w:rsidRPr="006967DA">
        <w:rPr>
          <w:rFonts w:cs="Arial"/>
          <w:szCs w:val="22"/>
          <w:lang w:val="cs-CZ"/>
        </w:rPr>
        <w:t>5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626</w:t>
      </w:r>
      <w:r w:rsidR="000B722C" w:rsidRPr="006967DA">
        <w:rPr>
          <w:rFonts w:cs="Arial"/>
          <w:szCs w:val="22"/>
          <w:lang w:val="cs-CZ"/>
        </w:rPr>
        <w:t> </w:t>
      </w:r>
      <w:r w:rsidR="00E6513C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E6513C" w:rsidRPr="006967DA">
        <w:rPr>
          <w:rFonts w:cs="Arial"/>
          <w:szCs w:val="22"/>
          <w:lang w:val="cs-CZ"/>
        </w:rPr>
        <w:t xml:space="preserve">Kč </w:t>
      </w:r>
      <w:r w:rsidRPr="006967DA">
        <w:rPr>
          <w:rFonts w:cs="Arial"/>
          <w:szCs w:val="22"/>
          <w:lang w:val="cs-CZ"/>
        </w:rPr>
        <w:t xml:space="preserve">do období, s nímž </w:t>
      </w:r>
      <w:r w:rsidR="007C7B45">
        <w:rPr>
          <w:rFonts w:cs="Arial"/>
          <w:szCs w:val="22"/>
          <w:lang w:val="cs-CZ"/>
        </w:rPr>
        <w:t>příslušné</w:t>
      </w:r>
      <w:r w:rsidRPr="006967DA">
        <w:rPr>
          <w:rFonts w:cs="Arial"/>
          <w:szCs w:val="22"/>
          <w:lang w:val="cs-CZ"/>
        </w:rPr>
        <w:t xml:space="preserve"> účetní případy časově a věcně souvisely</w:t>
      </w:r>
      <w:r w:rsidR="00323653" w:rsidRPr="006967DA">
        <w:rPr>
          <w:rFonts w:cs="Arial"/>
          <w:szCs w:val="22"/>
          <w:lang w:val="cs-CZ"/>
        </w:rPr>
        <w:t>, a</w:t>
      </w:r>
      <w:r w:rsidR="00195BC6" w:rsidRPr="006967DA">
        <w:rPr>
          <w:rFonts w:cs="Arial"/>
          <w:szCs w:val="22"/>
          <w:lang w:val="cs-CZ"/>
        </w:rPr>
        <w:t xml:space="preserve"> nadhodnotil </w:t>
      </w:r>
      <w:r w:rsidR="00A24D45" w:rsidRPr="006967DA">
        <w:rPr>
          <w:rFonts w:cs="Arial"/>
          <w:szCs w:val="22"/>
          <w:lang w:val="cs-CZ"/>
        </w:rPr>
        <w:t xml:space="preserve">tak </w:t>
      </w:r>
      <w:r w:rsidR="00195BC6" w:rsidRPr="006967DA">
        <w:rPr>
          <w:rFonts w:cs="Arial"/>
          <w:szCs w:val="22"/>
          <w:lang w:val="cs-CZ"/>
        </w:rPr>
        <w:t xml:space="preserve">položku </w:t>
      </w:r>
      <w:proofErr w:type="gramStart"/>
      <w:r w:rsidR="00195BC6" w:rsidRPr="006967DA">
        <w:rPr>
          <w:rFonts w:cs="Arial"/>
          <w:szCs w:val="22"/>
          <w:lang w:val="cs-CZ"/>
        </w:rPr>
        <w:t xml:space="preserve">rozvahy </w:t>
      </w:r>
      <w:r w:rsidR="00C557EF" w:rsidRPr="006967DA">
        <w:rPr>
          <w:rFonts w:cs="Arial"/>
          <w:i/>
          <w:szCs w:val="22"/>
          <w:lang w:val="cs-CZ"/>
        </w:rPr>
        <w:t>B.II</w:t>
      </w:r>
      <w:proofErr w:type="gramEnd"/>
      <w:r w:rsidR="00C557EF" w:rsidRPr="006967DA">
        <w:rPr>
          <w:rFonts w:cs="Arial"/>
          <w:i/>
          <w:szCs w:val="22"/>
          <w:lang w:val="cs-CZ"/>
        </w:rPr>
        <w:t>.7.Nedokončený dlouhodobý hmotný majetek</w:t>
      </w:r>
      <w:r w:rsidR="00C557EF" w:rsidRPr="006967DA">
        <w:rPr>
          <w:rFonts w:cs="Arial"/>
          <w:szCs w:val="22"/>
          <w:lang w:val="cs-CZ"/>
        </w:rPr>
        <w:t xml:space="preserve"> </w:t>
      </w:r>
      <w:r w:rsidR="00B517A6" w:rsidRPr="006967DA">
        <w:rPr>
          <w:rFonts w:cs="Arial"/>
          <w:szCs w:val="22"/>
          <w:lang w:val="cs-CZ"/>
        </w:rPr>
        <w:t>(za rok 2009 o 4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861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Kč, za rok 2010 o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6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398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 xml:space="preserve">Kč, </w:t>
      </w:r>
      <w:r w:rsidR="00511C81" w:rsidRPr="006967DA">
        <w:rPr>
          <w:rFonts w:cs="Arial"/>
          <w:szCs w:val="22"/>
          <w:lang w:val="cs-CZ"/>
        </w:rPr>
        <w:t xml:space="preserve">za </w:t>
      </w:r>
      <w:r w:rsidR="00E6288F" w:rsidRPr="006967DA">
        <w:rPr>
          <w:rFonts w:cs="Arial"/>
          <w:szCs w:val="22"/>
          <w:lang w:val="cs-CZ"/>
        </w:rPr>
        <w:t>rok 2011 o </w:t>
      </w:r>
      <w:r w:rsidR="00B517A6" w:rsidRPr="006967DA">
        <w:rPr>
          <w:rFonts w:cs="Arial"/>
          <w:szCs w:val="22"/>
          <w:lang w:val="cs-CZ"/>
        </w:rPr>
        <w:t>2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542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 a za rok 2012 o 1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825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E25DD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 xml:space="preserve">Kč) </w:t>
      </w:r>
      <w:r w:rsidR="00C557EF" w:rsidRPr="006967DA">
        <w:rPr>
          <w:rFonts w:cs="Arial"/>
          <w:szCs w:val="22"/>
          <w:lang w:val="cs-CZ"/>
        </w:rPr>
        <w:t xml:space="preserve">a </w:t>
      </w:r>
      <w:r w:rsidR="00D11E14" w:rsidRPr="006967DA">
        <w:rPr>
          <w:rFonts w:cs="Arial"/>
          <w:szCs w:val="22"/>
          <w:lang w:val="cs-CZ"/>
        </w:rPr>
        <w:t xml:space="preserve">současně </w:t>
      </w:r>
      <w:r w:rsidR="007C7B45">
        <w:rPr>
          <w:rFonts w:cs="Arial"/>
          <w:szCs w:val="22"/>
          <w:lang w:val="cs-CZ"/>
        </w:rPr>
        <w:t xml:space="preserve">ve výkazu rozvaha </w:t>
      </w:r>
      <w:r w:rsidR="00C557EF" w:rsidRPr="006967DA">
        <w:rPr>
          <w:rFonts w:cs="Arial"/>
          <w:szCs w:val="22"/>
          <w:lang w:val="cs-CZ"/>
        </w:rPr>
        <w:t xml:space="preserve">podhodnotil položky rozvahy </w:t>
      </w:r>
      <w:r w:rsidR="00E6288F" w:rsidRPr="006967DA">
        <w:rPr>
          <w:rFonts w:cs="Arial"/>
          <w:i/>
          <w:szCs w:val="22"/>
          <w:lang w:val="cs-CZ"/>
        </w:rPr>
        <w:t>B.II.2</w:t>
      </w:r>
      <w:r w:rsidR="007C7B45">
        <w:rPr>
          <w:rFonts w:cs="Arial"/>
          <w:i/>
          <w:szCs w:val="22"/>
          <w:lang w:val="cs-CZ"/>
        </w:rPr>
        <w:t>.</w:t>
      </w:r>
      <w:r w:rsidR="00C557EF" w:rsidRPr="006967DA">
        <w:rPr>
          <w:rFonts w:cs="Arial"/>
          <w:i/>
          <w:szCs w:val="22"/>
          <w:lang w:val="cs-CZ"/>
        </w:rPr>
        <w:t>Stavby</w:t>
      </w:r>
      <w:r w:rsidR="00B517A6" w:rsidRPr="006967DA">
        <w:rPr>
          <w:rFonts w:cs="Arial"/>
          <w:i/>
          <w:szCs w:val="22"/>
          <w:lang w:val="cs-CZ"/>
        </w:rPr>
        <w:t xml:space="preserve"> </w:t>
      </w:r>
      <w:r w:rsidR="00B517A6" w:rsidRPr="006967DA">
        <w:rPr>
          <w:rFonts w:cs="Arial"/>
          <w:szCs w:val="22"/>
          <w:lang w:val="cs-CZ"/>
        </w:rPr>
        <w:t>(za rok 2009 o 3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054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Kč, za rok 2010 o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4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863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E6288F" w:rsidRPr="006967DA">
        <w:rPr>
          <w:rFonts w:cs="Arial"/>
          <w:szCs w:val="22"/>
          <w:lang w:val="cs-CZ"/>
        </w:rPr>
        <w:t>Kč a</w:t>
      </w:r>
      <w:r w:rsidR="007C7B45">
        <w:rPr>
          <w:rFonts w:cs="Arial"/>
          <w:szCs w:val="22"/>
          <w:lang w:val="cs-CZ"/>
        </w:rPr>
        <w:t> za</w:t>
      </w:r>
      <w:r w:rsidR="00E6288F" w:rsidRPr="006967DA">
        <w:rPr>
          <w:rFonts w:cs="Arial"/>
          <w:szCs w:val="22"/>
          <w:lang w:val="cs-CZ"/>
        </w:rPr>
        <w:t xml:space="preserve"> rok 2011 o </w:t>
      </w:r>
      <w:r w:rsidR="00B517A6" w:rsidRPr="006967DA">
        <w:rPr>
          <w:rFonts w:cs="Arial"/>
          <w:szCs w:val="22"/>
          <w:lang w:val="cs-CZ"/>
        </w:rPr>
        <w:t>725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Kč) a</w:t>
      </w:r>
      <w:r w:rsidR="00E6288F" w:rsidRPr="006967DA">
        <w:rPr>
          <w:rFonts w:cs="Arial"/>
          <w:szCs w:val="22"/>
          <w:lang w:val="cs-CZ"/>
        </w:rPr>
        <w:t> </w:t>
      </w:r>
      <w:r w:rsidR="00C557EF" w:rsidRPr="006408E8">
        <w:rPr>
          <w:rFonts w:cs="Arial"/>
          <w:i/>
          <w:szCs w:val="22"/>
          <w:lang w:val="cs-CZ"/>
        </w:rPr>
        <w:t>B</w:t>
      </w:r>
      <w:r w:rsidR="00C557EF" w:rsidRPr="006967DA">
        <w:rPr>
          <w:rFonts w:cs="Arial"/>
          <w:i/>
          <w:szCs w:val="22"/>
          <w:lang w:val="cs-CZ"/>
        </w:rPr>
        <w:t>.II.3</w:t>
      </w:r>
      <w:r w:rsidR="007C7B45">
        <w:rPr>
          <w:rFonts w:cs="Arial"/>
          <w:i/>
          <w:szCs w:val="22"/>
          <w:lang w:val="cs-CZ"/>
        </w:rPr>
        <w:t>.</w:t>
      </w:r>
      <w:r w:rsidR="00C557EF" w:rsidRPr="006967DA">
        <w:rPr>
          <w:rFonts w:cs="Arial"/>
          <w:i/>
          <w:szCs w:val="22"/>
          <w:lang w:val="cs-CZ"/>
        </w:rPr>
        <w:t>Samostatné movité věci a soubory movitých věcí</w:t>
      </w:r>
      <w:r w:rsidR="00B517A6" w:rsidRPr="006967DA">
        <w:rPr>
          <w:rFonts w:cs="Arial"/>
          <w:i/>
          <w:szCs w:val="22"/>
          <w:lang w:val="cs-CZ"/>
        </w:rPr>
        <w:t xml:space="preserve"> </w:t>
      </w:r>
      <w:r w:rsidR="00B517A6" w:rsidRPr="006967DA">
        <w:rPr>
          <w:rFonts w:cs="Arial"/>
          <w:szCs w:val="22"/>
          <w:lang w:val="cs-CZ"/>
        </w:rPr>
        <w:t>(za</w:t>
      </w:r>
      <w:r w:rsidR="002C3B9E" w:rsidRPr="006967DA">
        <w:rPr>
          <w:rFonts w:cs="Arial"/>
          <w:szCs w:val="22"/>
          <w:lang w:val="cs-CZ"/>
        </w:rPr>
        <w:t> </w:t>
      </w:r>
      <w:r w:rsidR="00E6288F" w:rsidRPr="006967DA">
        <w:rPr>
          <w:rFonts w:cs="Arial"/>
          <w:szCs w:val="22"/>
          <w:lang w:val="cs-CZ"/>
        </w:rPr>
        <w:t>rok 2009 o </w:t>
      </w:r>
      <w:r w:rsidR="00B517A6" w:rsidRPr="006967DA">
        <w:rPr>
          <w:rFonts w:cs="Arial"/>
          <w:szCs w:val="22"/>
          <w:lang w:val="cs-CZ"/>
        </w:rPr>
        <w:t>1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807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Kč, za rok 2010 o 1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53</w:t>
      </w:r>
      <w:r w:rsidR="002A0A0A" w:rsidRPr="006967DA">
        <w:rPr>
          <w:rFonts w:cs="Arial"/>
          <w:szCs w:val="22"/>
          <w:lang w:val="cs-CZ"/>
        </w:rPr>
        <w:t>5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 xml:space="preserve">Kč, </w:t>
      </w:r>
      <w:r w:rsidR="00511C81" w:rsidRPr="006967DA">
        <w:rPr>
          <w:rFonts w:cs="Arial"/>
          <w:szCs w:val="22"/>
          <w:lang w:val="cs-CZ"/>
        </w:rPr>
        <w:t xml:space="preserve">za </w:t>
      </w:r>
      <w:r w:rsidR="00B517A6" w:rsidRPr="006967DA">
        <w:rPr>
          <w:rFonts w:cs="Arial"/>
          <w:szCs w:val="22"/>
          <w:lang w:val="cs-CZ"/>
        </w:rPr>
        <w:t>rok 2011 o</w:t>
      </w:r>
      <w:r w:rsidR="000E7CC0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1</w:t>
      </w:r>
      <w:r w:rsidR="000E7CC0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817</w:t>
      </w:r>
      <w:r w:rsidR="000E7CC0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 a</w:t>
      </w:r>
      <w:r w:rsidR="000B722C" w:rsidRPr="006967DA">
        <w:rPr>
          <w:rFonts w:cs="Arial"/>
          <w:szCs w:val="22"/>
          <w:lang w:val="cs-CZ"/>
        </w:rPr>
        <w:t> </w:t>
      </w:r>
      <w:r w:rsidR="00E6288F" w:rsidRPr="006967DA">
        <w:rPr>
          <w:rFonts w:cs="Arial"/>
          <w:szCs w:val="22"/>
          <w:lang w:val="cs-CZ"/>
        </w:rPr>
        <w:t>za rok 2012 o </w:t>
      </w:r>
      <w:r w:rsidR="00B517A6" w:rsidRPr="006967DA">
        <w:rPr>
          <w:rFonts w:cs="Arial"/>
          <w:szCs w:val="22"/>
          <w:lang w:val="cs-CZ"/>
        </w:rPr>
        <w:t>1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825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tis.</w:t>
      </w:r>
      <w:r w:rsidR="000B722C" w:rsidRPr="006967DA">
        <w:rPr>
          <w:rFonts w:cs="Arial"/>
          <w:szCs w:val="22"/>
          <w:lang w:val="cs-CZ"/>
        </w:rPr>
        <w:t> </w:t>
      </w:r>
      <w:r w:rsidR="00B517A6" w:rsidRPr="006967DA">
        <w:rPr>
          <w:rFonts w:cs="Arial"/>
          <w:szCs w:val="22"/>
          <w:lang w:val="cs-CZ"/>
        </w:rPr>
        <w:t>Kč)</w:t>
      </w:r>
      <w:r w:rsidR="00C557EF" w:rsidRPr="006967DA">
        <w:rPr>
          <w:rFonts w:cs="Arial"/>
          <w:szCs w:val="22"/>
          <w:lang w:val="cs-CZ"/>
        </w:rPr>
        <w:t>.</w:t>
      </w:r>
    </w:p>
    <w:p w:rsidR="00D86D6E" w:rsidRPr="006967DA" w:rsidRDefault="00D86D6E" w:rsidP="00D86D6E">
      <w:pPr>
        <w:tabs>
          <w:tab w:val="center" w:pos="7230"/>
        </w:tabs>
        <w:rPr>
          <w:rFonts w:cs="Arial"/>
          <w:szCs w:val="22"/>
          <w:lang w:val="cs-CZ"/>
        </w:rPr>
      </w:pPr>
    </w:p>
    <w:p w:rsidR="000E331C" w:rsidRDefault="000E331C">
      <w:pPr>
        <w:spacing w:after="200" w:line="276" w:lineRule="auto"/>
        <w:jc w:val="left"/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br w:type="page"/>
      </w:r>
    </w:p>
    <w:p w:rsidR="00355E4E" w:rsidRPr="006408E8" w:rsidRDefault="007C7B45" w:rsidP="00D86D6E">
      <w:pPr>
        <w:pStyle w:val="normlnmezera"/>
        <w:spacing w:before="0"/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lastRenderedPageBreak/>
        <w:t xml:space="preserve">2.1.3 </w:t>
      </w:r>
      <w:r w:rsidR="001F7CDF" w:rsidRPr="006408E8">
        <w:rPr>
          <w:rFonts w:cs="Arial"/>
          <w:b/>
          <w:szCs w:val="22"/>
          <w:lang w:val="cs-CZ"/>
        </w:rPr>
        <w:t>Úbytky majetku</w:t>
      </w:r>
      <w:r w:rsidR="00371839" w:rsidRPr="006408E8">
        <w:rPr>
          <w:rFonts w:cs="Arial"/>
          <w:b/>
          <w:szCs w:val="22"/>
          <w:lang w:val="cs-CZ"/>
        </w:rPr>
        <w:t xml:space="preserve"> </w:t>
      </w:r>
    </w:p>
    <w:p w:rsidR="00D86D6E" w:rsidRPr="006967DA" w:rsidRDefault="00D86D6E" w:rsidP="00D86D6E">
      <w:pPr>
        <w:tabs>
          <w:tab w:val="left" w:pos="2835"/>
        </w:tabs>
        <w:rPr>
          <w:rFonts w:cs="Arial"/>
          <w:szCs w:val="22"/>
          <w:lang w:val="cs-CZ"/>
        </w:rPr>
      </w:pPr>
    </w:p>
    <w:p w:rsidR="007E25F7" w:rsidRPr="006967DA" w:rsidRDefault="0055593E" w:rsidP="00D86D6E">
      <w:pPr>
        <w:tabs>
          <w:tab w:val="left" w:pos="2835"/>
        </w:tabs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PKÚ při likvidaci nepotřebného majetku </w:t>
      </w:r>
      <w:r w:rsidR="00CA4DB9" w:rsidRPr="006967DA">
        <w:rPr>
          <w:rFonts w:cs="Arial"/>
          <w:szCs w:val="22"/>
          <w:lang w:val="cs-CZ"/>
        </w:rPr>
        <w:t xml:space="preserve">účtoval </w:t>
      </w:r>
      <w:r w:rsidRPr="006967DA">
        <w:rPr>
          <w:rFonts w:cs="Arial"/>
          <w:szCs w:val="22"/>
          <w:lang w:val="cs-CZ"/>
        </w:rPr>
        <w:t xml:space="preserve">na základě doporučení MPO dle </w:t>
      </w:r>
      <w:r w:rsidR="007C7B45">
        <w:rPr>
          <w:rFonts w:cs="Arial"/>
          <w:szCs w:val="22"/>
          <w:lang w:val="cs-CZ"/>
        </w:rPr>
        <w:t>v</w:t>
      </w:r>
      <w:r w:rsidRPr="006967DA">
        <w:rPr>
          <w:rFonts w:cs="Arial"/>
          <w:szCs w:val="22"/>
          <w:lang w:val="cs-CZ"/>
        </w:rPr>
        <w:t>ýkladu MF ČR z roku 1993</w:t>
      </w:r>
      <w:r w:rsidRPr="006967DA">
        <w:rPr>
          <w:rStyle w:val="Znakapoznpodarou"/>
          <w:rFonts w:cs="Arial"/>
          <w:szCs w:val="22"/>
          <w:lang w:val="cs-CZ"/>
        </w:rPr>
        <w:footnoteReference w:id="23"/>
      </w:r>
      <w:r w:rsidR="007C7B45">
        <w:rPr>
          <w:rFonts w:cs="Arial"/>
          <w:szCs w:val="22"/>
          <w:lang w:val="cs-CZ"/>
        </w:rPr>
        <w:t>.</w:t>
      </w:r>
      <w:r w:rsidR="000465C5" w:rsidRPr="006967DA">
        <w:rPr>
          <w:rFonts w:cs="Arial"/>
          <w:szCs w:val="22"/>
          <w:lang w:val="cs-CZ"/>
        </w:rPr>
        <w:t xml:space="preserve"> PKÚ </w:t>
      </w:r>
      <w:r w:rsidR="006A02B3" w:rsidRPr="006967DA">
        <w:rPr>
          <w:rFonts w:cs="Arial"/>
          <w:szCs w:val="22"/>
          <w:lang w:val="cs-CZ"/>
        </w:rPr>
        <w:t xml:space="preserve">však </w:t>
      </w:r>
      <w:r w:rsidR="000465C5" w:rsidRPr="006967DA">
        <w:rPr>
          <w:rFonts w:cs="Arial"/>
          <w:szCs w:val="22"/>
          <w:lang w:val="cs-CZ"/>
        </w:rPr>
        <w:t>neaktualizoval p</w:t>
      </w:r>
      <w:r w:rsidRPr="006967DA">
        <w:rPr>
          <w:rFonts w:cs="Arial"/>
          <w:szCs w:val="22"/>
          <w:lang w:val="cs-CZ"/>
        </w:rPr>
        <w:t xml:space="preserve">ostupy účtování </w:t>
      </w:r>
      <w:r w:rsidR="000465C5" w:rsidRPr="006967DA">
        <w:rPr>
          <w:rFonts w:cs="Arial"/>
          <w:szCs w:val="22"/>
          <w:lang w:val="cs-CZ"/>
        </w:rPr>
        <w:t>dle</w:t>
      </w:r>
      <w:r w:rsidRPr="006967DA">
        <w:rPr>
          <w:rFonts w:cs="Arial"/>
          <w:szCs w:val="22"/>
          <w:lang w:val="cs-CZ"/>
        </w:rPr>
        <w:t xml:space="preserve"> </w:t>
      </w:r>
      <w:r w:rsidR="007C7B45">
        <w:rPr>
          <w:rFonts w:cs="Arial"/>
          <w:szCs w:val="22"/>
          <w:lang w:val="cs-CZ"/>
        </w:rPr>
        <w:t>Českého účetního standardu</w:t>
      </w:r>
      <w:r w:rsidRPr="006967DA">
        <w:rPr>
          <w:rFonts w:cs="Arial"/>
          <w:bCs/>
          <w:szCs w:val="22"/>
          <w:lang w:val="cs-CZ"/>
        </w:rPr>
        <w:t xml:space="preserve"> č. 013</w:t>
      </w:r>
      <w:r w:rsidR="007C7B45">
        <w:rPr>
          <w:rFonts w:cs="Arial"/>
          <w:bCs/>
          <w:szCs w:val="22"/>
          <w:lang w:val="cs-CZ"/>
        </w:rPr>
        <w:t xml:space="preserve"> (dále jen „ČÚS č. 013“)</w:t>
      </w:r>
      <w:r w:rsidR="00CA4DB9" w:rsidRPr="006967DA">
        <w:rPr>
          <w:rFonts w:cs="Arial"/>
          <w:bCs/>
          <w:szCs w:val="22"/>
          <w:lang w:val="cs-CZ"/>
        </w:rPr>
        <w:t xml:space="preserve">, který </w:t>
      </w:r>
      <w:r w:rsidR="0086424A" w:rsidRPr="006967DA">
        <w:rPr>
          <w:rFonts w:cs="Arial"/>
          <w:bCs/>
          <w:szCs w:val="22"/>
          <w:lang w:val="cs-CZ"/>
        </w:rPr>
        <w:t>je</w:t>
      </w:r>
      <w:r w:rsidR="00CA4DB9" w:rsidRPr="006967DA">
        <w:rPr>
          <w:rFonts w:cs="Arial"/>
          <w:bCs/>
          <w:szCs w:val="22"/>
          <w:lang w:val="cs-CZ"/>
        </w:rPr>
        <w:t xml:space="preserve"> </w:t>
      </w:r>
      <w:r w:rsidR="00CA4DB9" w:rsidRPr="006967DA">
        <w:rPr>
          <w:rFonts w:cs="Arial"/>
          <w:szCs w:val="22"/>
          <w:lang w:val="cs-CZ"/>
        </w:rPr>
        <w:t>účinný ode dne 31. </w:t>
      </w:r>
      <w:r w:rsidR="00E6288F" w:rsidRPr="006967DA">
        <w:rPr>
          <w:rFonts w:cs="Arial"/>
          <w:szCs w:val="22"/>
          <w:lang w:val="cs-CZ"/>
        </w:rPr>
        <w:t>prosince</w:t>
      </w:r>
      <w:r w:rsidR="00CA4DB9" w:rsidRPr="006967DA">
        <w:rPr>
          <w:rFonts w:cs="Arial"/>
          <w:szCs w:val="22"/>
          <w:lang w:val="cs-CZ"/>
        </w:rPr>
        <w:t> 2003</w:t>
      </w:r>
      <w:r w:rsidR="007C7B45">
        <w:rPr>
          <w:rFonts w:cs="Arial"/>
          <w:szCs w:val="22"/>
          <w:lang w:val="cs-CZ"/>
        </w:rPr>
        <w:t>,</w:t>
      </w:r>
      <w:r w:rsidR="00BA2790">
        <w:rPr>
          <w:rFonts w:cs="Arial"/>
          <w:szCs w:val="22"/>
          <w:lang w:val="cs-CZ"/>
        </w:rPr>
        <w:t xml:space="preserve"> a v</w:t>
      </w:r>
      <w:r w:rsidR="00B86BAE">
        <w:rPr>
          <w:rFonts w:cs="Arial"/>
          <w:szCs w:val="22"/>
          <w:lang w:val="cs-CZ"/>
        </w:rPr>
        <w:t> 21 </w:t>
      </w:r>
      <w:r w:rsidR="007E25F7" w:rsidRPr="006967DA">
        <w:rPr>
          <w:rFonts w:cs="Arial"/>
          <w:szCs w:val="22"/>
          <w:lang w:val="cs-CZ"/>
        </w:rPr>
        <w:t xml:space="preserve">případech vyřazení </w:t>
      </w:r>
      <w:r w:rsidR="008F0332" w:rsidRPr="006967DA">
        <w:rPr>
          <w:rFonts w:cs="Arial"/>
          <w:szCs w:val="22"/>
          <w:lang w:val="cs-CZ"/>
        </w:rPr>
        <w:t xml:space="preserve">nepotřebného </w:t>
      </w:r>
      <w:r w:rsidR="007E25F7" w:rsidRPr="006967DA">
        <w:rPr>
          <w:rFonts w:cs="Arial"/>
          <w:szCs w:val="22"/>
          <w:lang w:val="cs-CZ"/>
        </w:rPr>
        <w:t>majetku likvidací nezaúčtoval</w:t>
      </w:r>
      <w:r w:rsidR="007E25F7" w:rsidRPr="006967DA">
        <w:rPr>
          <w:rFonts w:cs="Arial"/>
          <w:i/>
          <w:szCs w:val="22"/>
          <w:lang w:val="cs-CZ"/>
        </w:rPr>
        <w:t xml:space="preserve"> </w:t>
      </w:r>
      <w:r w:rsidR="007E25F7" w:rsidRPr="006967DA">
        <w:rPr>
          <w:rFonts w:cs="Arial"/>
          <w:szCs w:val="22"/>
          <w:lang w:val="cs-CZ"/>
        </w:rPr>
        <w:t xml:space="preserve">zůstatkovou cenu likvidovaného dlouhodobého majetku odpisovaného v souladu s ČÚS č. 013 ve výši 85 574 tis. Kč na stranu </w:t>
      </w:r>
      <w:r w:rsidR="00514AC5" w:rsidRPr="006408E8">
        <w:rPr>
          <w:rFonts w:cs="Arial"/>
          <w:i/>
          <w:szCs w:val="22"/>
          <w:lang w:val="cs-CZ"/>
        </w:rPr>
        <w:t>má dáti</w:t>
      </w:r>
      <w:r w:rsidR="007E25F7" w:rsidRPr="006967DA">
        <w:rPr>
          <w:rFonts w:cs="Arial"/>
          <w:szCs w:val="22"/>
          <w:lang w:val="cs-CZ"/>
        </w:rPr>
        <w:t xml:space="preserve"> účtu </w:t>
      </w:r>
      <w:r w:rsidR="007E25F7" w:rsidRPr="006967DA">
        <w:rPr>
          <w:rFonts w:cs="Arial"/>
          <w:i/>
          <w:szCs w:val="22"/>
          <w:lang w:val="cs-CZ"/>
        </w:rPr>
        <w:t>55</w:t>
      </w:r>
      <w:r w:rsidR="000460BD" w:rsidRPr="006967DA">
        <w:rPr>
          <w:rFonts w:cs="Arial"/>
          <w:i/>
          <w:szCs w:val="22"/>
          <w:lang w:val="cs-CZ"/>
        </w:rPr>
        <w:t> </w:t>
      </w:r>
      <w:r w:rsidR="007E25F7" w:rsidRPr="006967DA">
        <w:rPr>
          <w:rFonts w:cs="Arial"/>
          <w:i/>
          <w:szCs w:val="22"/>
          <w:lang w:val="cs-CZ"/>
        </w:rPr>
        <w:t>– Odpisy, rezervy, komp</w:t>
      </w:r>
      <w:r w:rsidR="00BA2790">
        <w:rPr>
          <w:rFonts w:cs="Arial"/>
          <w:i/>
          <w:szCs w:val="22"/>
          <w:lang w:val="cs-CZ"/>
        </w:rPr>
        <w:t>lexní náklady příštích období a </w:t>
      </w:r>
      <w:r w:rsidR="007E25F7" w:rsidRPr="006967DA">
        <w:rPr>
          <w:rFonts w:cs="Arial"/>
          <w:i/>
          <w:szCs w:val="22"/>
          <w:lang w:val="cs-CZ"/>
        </w:rPr>
        <w:t>opravné položky v provozní oblasti</w:t>
      </w:r>
      <w:r w:rsidR="007E25F7" w:rsidRPr="006967DA">
        <w:rPr>
          <w:rFonts w:cs="Arial"/>
          <w:szCs w:val="22"/>
          <w:lang w:val="cs-CZ"/>
        </w:rPr>
        <w:t>, ale</w:t>
      </w:r>
      <w:r w:rsidR="007E25F7" w:rsidRPr="006967DA">
        <w:rPr>
          <w:rFonts w:cs="Arial"/>
          <w:i/>
          <w:szCs w:val="22"/>
          <w:lang w:val="cs-CZ"/>
        </w:rPr>
        <w:t xml:space="preserve"> </w:t>
      </w:r>
      <w:r w:rsidR="007E25F7" w:rsidRPr="006967DA">
        <w:rPr>
          <w:rFonts w:cs="Arial"/>
          <w:szCs w:val="22"/>
          <w:lang w:val="cs-CZ"/>
        </w:rPr>
        <w:t xml:space="preserve">na stranu </w:t>
      </w:r>
      <w:r w:rsidR="00514AC5" w:rsidRPr="006408E8">
        <w:rPr>
          <w:rFonts w:cs="Arial"/>
          <w:i/>
          <w:szCs w:val="22"/>
          <w:lang w:val="cs-CZ"/>
        </w:rPr>
        <w:t>má dáti</w:t>
      </w:r>
      <w:r w:rsidR="007E25F7" w:rsidRPr="006967DA">
        <w:rPr>
          <w:rFonts w:cs="Arial"/>
          <w:szCs w:val="22"/>
          <w:lang w:val="cs-CZ"/>
        </w:rPr>
        <w:t xml:space="preserve"> účtu </w:t>
      </w:r>
      <w:r w:rsidR="007E25F7" w:rsidRPr="006408E8">
        <w:rPr>
          <w:rFonts w:cs="Arial"/>
          <w:szCs w:val="22"/>
          <w:lang w:val="cs-CZ"/>
        </w:rPr>
        <w:t xml:space="preserve">419 – </w:t>
      </w:r>
      <w:r w:rsidR="007E25F7" w:rsidRPr="006967DA">
        <w:rPr>
          <w:rFonts w:cs="Arial"/>
          <w:bCs/>
          <w:i/>
          <w:szCs w:val="22"/>
          <w:lang w:val="cs-CZ"/>
        </w:rPr>
        <w:t>Změny základního kapitálu</w:t>
      </w:r>
      <w:r w:rsidR="007E25F7" w:rsidRPr="006408E8">
        <w:rPr>
          <w:rFonts w:cs="Arial"/>
          <w:bCs/>
          <w:szCs w:val="22"/>
          <w:lang w:val="cs-CZ"/>
        </w:rPr>
        <w:t>.</w:t>
      </w:r>
      <w:r w:rsidR="006D15E1" w:rsidRPr="00514AC5">
        <w:rPr>
          <w:rFonts w:cs="Arial"/>
          <w:bCs/>
          <w:szCs w:val="22"/>
          <w:lang w:val="cs-CZ"/>
        </w:rPr>
        <w:t xml:space="preserve"> </w:t>
      </w:r>
      <w:r w:rsidR="006D15E1" w:rsidRPr="006967DA">
        <w:rPr>
          <w:rFonts w:cs="Arial"/>
          <w:bCs/>
          <w:szCs w:val="22"/>
          <w:lang w:val="cs-CZ"/>
        </w:rPr>
        <w:t xml:space="preserve">PKÚ tím </w:t>
      </w:r>
      <w:r w:rsidR="00514AC5">
        <w:rPr>
          <w:rFonts w:cs="Arial"/>
          <w:bCs/>
          <w:szCs w:val="22"/>
          <w:lang w:val="cs-CZ"/>
        </w:rPr>
        <w:t xml:space="preserve">ve výkazu rozvaha </w:t>
      </w:r>
      <w:r w:rsidR="006D15E1" w:rsidRPr="006967DA">
        <w:rPr>
          <w:rFonts w:cs="Arial"/>
          <w:bCs/>
          <w:szCs w:val="22"/>
          <w:lang w:val="cs-CZ"/>
        </w:rPr>
        <w:t xml:space="preserve">podhodnotil položku </w:t>
      </w:r>
      <w:proofErr w:type="gramStart"/>
      <w:r w:rsidR="006D15E1" w:rsidRPr="006967DA">
        <w:rPr>
          <w:rFonts w:cs="Arial"/>
          <w:bCs/>
          <w:i/>
          <w:szCs w:val="22"/>
          <w:lang w:val="cs-CZ"/>
        </w:rPr>
        <w:t>A.I.3</w:t>
      </w:r>
      <w:r w:rsidR="00514AC5">
        <w:rPr>
          <w:rFonts w:cs="Arial"/>
          <w:bCs/>
          <w:i/>
          <w:szCs w:val="22"/>
          <w:lang w:val="cs-CZ"/>
        </w:rPr>
        <w:t>.</w:t>
      </w:r>
      <w:r w:rsidR="006D15E1" w:rsidRPr="006967DA">
        <w:rPr>
          <w:rFonts w:cs="Arial"/>
          <w:bCs/>
          <w:i/>
          <w:szCs w:val="22"/>
          <w:lang w:val="cs-CZ"/>
        </w:rPr>
        <w:t>Změny</w:t>
      </w:r>
      <w:proofErr w:type="gramEnd"/>
      <w:r w:rsidR="006D15E1" w:rsidRPr="006967DA">
        <w:rPr>
          <w:rFonts w:cs="Arial"/>
          <w:bCs/>
          <w:i/>
          <w:szCs w:val="22"/>
          <w:lang w:val="cs-CZ"/>
        </w:rPr>
        <w:t xml:space="preserve"> základního kapitálu</w:t>
      </w:r>
      <w:r w:rsidR="006D15E1" w:rsidRPr="006967DA">
        <w:rPr>
          <w:rFonts w:cs="Arial"/>
          <w:bCs/>
          <w:szCs w:val="22"/>
          <w:lang w:val="cs-CZ"/>
        </w:rPr>
        <w:t xml:space="preserve"> (</w:t>
      </w:r>
      <w:r w:rsidR="002F6E71" w:rsidRPr="006967DA">
        <w:rPr>
          <w:rFonts w:cs="Arial"/>
          <w:bCs/>
          <w:szCs w:val="22"/>
          <w:lang w:val="cs-CZ"/>
        </w:rPr>
        <w:t>v roce 2010 o částku 55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909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tis.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Kč, v roce 2011 o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5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635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tis.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433939" w:rsidRPr="006967DA">
        <w:rPr>
          <w:rFonts w:cs="Arial"/>
          <w:bCs/>
          <w:szCs w:val="22"/>
          <w:lang w:val="cs-CZ"/>
        </w:rPr>
        <w:t>Kč a v roce 2012 o </w:t>
      </w:r>
      <w:r w:rsidR="002F6E71" w:rsidRPr="006967DA">
        <w:rPr>
          <w:rFonts w:cs="Arial"/>
          <w:bCs/>
          <w:szCs w:val="22"/>
          <w:lang w:val="cs-CZ"/>
        </w:rPr>
        <w:t>24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030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tis.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>Kč) a zároveň o stejn</w:t>
      </w:r>
      <w:r w:rsidR="00514AC5">
        <w:rPr>
          <w:rFonts w:cs="Arial"/>
          <w:bCs/>
          <w:szCs w:val="22"/>
          <w:lang w:val="cs-CZ"/>
        </w:rPr>
        <w:t>é</w:t>
      </w:r>
      <w:r w:rsidR="002F6E71" w:rsidRPr="006967DA">
        <w:rPr>
          <w:rFonts w:cs="Arial"/>
          <w:bCs/>
          <w:szCs w:val="22"/>
          <w:lang w:val="cs-CZ"/>
        </w:rPr>
        <w:t xml:space="preserve"> částk</w:t>
      </w:r>
      <w:r w:rsidR="00514AC5">
        <w:rPr>
          <w:rFonts w:cs="Arial"/>
          <w:bCs/>
          <w:szCs w:val="22"/>
          <w:lang w:val="cs-CZ"/>
        </w:rPr>
        <w:t>y</w:t>
      </w:r>
      <w:r w:rsidR="002F6E71" w:rsidRPr="006967DA">
        <w:rPr>
          <w:rFonts w:cs="Arial"/>
          <w:bCs/>
          <w:szCs w:val="22"/>
          <w:lang w:val="cs-CZ"/>
        </w:rPr>
        <w:t xml:space="preserve"> nadhodnotil položku rozvahy </w:t>
      </w:r>
      <w:proofErr w:type="spellStart"/>
      <w:r w:rsidR="002F6E71" w:rsidRPr="006967DA">
        <w:rPr>
          <w:rFonts w:cs="Arial"/>
          <w:bCs/>
          <w:i/>
          <w:szCs w:val="22"/>
          <w:lang w:val="cs-CZ"/>
        </w:rPr>
        <w:t>A.V.Výsledek</w:t>
      </w:r>
      <w:proofErr w:type="spellEnd"/>
      <w:r w:rsidR="002F6E71" w:rsidRPr="006967DA">
        <w:rPr>
          <w:rFonts w:cs="Arial"/>
          <w:bCs/>
          <w:i/>
          <w:szCs w:val="22"/>
          <w:lang w:val="cs-CZ"/>
        </w:rPr>
        <w:t xml:space="preserve"> hospodaření běžného účetního období </w:t>
      </w:r>
      <w:r w:rsidR="00514AC5">
        <w:rPr>
          <w:rFonts w:cs="Arial"/>
          <w:bCs/>
          <w:i/>
          <w:szCs w:val="22"/>
          <w:lang w:val="cs-CZ"/>
        </w:rPr>
        <w:t>(</w:t>
      </w:r>
      <w:r w:rsidR="002F6E71" w:rsidRPr="006967DA">
        <w:rPr>
          <w:rFonts w:cs="Arial"/>
          <w:bCs/>
          <w:i/>
          <w:szCs w:val="22"/>
          <w:lang w:val="cs-CZ"/>
        </w:rPr>
        <w:t>+</w:t>
      </w:r>
      <w:r w:rsidR="00514AC5">
        <w:rPr>
          <w:rFonts w:cs="Arial"/>
          <w:bCs/>
          <w:i/>
          <w:szCs w:val="22"/>
          <w:lang w:val="cs-CZ"/>
        </w:rPr>
        <w:t>/</w:t>
      </w:r>
      <w:r w:rsidR="002F6E71" w:rsidRPr="006967DA">
        <w:rPr>
          <w:rFonts w:cs="Arial"/>
          <w:bCs/>
          <w:i/>
          <w:szCs w:val="22"/>
          <w:lang w:val="cs-CZ"/>
        </w:rPr>
        <w:t>-</w:t>
      </w:r>
      <w:r w:rsidR="00514AC5">
        <w:rPr>
          <w:rFonts w:cs="Arial"/>
          <w:bCs/>
          <w:i/>
          <w:szCs w:val="22"/>
          <w:lang w:val="cs-CZ"/>
        </w:rPr>
        <w:t>)</w:t>
      </w:r>
      <w:r w:rsidR="002F6E71" w:rsidRPr="006967DA">
        <w:rPr>
          <w:rFonts w:cs="Arial"/>
          <w:bCs/>
          <w:szCs w:val="22"/>
          <w:lang w:val="cs-CZ"/>
        </w:rPr>
        <w:t>.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7E25F7" w:rsidRPr="006967DA" w:rsidRDefault="007E25F7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v účetní závěrce ke dni 31. </w:t>
      </w:r>
      <w:r w:rsidR="002B05A7" w:rsidRPr="006967DA">
        <w:rPr>
          <w:rFonts w:cs="Arial"/>
          <w:szCs w:val="22"/>
          <w:lang w:val="cs-CZ"/>
        </w:rPr>
        <w:t>prosince</w:t>
      </w:r>
      <w:r w:rsidR="00D86D6E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 xml:space="preserve">2010 vykazoval majetek v zůstatkové ceně 1 329 tis. Kč, který měl být vyřazen v srpnu 2010, avšak PKÚ jej vyřadil až v srpnu 2011. PKÚ </w:t>
      </w:r>
      <w:r w:rsidR="001B29E3" w:rsidRPr="006967DA">
        <w:rPr>
          <w:rFonts w:cs="Arial"/>
          <w:szCs w:val="22"/>
          <w:lang w:val="cs-CZ"/>
        </w:rPr>
        <w:t>tím, že</w:t>
      </w:r>
      <w:r w:rsidR="000460BD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 xml:space="preserve">neúčtoval o vyřazení majetku do období, s nímž </w:t>
      </w:r>
      <w:r w:rsidR="00514AC5">
        <w:rPr>
          <w:rFonts w:cs="Arial"/>
          <w:szCs w:val="22"/>
          <w:lang w:val="cs-CZ"/>
        </w:rPr>
        <w:t>toto vyřazení</w:t>
      </w:r>
      <w:r w:rsidRPr="006967DA">
        <w:rPr>
          <w:rFonts w:cs="Arial"/>
          <w:szCs w:val="22"/>
          <w:lang w:val="cs-CZ"/>
        </w:rPr>
        <w:t xml:space="preserve"> časově a věcně souvisel</w:t>
      </w:r>
      <w:r w:rsidR="00514AC5">
        <w:rPr>
          <w:rFonts w:cs="Arial"/>
          <w:szCs w:val="22"/>
          <w:lang w:val="cs-CZ"/>
        </w:rPr>
        <w:t>o</w:t>
      </w:r>
      <w:r w:rsidR="004858E1" w:rsidRPr="006967DA">
        <w:rPr>
          <w:rStyle w:val="Znakapoznpodarou"/>
          <w:rFonts w:cs="Arial"/>
          <w:szCs w:val="22"/>
          <w:lang w:val="cs-CZ"/>
        </w:rPr>
        <w:footnoteReference w:id="24"/>
      </w:r>
      <w:r w:rsidR="000462F6" w:rsidRPr="006967DA">
        <w:rPr>
          <w:rFonts w:cs="Arial"/>
          <w:szCs w:val="22"/>
          <w:lang w:val="cs-CZ"/>
        </w:rPr>
        <w:t>,</w:t>
      </w:r>
      <w:r w:rsidR="001B29E3" w:rsidRPr="006967DA">
        <w:rPr>
          <w:rFonts w:cs="Arial"/>
          <w:szCs w:val="22"/>
          <w:lang w:val="cs-CZ"/>
        </w:rPr>
        <w:t xml:space="preserve"> </w:t>
      </w:r>
      <w:r w:rsidR="002F6E71" w:rsidRPr="006967DA">
        <w:rPr>
          <w:rFonts w:cs="Arial"/>
          <w:bCs/>
          <w:szCs w:val="22"/>
          <w:lang w:val="cs-CZ"/>
        </w:rPr>
        <w:t xml:space="preserve">nadhodnotil položku </w:t>
      </w:r>
      <w:proofErr w:type="gramStart"/>
      <w:r w:rsidR="002F6E71" w:rsidRPr="006967DA">
        <w:rPr>
          <w:rFonts w:cs="Arial"/>
          <w:bCs/>
          <w:szCs w:val="22"/>
          <w:lang w:val="cs-CZ"/>
        </w:rPr>
        <w:t>rozvahy</w:t>
      </w:r>
      <w:r w:rsidR="008D0BF3" w:rsidRPr="006967DA">
        <w:rPr>
          <w:rFonts w:cs="Arial"/>
          <w:bCs/>
          <w:szCs w:val="22"/>
          <w:lang w:val="cs-CZ"/>
        </w:rPr>
        <w:t xml:space="preserve"> </w:t>
      </w:r>
      <w:r w:rsidR="002F6E71" w:rsidRPr="006967DA">
        <w:rPr>
          <w:rFonts w:cs="Arial"/>
          <w:bCs/>
          <w:i/>
          <w:szCs w:val="22"/>
          <w:lang w:val="cs-CZ"/>
        </w:rPr>
        <w:t>B.II</w:t>
      </w:r>
      <w:proofErr w:type="gramEnd"/>
      <w:r w:rsidR="002F6E71" w:rsidRPr="006967DA">
        <w:rPr>
          <w:rFonts w:cs="Arial"/>
          <w:bCs/>
          <w:i/>
          <w:szCs w:val="22"/>
          <w:lang w:val="cs-CZ"/>
        </w:rPr>
        <w:t>.2</w:t>
      </w:r>
      <w:r w:rsidR="00514AC5">
        <w:rPr>
          <w:rFonts w:cs="Arial"/>
          <w:bCs/>
          <w:i/>
          <w:szCs w:val="22"/>
          <w:lang w:val="cs-CZ"/>
        </w:rPr>
        <w:t>.</w:t>
      </w:r>
      <w:r w:rsidR="002F6E71" w:rsidRPr="006967DA">
        <w:rPr>
          <w:rFonts w:cs="Arial"/>
          <w:bCs/>
          <w:i/>
          <w:szCs w:val="22"/>
          <w:lang w:val="cs-CZ"/>
        </w:rPr>
        <w:t>Stavby</w:t>
      </w:r>
      <w:r w:rsidR="002F6E71" w:rsidRPr="006967DA">
        <w:rPr>
          <w:rFonts w:cs="Arial"/>
          <w:bCs/>
          <w:szCs w:val="22"/>
          <w:lang w:val="cs-CZ"/>
        </w:rPr>
        <w:t xml:space="preserve"> </w:t>
      </w:r>
      <w:r w:rsidR="00D86D6E" w:rsidRPr="006967DA">
        <w:rPr>
          <w:rFonts w:cs="Arial"/>
          <w:bCs/>
          <w:szCs w:val="22"/>
          <w:lang w:val="cs-CZ"/>
        </w:rPr>
        <w:t>v roce 2010 o </w:t>
      </w:r>
      <w:r w:rsidR="008D0BF3" w:rsidRPr="006967DA">
        <w:rPr>
          <w:rFonts w:cs="Arial"/>
          <w:bCs/>
          <w:szCs w:val="22"/>
          <w:lang w:val="cs-CZ"/>
        </w:rPr>
        <w:t>částku 1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8D0BF3" w:rsidRPr="006967DA">
        <w:rPr>
          <w:rFonts w:cs="Arial"/>
          <w:bCs/>
          <w:szCs w:val="22"/>
          <w:lang w:val="cs-CZ"/>
        </w:rPr>
        <w:t>329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8D0BF3" w:rsidRPr="006967DA">
        <w:rPr>
          <w:rFonts w:cs="Arial"/>
          <w:bCs/>
          <w:szCs w:val="22"/>
          <w:lang w:val="cs-CZ"/>
        </w:rPr>
        <w:t>tis.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8D0BF3" w:rsidRPr="006967DA">
        <w:rPr>
          <w:rFonts w:cs="Arial"/>
          <w:bCs/>
          <w:szCs w:val="22"/>
          <w:lang w:val="cs-CZ"/>
        </w:rPr>
        <w:t xml:space="preserve">Kč </w:t>
      </w:r>
      <w:r w:rsidR="002F6E71" w:rsidRPr="006967DA">
        <w:rPr>
          <w:rFonts w:cs="Arial"/>
          <w:bCs/>
          <w:szCs w:val="22"/>
          <w:lang w:val="cs-CZ"/>
        </w:rPr>
        <w:t>a</w:t>
      </w:r>
      <w:r w:rsidR="000B722C" w:rsidRPr="006967DA">
        <w:rPr>
          <w:rFonts w:cs="Arial"/>
          <w:bCs/>
          <w:szCs w:val="22"/>
          <w:lang w:val="cs-CZ"/>
        </w:rPr>
        <w:t> </w:t>
      </w:r>
      <w:r w:rsidR="002F6E71" w:rsidRPr="006967DA">
        <w:rPr>
          <w:rFonts w:cs="Arial"/>
          <w:bCs/>
          <w:szCs w:val="22"/>
          <w:lang w:val="cs-CZ"/>
        </w:rPr>
        <w:t xml:space="preserve">zároveň o stejnou částku nadhodnotil položku rozvahy </w:t>
      </w:r>
      <w:proofErr w:type="spellStart"/>
      <w:r w:rsidR="002F6E71" w:rsidRPr="006967DA">
        <w:rPr>
          <w:rFonts w:cs="Arial"/>
          <w:bCs/>
          <w:i/>
          <w:szCs w:val="22"/>
          <w:lang w:val="cs-CZ"/>
        </w:rPr>
        <w:t>A.V.Výsledek</w:t>
      </w:r>
      <w:proofErr w:type="spellEnd"/>
      <w:r w:rsidR="002F6E71" w:rsidRPr="006967DA">
        <w:rPr>
          <w:rFonts w:cs="Arial"/>
          <w:bCs/>
          <w:i/>
          <w:szCs w:val="22"/>
          <w:lang w:val="cs-CZ"/>
        </w:rPr>
        <w:t xml:space="preserve"> hospodaření běžného účetního období </w:t>
      </w:r>
      <w:r w:rsidR="00514AC5">
        <w:rPr>
          <w:rFonts w:cs="Arial"/>
          <w:bCs/>
          <w:i/>
          <w:szCs w:val="22"/>
          <w:lang w:val="cs-CZ"/>
        </w:rPr>
        <w:t>(</w:t>
      </w:r>
      <w:r w:rsidR="002F6E71" w:rsidRPr="006967DA">
        <w:rPr>
          <w:rFonts w:cs="Arial"/>
          <w:bCs/>
          <w:i/>
          <w:szCs w:val="22"/>
          <w:lang w:val="cs-CZ"/>
        </w:rPr>
        <w:t>+</w:t>
      </w:r>
      <w:r w:rsidR="00514AC5">
        <w:rPr>
          <w:rFonts w:cs="Arial"/>
          <w:bCs/>
          <w:i/>
          <w:szCs w:val="22"/>
          <w:lang w:val="cs-CZ"/>
        </w:rPr>
        <w:t>/</w:t>
      </w:r>
      <w:r w:rsidR="002F6E71" w:rsidRPr="006967DA">
        <w:rPr>
          <w:rFonts w:cs="Arial"/>
          <w:bCs/>
          <w:i/>
          <w:szCs w:val="22"/>
          <w:lang w:val="cs-CZ"/>
        </w:rPr>
        <w:t>-</w:t>
      </w:r>
      <w:r w:rsidR="00514AC5">
        <w:rPr>
          <w:rFonts w:cs="Arial"/>
          <w:bCs/>
          <w:i/>
          <w:szCs w:val="22"/>
          <w:lang w:val="cs-CZ"/>
        </w:rPr>
        <w:t>)</w:t>
      </w:r>
      <w:r w:rsidR="002F6E71" w:rsidRPr="006967DA">
        <w:rPr>
          <w:rFonts w:cs="Arial"/>
          <w:bCs/>
          <w:szCs w:val="22"/>
          <w:lang w:val="cs-CZ"/>
        </w:rPr>
        <w:t>.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3142D9" w:rsidRPr="006967DA" w:rsidRDefault="007E25F7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PKÚ </w:t>
      </w:r>
      <w:r w:rsidR="00D86D6E" w:rsidRPr="006967DA">
        <w:rPr>
          <w:rFonts w:cs="Arial"/>
          <w:szCs w:val="22"/>
          <w:lang w:val="cs-CZ"/>
        </w:rPr>
        <w:t xml:space="preserve">nepostupoval v souladu se </w:t>
      </w:r>
      <w:r w:rsidR="003869D7" w:rsidRPr="006967DA">
        <w:rPr>
          <w:rFonts w:cs="Arial"/>
          <w:szCs w:val="22"/>
          <w:lang w:val="cs-CZ"/>
        </w:rPr>
        <w:t>zákonem č. 77/1997 Sb.</w:t>
      </w:r>
      <w:r w:rsidR="003869D7" w:rsidRPr="006967DA">
        <w:rPr>
          <w:rStyle w:val="Znakapoznpodarou"/>
          <w:rFonts w:cs="Arial"/>
          <w:szCs w:val="22"/>
          <w:lang w:val="cs-CZ"/>
        </w:rPr>
        <w:footnoteReference w:id="25"/>
      </w:r>
      <w:r w:rsidR="003869D7" w:rsidRPr="006967DA">
        <w:rPr>
          <w:rFonts w:cs="Arial"/>
          <w:szCs w:val="22"/>
          <w:lang w:val="cs-CZ"/>
        </w:rPr>
        <w:t xml:space="preserve"> tím, že v roce 2010 </w:t>
      </w:r>
      <w:r w:rsidRPr="006967DA">
        <w:rPr>
          <w:rFonts w:cs="Arial"/>
          <w:szCs w:val="22"/>
          <w:lang w:val="cs-CZ"/>
        </w:rPr>
        <w:t>ve dvou případech zlikvidoval určený majetek státu v pořizovací ceně 4 363 tis.</w:t>
      </w:r>
      <w:r w:rsidR="000B722C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Kč před obdržením schválení jeho fyzické likvidace od MPO</w:t>
      </w:r>
      <w:r w:rsidR="003869D7" w:rsidRPr="006967DA">
        <w:rPr>
          <w:rFonts w:cs="Arial"/>
          <w:szCs w:val="22"/>
          <w:lang w:val="cs-CZ"/>
        </w:rPr>
        <w:t>.</w:t>
      </w:r>
      <w:r w:rsidRPr="006967DA">
        <w:rPr>
          <w:rFonts w:cs="Arial"/>
          <w:szCs w:val="22"/>
          <w:lang w:val="cs-CZ"/>
        </w:rPr>
        <w:t xml:space="preserve"> </w:t>
      </w:r>
    </w:p>
    <w:p w:rsidR="0001740F" w:rsidRPr="006967DA" w:rsidRDefault="0001740F" w:rsidP="00D86D6E">
      <w:pPr>
        <w:rPr>
          <w:rFonts w:cs="Arial"/>
          <w:b/>
          <w:szCs w:val="22"/>
          <w:lang w:val="cs-CZ"/>
        </w:rPr>
      </w:pPr>
    </w:p>
    <w:p w:rsidR="00502E5A" w:rsidRPr="00C0742B" w:rsidRDefault="00C0742B" w:rsidP="00D86D6E">
      <w:pPr>
        <w:rPr>
          <w:rFonts w:cs="Arial"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2.1.4 </w:t>
      </w:r>
      <w:r w:rsidR="00502E5A" w:rsidRPr="006408E8">
        <w:rPr>
          <w:rFonts w:cs="Arial"/>
          <w:b/>
          <w:szCs w:val="22"/>
          <w:lang w:val="cs-CZ"/>
        </w:rPr>
        <w:t>Inventarizace majetku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502E5A" w:rsidRPr="006967DA" w:rsidRDefault="00502E5A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nepostupoval v souladu se zákonem č. 563/199</w:t>
      </w:r>
      <w:r w:rsidR="002435F9" w:rsidRPr="006967DA">
        <w:rPr>
          <w:rFonts w:cs="Arial"/>
          <w:szCs w:val="22"/>
          <w:lang w:val="cs-CZ"/>
        </w:rPr>
        <w:t>1</w:t>
      </w:r>
      <w:r w:rsidRPr="006967DA">
        <w:rPr>
          <w:rFonts w:cs="Arial"/>
          <w:szCs w:val="22"/>
          <w:lang w:val="cs-CZ"/>
        </w:rPr>
        <w:t xml:space="preserve"> Sb.</w:t>
      </w:r>
      <w:r w:rsidRPr="006967DA">
        <w:rPr>
          <w:rStyle w:val="Znakapoznpodarou"/>
          <w:rFonts w:cs="Arial"/>
          <w:szCs w:val="22"/>
          <w:lang w:val="cs-CZ"/>
        </w:rPr>
        <w:footnoteReference w:id="26"/>
      </w:r>
      <w:r w:rsidRPr="006967DA">
        <w:rPr>
          <w:rFonts w:cs="Arial"/>
          <w:szCs w:val="22"/>
          <w:lang w:val="cs-CZ"/>
        </w:rPr>
        <w:t xml:space="preserve"> tím, že</w:t>
      </w:r>
      <w:r w:rsidR="00D86D6E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inventarizační rozdíly za</w:t>
      </w:r>
      <w:r w:rsidR="00D86D6E" w:rsidRPr="006967DA">
        <w:rPr>
          <w:rFonts w:cs="Arial"/>
          <w:szCs w:val="22"/>
          <w:lang w:val="cs-CZ"/>
        </w:rPr>
        <w:t xml:space="preserve"> </w:t>
      </w:r>
      <w:r w:rsidRPr="006967DA">
        <w:rPr>
          <w:rFonts w:cs="Arial"/>
          <w:szCs w:val="22"/>
          <w:lang w:val="cs-CZ"/>
        </w:rPr>
        <w:t>rok 2011 ve výši 13 tis. Kč nezaúčtoval do účetního období, za které byl inventarizací ověřován stav majetku a závazků, ale až do období následujícího.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502E5A" w:rsidRPr="006967DA" w:rsidRDefault="00502E5A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 xml:space="preserve">PKÚ nepostupoval </w:t>
      </w:r>
      <w:r w:rsidR="00D86D6E" w:rsidRPr="006967DA">
        <w:rPr>
          <w:rFonts w:cs="Arial"/>
          <w:szCs w:val="22"/>
          <w:lang w:val="cs-CZ"/>
        </w:rPr>
        <w:t>v souladu se zákonem č. </w:t>
      </w:r>
      <w:r w:rsidRPr="006967DA">
        <w:rPr>
          <w:rFonts w:cs="Arial"/>
          <w:szCs w:val="22"/>
          <w:lang w:val="cs-CZ"/>
        </w:rPr>
        <w:t>563/1991 Sb.</w:t>
      </w:r>
      <w:r w:rsidRPr="006967DA">
        <w:rPr>
          <w:rStyle w:val="Znakapoznpodarou"/>
          <w:rFonts w:cs="Arial"/>
          <w:szCs w:val="22"/>
          <w:lang w:val="cs-CZ"/>
        </w:rPr>
        <w:footnoteReference w:id="27"/>
      </w:r>
      <w:r w:rsidRPr="006967DA">
        <w:rPr>
          <w:rFonts w:cs="Arial"/>
          <w:szCs w:val="22"/>
          <w:lang w:val="cs-CZ"/>
        </w:rPr>
        <w:t xml:space="preserve"> tím, že inventarizací nezjistil skutečný stav veškerého majetku. PKÚ neinventarizoval majetek v roce 2010 v</w:t>
      </w:r>
      <w:r w:rsidR="002E3067" w:rsidRPr="006967DA">
        <w:rPr>
          <w:rFonts w:cs="Arial"/>
          <w:szCs w:val="22"/>
          <w:lang w:val="cs-CZ"/>
        </w:rPr>
        <w:t>e výši</w:t>
      </w:r>
      <w:r w:rsidRPr="006967DA">
        <w:rPr>
          <w:rFonts w:cs="Arial"/>
          <w:szCs w:val="22"/>
          <w:lang w:val="cs-CZ"/>
        </w:rPr>
        <w:t xml:space="preserve"> 11</w:t>
      </w:r>
      <w:r w:rsidR="002E3067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050</w:t>
      </w:r>
      <w:r w:rsidR="002E3067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tis. Kč (tj. 0,68 % z pořizovací ceny dlouhodobého majetku vedeného v roce 2010 v rozvaze a</w:t>
      </w:r>
      <w:r w:rsidR="00C0742B">
        <w:rPr>
          <w:rFonts w:cs="Arial"/>
          <w:szCs w:val="22"/>
          <w:lang w:val="cs-CZ"/>
        </w:rPr>
        <w:t> z</w:t>
      </w:r>
      <w:r w:rsidRPr="006967DA">
        <w:rPr>
          <w:rFonts w:cs="Arial"/>
          <w:szCs w:val="22"/>
          <w:lang w:val="cs-CZ"/>
        </w:rPr>
        <w:t xml:space="preserve"> </w:t>
      </w:r>
      <w:r w:rsidR="00E04914" w:rsidRPr="006967DA">
        <w:rPr>
          <w:rFonts w:cs="Arial"/>
          <w:szCs w:val="22"/>
          <w:lang w:val="cs-CZ"/>
        </w:rPr>
        <w:t xml:space="preserve">ceny majetku vedeného </w:t>
      </w:r>
      <w:r w:rsidRPr="006967DA">
        <w:rPr>
          <w:rFonts w:cs="Arial"/>
          <w:szCs w:val="22"/>
          <w:lang w:val="cs-CZ"/>
        </w:rPr>
        <w:t>na podrozvahových účtech) a v roce 2011 v celkové výši 10 983 tis. Kč (tj. 0,70 % z pořizovací ceny dlouhodobého majetku vedeného v roce 2011 v rozvaze a</w:t>
      </w:r>
      <w:r w:rsidR="00C0742B">
        <w:rPr>
          <w:rFonts w:cs="Arial"/>
          <w:szCs w:val="22"/>
          <w:lang w:val="cs-CZ"/>
        </w:rPr>
        <w:t> z</w:t>
      </w:r>
      <w:r w:rsidRPr="006967DA">
        <w:rPr>
          <w:rFonts w:cs="Arial"/>
          <w:szCs w:val="22"/>
          <w:lang w:val="cs-CZ"/>
        </w:rPr>
        <w:t xml:space="preserve"> </w:t>
      </w:r>
      <w:r w:rsidR="00E04914" w:rsidRPr="006967DA">
        <w:rPr>
          <w:rFonts w:cs="Arial"/>
          <w:szCs w:val="22"/>
          <w:lang w:val="cs-CZ"/>
        </w:rPr>
        <w:t xml:space="preserve">ceny majetku vedeného </w:t>
      </w:r>
      <w:r w:rsidRPr="006967DA">
        <w:rPr>
          <w:rFonts w:cs="Arial"/>
          <w:szCs w:val="22"/>
          <w:lang w:val="cs-CZ"/>
        </w:rPr>
        <w:t xml:space="preserve">na podrozvahových účtech). PKÚ zaúčtoval majetek na příslušné účty až v účetním období, kdy byl dohledán v rámci mimořádných inventarizací. 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502E5A" w:rsidRPr="006967DA" w:rsidRDefault="00502E5A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tím, že neúčtoval o </w:t>
      </w:r>
      <w:r w:rsidR="00C0742B">
        <w:rPr>
          <w:rFonts w:cs="Arial"/>
          <w:szCs w:val="22"/>
          <w:lang w:val="cs-CZ"/>
        </w:rPr>
        <w:t>pořízení</w:t>
      </w:r>
      <w:r w:rsidRPr="006967DA">
        <w:rPr>
          <w:rFonts w:cs="Arial"/>
          <w:szCs w:val="22"/>
          <w:lang w:val="cs-CZ"/>
        </w:rPr>
        <w:t xml:space="preserve"> dlouhodobého majetku do období, s nímž časově a věcně souviselo</w:t>
      </w:r>
      <w:r w:rsidRPr="006967DA">
        <w:rPr>
          <w:rStyle w:val="Znakapoznpodarou"/>
          <w:rFonts w:cs="Arial"/>
          <w:szCs w:val="22"/>
          <w:lang w:val="cs-CZ"/>
        </w:rPr>
        <w:footnoteReference w:id="28"/>
      </w:r>
      <w:r w:rsidRPr="006967DA">
        <w:rPr>
          <w:rFonts w:cs="Arial"/>
          <w:szCs w:val="22"/>
          <w:lang w:val="cs-CZ"/>
        </w:rPr>
        <w:t xml:space="preserve">, </w:t>
      </w:r>
      <w:r w:rsidR="00C0742B" w:rsidRPr="006967DA">
        <w:rPr>
          <w:rFonts w:cs="Arial"/>
          <w:szCs w:val="22"/>
          <w:lang w:val="cs-CZ"/>
        </w:rPr>
        <w:t xml:space="preserve">podhodnotil </w:t>
      </w:r>
      <w:r w:rsidRPr="006967DA">
        <w:rPr>
          <w:rFonts w:cs="Arial"/>
          <w:szCs w:val="22"/>
          <w:lang w:val="cs-CZ"/>
        </w:rPr>
        <w:t>v účetních závěrkách za roky 2010 a 2011 (a</w:t>
      </w:r>
      <w:r w:rsidR="00C0742B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 xml:space="preserve">předcházejících) položky </w:t>
      </w:r>
      <w:proofErr w:type="gramStart"/>
      <w:r w:rsidRPr="006967DA">
        <w:rPr>
          <w:rFonts w:cs="Arial"/>
          <w:szCs w:val="22"/>
          <w:lang w:val="cs-CZ"/>
        </w:rPr>
        <w:t xml:space="preserve">rozvahy </w:t>
      </w:r>
      <w:r w:rsidRPr="006967DA">
        <w:rPr>
          <w:rFonts w:cs="Arial"/>
          <w:i/>
          <w:szCs w:val="22"/>
          <w:lang w:val="cs-CZ"/>
        </w:rPr>
        <w:t>B.II</w:t>
      </w:r>
      <w:proofErr w:type="gramEnd"/>
      <w:r w:rsidRPr="006967DA">
        <w:rPr>
          <w:rFonts w:cs="Arial"/>
          <w:i/>
          <w:szCs w:val="22"/>
          <w:lang w:val="cs-CZ"/>
        </w:rPr>
        <w:t>.2</w:t>
      </w:r>
      <w:r w:rsidR="00C0742B">
        <w:rPr>
          <w:rFonts w:cs="Arial"/>
          <w:i/>
          <w:szCs w:val="22"/>
          <w:lang w:val="cs-CZ"/>
        </w:rPr>
        <w:t>.</w:t>
      </w:r>
      <w:r w:rsidRPr="006967DA">
        <w:rPr>
          <w:rFonts w:cs="Arial"/>
          <w:i/>
          <w:szCs w:val="22"/>
          <w:lang w:val="cs-CZ"/>
        </w:rPr>
        <w:t>Stavby</w:t>
      </w:r>
      <w:r w:rsidRPr="006967DA">
        <w:rPr>
          <w:rFonts w:cs="Arial"/>
          <w:szCs w:val="22"/>
          <w:lang w:val="cs-CZ"/>
        </w:rPr>
        <w:t xml:space="preserve"> (za rok 2010 o 638 tis. Kč a</w:t>
      </w:r>
      <w:r w:rsidR="00C0742B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za rok 2011 o</w:t>
      </w:r>
      <w:r w:rsidR="000460BD" w:rsidRPr="006967DA">
        <w:rPr>
          <w:rFonts w:cs="Arial"/>
          <w:szCs w:val="22"/>
          <w:lang w:val="cs-CZ"/>
        </w:rPr>
        <w:t> </w:t>
      </w:r>
      <w:r w:rsidR="006408E8">
        <w:rPr>
          <w:rFonts w:cs="Arial"/>
          <w:szCs w:val="22"/>
          <w:lang w:val="cs-CZ"/>
        </w:rPr>
        <w:t>572 tis. Kč) a </w:t>
      </w:r>
      <w:r w:rsidRPr="006967DA">
        <w:rPr>
          <w:rFonts w:cs="Arial"/>
          <w:i/>
          <w:szCs w:val="22"/>
          <w:lang w:val="cs-CZ"/>
        </w:rPr>
        <w:t>B.II.3</w:t>
      </w:r>
      <w:r w:rsidR="00C0742B">
        <w:rPr>
          <w:rFonts w:cs="Arial"/>
          <w:i/>
          <w:szCs w:val="22"/>
          <w:lang w:val="cs-CZ"/>
        </w:rPr>
        <w:t>.</w:t>
      </w:r>
      <w:r w:rsidRPr="006967DA">
        <w:rPr>
          <w:rFonts w:cs="Arial"/>
          <w:i/>
          <w:szCs w:val="22"/>
          <w:lang w:val="cs-CZ"/>
        </w:rPr>
        <w:t>Samostatné movité věci a soubory movitých věcí</w:t>
      </w:r>
      <w:r w:rsidRPr="006967DA">
        <w:rPr>
          <w:rFonts w:cs="Arial"/>
          <w:szCs w:val="22"/>
          <w:lang w:val="cs-CZ"/>
        </w:rPr>
        <w:t xml:space="preserve"> (za r</w:t>
      </w:r>
      <w:r w:rsidR="006408E8">
        <w:rPr>
          <w:rFonts w:cs="Arial"/>
          <w:szCs w:val="22"/>
          <w:lang w:val="cs-CZ"/>
        </w:rPr>
        <w:t>ok 2010 a 2011 o 108 tis. Kč) a </w:t>
      </w:r>
      <w:r w:rsidRPr="006967DA">
        <w:rPr>
          <w:rFonts w:cs="Arial"/>
          <w:szCs w:val="22"/>
          <w:lang w:val="cs-CZ"/>
        </w:rPr>
        <w:t xml:space="preserve">současně podhodnotil položku rozvahy </w:t>
      </w:r>
      <w:r w:rsidRPr="006967DA">
        <w:rPr>
          <w:rFonts w:cs="Arial"/>
          <w:i/>
          <w:szCs w:val="22"/>
          <w:lang w:val="cs-CZ"/>
        </w:rPr>
        <w:t>A.I.3</w:t>
      </w:r>
      <w:r w:rsidR="00C0742B">
        <w:rPr>
          <w:rFonts w:cs="Arial"/>
          <w:i/>
          <w:szCs w:val="22"/>
          <w:lang w:val="cs-CZ"/>
        </w:rPr>
        <w:t>.</w:t>
      </w:r>
      <w:r w:rsidRPr="006967DA">
        <w:rPr>
          <w:rFonts w:cs="Arial"/>
          <w:i/>
          <w:szCs w:val="22"/>
          <w:lang w:val="cs-CZ"/>
        </w:rPr>
        <w:t>Změny základního kapitálu</w:t>
      </w:r>
      <w:r w:rsidRPr="006967DA">
        <w:rPr>
          <w:rFonts w:cs="Arial"/>
          <w:szCs w:val="22"/>
          <w:lang w:val="cs-CZ"/>
        </w:rPr>
        <w:t xml:space="preserve"> (za rok 2010 </w:t>
      </w:r>
      <w:r w:rsidRPr="006967DA">
        <w:rPr>
          <w:rFonts w:cs="Arial"/>
          <w:szCs w:val="22"/>
          <w:lang w:val="cs-CZ"/>
        </w:rPr>
        <w:lastRenderedPageBreak/>
        <w:t>o 746 tis. Kč a za rok 2011 o 680 tis. Kč). PKÚ nepostupoval v souladu s</w:t>
      </w:r>
      <w:r w:rsidR="000462F6" w:rsidRPr="006967DA">
        <w:rPr>
          <w:rFonts w:cs="Arial"/>
          <w:szCs w:val="22"/>
          <w:lang w:val="cs-CZ"/>
        </w:rPr>
        <w:t> ČÚS </w:t>
      </w:r>
      <w:r w:rsidRPr="006967DA">
        <w:rPr>
          <w:rFonts w:cs="Arial"/>
          <w:szCs w:val="22"/>
          <w:lang w:val="cs-CZ"/>
        </w:rPr>
        <w:t>č. 013</w:t>
      </w:r>
      <w:r w:rsidRPr="006967DA">
        <w:rPr>
          <w:rStyle w:val="Znakapoznpodarou"/>
          <w:rFonts w:cs="Arial"/>
          <w:szCs w:val="22"/>
          <w:lang w:val="cs-CZ"/>
        </w:rPr>
        <w:footnoteReference w:id="29"/>
      </w:r>
      <w:r w:rsidRPr="006967DA">
        <w:rPr>
          <w:rFonts w:cs="Arial"/>
          <w:szCs w:val="22"/>
          <w:lang w:val="cs-CZ"/>
        </w:rPr>
        <w:t xml:space="preserve"> tím, že v letech 2010 a 2011 (a předcházejících) nevedl majetek pořízený z dotací v</w:t>
      </w:r>
      <w:r w:rsidR="002435F9" w:rsidRPr="006967DA">
        <w:rPr>
          <w:rFonts w:cs="Arial"/>
          <w:szCs w:val="22"/>
          <w:lang w:val="cs-CZ"/>
        </w:rPr>
        <w:t>e výši</w:t>
      </w:r>
      <w:r w:rsidRPr="006967DA">
        <w:rPr>
          <w:rFonts w:cs="Arial"/>
          <w:szCs w:val="22"/>
          <w:lang w:val="cs-CZ"/>
        </w:rPr>
        <w:t xml:space="preserve"> 10 304 tis. Kč na podrozvahových účtech.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355E4E" w:rsidRPr="006408E8" w:rsidRDefault="00C0742B" w:rsidP="00D86D6E">
      <w:pPr>
        <w:pStyle w:val="normlnmezera"/>
        <w:spacing w:before="0"/>
        <w:rPr>
          <w:rFonts w:cs="Arial"/>
          <w:b/>
          <w:szCs w:val="22"/>
          <w:lang w:val="cs-CZ"/>
        </w:rPr>
      </w:pPr>
      <w:r>
        <w:rPr>
          <w:rFonts w:cs="Arial"/>
          <w:b/>
          <w:szCs w:val="22"/>
          <w:lang w:val="cs-CZ"/>
        </w:rPr>
        <w:t xml:space="preserve">2.1.5 </w:t>
      </w:r>
      <w:r w:rsidR="00DE6BD3" w:rsidRPr="006408E8">
        <w:rPr>
          <w:rFonts w:cs="Arial"/>
          <w:b/>
          <w:szCs w:val="22"/>
          <w:lang w:val="cs-CZ"/>
        </w:rPr>
        <w:t>Prezentace v účetní závěrce</w:t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100224" w:rsidRPr="006967DA" w:rsidRDefault="00FC0345" w:rsidP="00D86D6E">
      <w:pPr>
        <w:rPr>
          <w:rFonts w:cs="Arial"/>
          <w:szCs w:val="22"/>
          <w:lang w:val="cs-CZ" w:eastAsia="cs-CZ"/>
        </w:rPr>
      </w:pPr>
      <w:r w:rsidRPr="006967DA">
        <w:rPr>
          <w:rFonts w:cs="Arial"/>
          <w:szCs w:val="22"/>
          <w:lang w:val="cs-CZ" w:eastAsia="cs-CZ"/>
        </w:rPr>
        <w:t>PKÚ nepostupoval v souladu s vyhlášk</w:t>
      </w:r>
      <w:r w:rsidR="005617EF" w:rsidRPr="006967DA">
        <w:rPr>
          <w:rFonts w:cs="Arial"/>
          <w:szCs w:val="22"/>
          <w:lang w:val="cs-CZ" w:eastAsia="cs-CZ"/>
        </w:rPr>
        <w:t>ou</w:t>
      </w:r>
      <w:r w:rsidRPr="006967DA">
        <w:rPr>
          <w:rFonts w:cs="Arial"/>
          <w:szCs w:val="22"/>
          <w:lang w:val="cs-CZ" w:eastAsia="cs-CZ"/>
        </w:rPr>
        <w:t xml:space="preserve"> č. 500/2002 Sb.</w:t>
      </w:r>
      <w:r w:rsidR="00731953" w:rsidRPr="006967DA">
        <w:rPr>
          <w:rStyle w:val="Znakapoznpodarou"/>
          <w:rFonts w:cs="Arial"/>
          <w:szCs w:val="22"/>
          <w:lang w:val="cs-CZ" w:eastAsia="cs-CZ"/>
        </w:rPr>
        <w:footnoteReference w:id="30"/>
      </w:r>
      <w:r w:rsidRPr="006967DA">
        <w:rPr>
          <w:rFonts w:cs="Arial"/>
          <w:szCs w:val="22"/>
          <w:lang w:val="cs-CZ" w:eastAsia="cs-CZ"/>
        </w:rPr>
        <w:t xml:space="preserve"> tím, že v </w:t>
      </w:r>
      <w:r w:rsidR="00C0742B">
        <w:rPr>
          <w:rFonts w:cs="Arial"/>
          <w:szCs w:val="22"/>
          <w:lang w:val="cs-CZ" w:eastAsia="cs-CZ"/>
        </w:rPr>
        <w:t>p</w:t>
      </w:r>
      <w:r w:rsidRPr="006967DA">
        <w:rPr>
          <w:rFonts w:cs="Arial"/>
          <w:szCs w:val="22"/>
          <w:lang w:val="cs-CZ" w:eastAsia="cs-CZ"/>
        </w:rPr>
        <w:t>řílo</w:t>
      </w:r>
      <w:r w:rsidR="00C0742B">
        <w:rPr>
          <w:rFonts w:cs="Arial"/>
          <w:szCs w:val="22"/>
          <w:lang w:val="cs-CZ" w:eastAsia="cs-CZ"/>
        </w:rPr>
        <w:t>hách</w:t>
      </w:r>
      <w:r w:rsidRPr="006967DA">
        <w:rPr>
          <w:rFonts w:cs="Arial"/>
          <w:szCs w:val="22"/>
          <w:lang w:val="cs-CZ" w:eastAsia="cs-CZ"/>
        </w:rPr>
        <w:t xml:space="preserve"> k účetní</w:t>
      </w:r>
      <w:r w:rsidR="00C0742B">
        <w:rPr>
          <w:rFonts w:cs="Arial"/>
          <w:szCs w:val="22"/>
          <w:lang w:val="cs-CZ" w:eastAsia="cs-CZ"/>
        </w:rPr>
        <w:t>m</w:t>
      </w:r>
      <w:r w:rsidRPr="006967DA">
        <w:rPr>
          <w:rFonts w:cs="Arial"/>
          <w:szCs w:val="22"/>
          <w:lang w:val="cs-CZ" w:eastAsia="cs-CZ"/>
        </w:rPr>
        <w:t xml:space="preserve"> závěr</w:t>
      </w:r>
      <w:r w:rsidR="00C0742B">
        <w:rPr>
          <w:rFonts w:cs="Arial"/>
          <w:szCs w:val="22"/>
          <w:lang w:val="cs-CZ" w:eastAsia="cs-CZ"/>
        </w:rPr>
        <w:t>kám</w:t>
      </w:r>
      <w:r w:rsidRPr="006967DA">
        <w:rPr>
          <w:rFonts w:cs="Arial"/>
          <w:szCs w:val="22"/>
          <w:lang w:val="cs-CZ" w:eastAsia="cs-CZ"/>
        </w:rPr>
        <w:t xml:space="preserve"> za roky 2010</w:t>
      </w:r>
      <w:r w:rsidR="003A37EA" w:rsidRPr="006967DA">
        <w:rPr>
          <w:rFonts w:cs="Arial"/>
          <w:szCs w:val="22"/>
          <w:lang w:val="cs-CZ" w:eastAsia="cs-CZ"/>
        </w:rPr>
        <w:t xml:space="preserve"> až</w:t>
      </w:r>
      <w:r w:rsidRPr="006967DA">
        <w:rPr>
          <w:rFonts w:cs="Arial"/>
          <w:szCs w:val="22"/>
          <w:lang w:val="cs-CZ" w:eastAsia="cs-CZ"/>
        </w:rPr>
        <w:t xml:space="preserve"> 2012 neuvedl</w:t>
      </w:r>
      <w:r w:rsidR="00C93787" w:rsidRPr="006967DA">
        <w:rPr>
          <w:rFonts w:cs="Arial"/>
          <w:szCs w:val="22"/>
          <w:lang w:val="cs-CZ" w:eastAsia="cs-CZ"/>
        </w:rPr>
        <w:t xml:space="preserve"> informace o</w:t>
      </w:r>
      <w:r w:rsidR="00100224" w:rsidRPr="006967DA">
        <w:rPr>
          <w:rFonts w:cs="Arial"/>
          <w:szCs w:val="22"/>
          <w:lang w:val="cs-CZ" w:eastAsia="cs-CZ"/>
        </w:rPr>
        <w:t>:</w:t>
      </w:r>
    </w:p>
    <w:p w:rsidR="00100224" w:rsidRPr="006967DA" w:rsidRDefault="00FC0345" w:rsidP="006967DA">
      <w:pPr>
        <w:pStyle w:val="Odstavecseseznamem"/>
        <w:numPr>
          <w:ilvl w:val="0"/>
          <w:numId w:val="25"/>
        </w:numPr>
        <w:ind w:left="284" w:hanging="284"/>
        <w:contextualSpacing w:val="0"/>
        <w:rPr>
          <w:rFonts w:cs="Arial"/>
          <w:szCs w:val="22"/>
          <w:lang w:eastAsia="cs-CZ"/>
        </w:rPr>
      </w:pPr>
      <w:r w:rsidRPr="006967DA">
        <w:rPr>
          <w:rFonts w:cs="Arial"/>
          <w:szCs w:val="22"/>
        </w:rPr>
        <w:t>celkové výměře lesních pozemků s lesním porostem a</w:t>
      </w:r>
      <w:r w:rsidR="00C0742B">
        <w:rPr>
          <w:rFonts w:cs="Arial"/>
          <w:szCs w:val="22"/>
        </w:rPr>
        <w:t>ni o</w:t>
      </w:r>
      <w:r w:rsidRPr="006967DA">
        <w:rPr>
          <w:rFonts w:cs="Arial"/>
          <w:szCs w:val="22"/>
        </w:rPr>
        <w:t xml:space="preserve"> výši ocenění lesních porostů </w:t>
      </w:r>
      <w:r w:rsidR="00173CF0" w:rsidRPr="006967DA">
        <w:rPr>
          <w:rFonts w:cs="Arial"/>
          <w:szCs w:val="22"/>
        </w:rPr>
        <w:t>(</w:t>
      </w:r>
      <w:r w:rsidR="003A37EA" w:rsidRPr="006967DA">
        <w:rPr>
          <w:rFonts w:cs="Arial"/>
          <w:szCs w:val="22"/>
          <w:lang w:eastAsia="cs-CZ"/>
        </w:rPr>
        <w:t>za</w:t>
      </w:r>
      <w:r w:rsidR="002C3B9E" w:rsidRPr="006967DA">
        <w:rPr>
          <w:rFonts w:cs="Arial"/>
          <w:szCs w:val="22"/>
          <w:lang w:eastAsia="cs-CZ"/>
        </w:rPr>
        <w:t> </w:t>
      </w:r>
      <w:r w:rsidR="003A37EA" w:rsidRPr="006967DA">
        <w:rPr>
          <w:rFonts w:cs="Arial"/>
          <w:szCs w:val="22"/>
          <w:lang w:eastAsia="cs-CZ"/>
        </w:rPr>
        <w:t>rok</w:t>
      </w:r>
      <w:r w:rsidRPr="006967DA">
        <w:rPr>
          <w:rFonts w:cs="Arial"/>
          <w:szCs w:val="22"/>
          <w:lang w:eastAsia="cs-CZ"/>
        </w:rPr>
        <w:t> 2010 o výměře 1 933</w:t>
      </w:r>
      <w:r w:rsidR="000B722C" w:rsidRPr="006967DA">
        <w:rPr>
          <w:rFonts w:cs="Arial"/>
          <w:szCs w:val="22"/>
          <w:lang w:eastAsia="cs-CZ"/>
        </w:rPr>
        <w:t> </w:t>
      </w:r>
      <w:r w:rsidRPr="006967DA">
        <w:rPr>
          <w:rFonts w:cs="Arial"/>
          <w:szCs w:val="22"/>
          <w:lang w:eastAsia="cs-CZ"/>
        </w:rPr>
        <w:t>691</w:t>
      </w:r>
      <w:r w:rsidR="000B722C" w:rsidRPr="006967DA">
        <w:rPr>
          <w:rFonts w:cs="Arial"/>
          <w:szCs w:val="22"/>
          <w:lang w:eastAsia="cs-CZ"/>
        </w:rPr>
        <w:t> </w:t>
      </w:r>
      <w:r w:rsidRPr="006967DA">
        <w:rPr>
          <w:rFonts w:cs="Arial"/>
          <w:szCs w:val="22"/>
          <w:lang w:eastAsia="cs-CZ"/>
        </w:rPr>
        <w:t>m</w:t>
      </w:r>
      <w:r w:rsidRPr="006967DA">
        <w:rPr>
          <w:rFonts w:cs="Arial"/>
          <w:szCs w:val="22"/>
          <w:vertAlign w:val="superscript"/>
          <w:lang w:eastAsia="cs-CZ"/>
        </w:rPr>
        <w:t>2</w:t>
      </w:r>
      <w:r w:rsidRPr="006967DA">
        <w:rPr>
          <w:rFonts w:cs="Arial"/>
          <w:szCs w:val="22"/>
          <w:lang w:eastAsia="cs-CZ"/>
        </w:rPr>
        <w:t xml:space="preserve"> s výší ocenění 110 220 tis.</w:t>
      </w:r>
      <w:r w:rsidR="000B722C" w:rsidRPr="006967DA">
        <w:rPr>
          <w:rFonts w:cs="Arial"/>
          <w:szCs w:val="22"/>
          <w:lang w:eastAsia="cs-CZ"/>
        </w:rPr>
        <w:t> </w:t>
      </w:r>
      <w:r w:rsidRPr="006967DA">
        <w:rPr>
          <w:rFonts w:cs="Arial"/>
          <w:szCs w:val="22"/>
          <w:lang w:eastAsia="cs-CZ"/>
        </w:rPr>
        <w:t xml:space="preserve">Kč, </w:t>
      </w:r>
      <w:r w:rsidR="003A37EA" w:rsidRPr="006967DA">
        <w:rPr>
          <w:rFonts w:cs="Arial"/>
          <w:szCs w:val="22"/>
          <w:lang w:eastAsia="cs-CZ"/>
        </w:rPr>
        <w:t>za rok</w:t>
      </w:r>
      <w:r w:rsidRPr="006967DA">
        <w:rPr>
          <w:rFonts w:cs="Arial"/>
          <w:szCs w:val="22"/>
          <w:lang w:eastAsia="cs-CZ"/>
        </w:rPr>
        <w:t xml:space="preserve"> 2011 </w:t>
      </w:r>
      <w:r w:rsidRPr="006967DA">
        <w:rPr>
          <w:rFonts w:cs="Arial"/>
          <w:szCs w:val="22"/>
        </w:rPr>
        <w:t>o</w:t>
      </w:r>
      <w:r w:rsidR="00100224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výměře 1 133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712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m</w:t>
      </w:r>
      <w:r w:rsidRPr="006967DA">
        <w:rPr>
          <w:rFonts w:cs="Arial"/>
          <w:szCs w:val="22"/>
          <w:vertAlign w:val="superscript"/>
        </w:rPr>
        <w:t>2</w:t>
      </w:r>
      <w:r w:rsidRPr="006967DA">
        <w:rPr>
          <w:rFonts w:cs="Arial"/>
          <w:szCs w:val="22"/>
        </w:rPr>
        <w:t xml:space="preserve"> s oceněním 64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622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 xml:space="preserve">tis. Kč, </w:t>
      </w:r>
      <w:r w:rsidR="003A37EA" w:rsidRPr="006967DA">
        <w:rPr>
          <w:rFonts w:cs="Arial"/>
          <w:szCs w:val="22"/>
        </w:rPr>
        <w:t>za rok</w:t>
      </w:r>
      <w:r w:rsidRPr="006967DA">
        <w:rPr>
          <w:rFonts w:cs="Arial"/>
          <w:szCs w:val="22"/>
        </w:rPr>
        <w:t xml:space="preserve"> </w:t>
      </w:r>
      <w:r w:rsidR="00D005C9" w:rsidRPr="006967DA">
        <w:rPr>
          <w:rFonts w:cs="Arial"/>
          <w:szCs w:val="22"/>
        </w:rPr>
        <w:t xml:space="preserve">2012 </w:t>
      </w:r>
      <w:r w:rsidRPr="006967DA">
        <w:rPr>
          <w:rFonts w:cs="Arial"/>
          <w:szCs w:val="22"/>
        </w:rPr>
        <w:t>o výměře 293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364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m</w:t>
      </w:r>
      <w:r w:rsidRPr="006967DA">
        <w:rPr>
          <w:rFonts w:cs="Arial"/>
          <w:szCs w:val="22"/>
          <w:vertAlign w:val="superscript"/>
        </w:rPr>
        <w:t>2</w:t>
      </w:r>
      <w:r w:rsidRPr="006967DA">
        <w:rPr>
          <w:rFonts w:cs="Arial"/>
          <w:szCs w:val="22"/>
        </w:rPr>
        <w:t xml:space="preserve"> s oceněním 16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722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tis.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Kč</w:t>
      </w:r>
      <w:r w:rsidR="00173CF0" w:rsidRPr="006967DA">
        <w:rPr>
          <w:rFonts w:cs="Arial"/>
          <w:szCs w:val="22"/>
        </w:rPr>
        <w:t>)</w:t>
      </w:r>
      <w:r w:rsidR="000E7CC0" w:rsidRPr="006967DA">
        <w:rPr>
          <w:rFonts w:cs="Arial"/>
          <w:szCs w:val="22"/>
        </w:rPr>
        <w:t>;</w:t>
      </w:r>
      <w:r w:rsidR="00173CF0" w:rsidRPr="006967DA">
        <w:rPr>
          <w:rFonts w:cs="Arial"/>
          <w:szCs w:val="22"/>
          <w:lang w:eastAsia="cs-CZ"/>
        </w:rPr>
        <w:t xml:space="preserve"> </w:t>
      </w:r>
    </w:p>
    <w:p w:rsidR="00100224" w:rsidRPr="006967DA" w:rsidRDefault="00FC0345" w:rsidP="006967DA">
      <w:pPr>
        <w:pStyle w:val="Odstavecseseznamem"/>
        <w:numPr>
          <w:ilvl w:val="0"/>
          <w:numId w:val="25"/>
        </w:numPr>
        <w:ind w:left="284" w:hanging="284"/>
        <w:contextualSpacing w:val="0"/>
        <w:rPr>
          <w:rFonts w:cs="Arial"/>
          <w:szCs w:val="22"/>
          <w:lang w:eastAsia="cs-CZ"/>
        </w:rPr>
      </w:pPr>
      <w:r w:rsidRPr="006967DA">
        <w:rPr>
          <w:rFonts w:cs="Arial"/>
          <w:szCs w:val="22"/>
        </w:rPr>
        <w:t xml:space="preserve">zatížení majetku věcným břemenem </w:t>
      </w:r>
      <w:r w:rsidR="00173CF0" w:rsidRPr="006967DA">
        <w:rPr>
          <w:rFonts w:cs="Arial"/>
          <w:szCs w:val="22"/>
        </w:rPr>
        <w:t>(</w:t>
      </w:r>
      <w:r w:rsidRPr="006967DA">
        <w:rPr>
          <w:rFonts w:cs="Arial"/>
          <w:szCs w:val="22"/>
        </w:rPr>
        <w:t>za rok 2010 ve výši 934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tis.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Kč</w:t>
      </w:r>
      <w:r w:rsidR="00173CF0" w:rsidRPr="006967DA">
        <w:rPr>
          <w:rFonts w:cs="Arial"/>
          <w:szCs w:val="22"/>
        </w:rPr>
        <w:t>)</w:t>
      </w:r>
      <w:r w:rsidR="00100224" w:rsidRPr="006967DA">
        <w:rPr>
          <w:rFonts w:cs="Arial"/>
          <w:szCs w:val="22"/>
        </w:rPr>
        <w:t>;</w:t>
      </w:r>
    </w:p>
    <w:p w:rsidR="00FC0345" w:rsidRPr="006967DA" w:rsidRDefault="00FC0345" w:rsidP="006967DA">
      <w:pPr>
        <w:pStyle w:val="Odstavecseseznamem"/>
        <w:numPr>
          <w:ilvl w:val="0"/>
          <w:numId w:val="25"/>
        </w:numPr>
        <w:ind w:left="284" w:hanging="284"/>
        <w:contextualSpacing w:val="0"/>
        <w:rPr>
          <w:rFonts w:cs="Arial"/>
          <w:szCs w:val="22"/>
          <w:lang w:eastAsia="cs-CZ"/>
        </w:rPr>
      </w:pPr>
      <w:proofErr w:type="gramStart"/>
      <w:r w:rsidRPr="006967DA">
        <w:rPr>
          <w:rFonts w:cs="Arial"/>
          <w:szCs w:val="22"/>
        </w:rPr>
        <w:t>najatém</w:t>
      </w:r>
      <w:proofErr w:type="gramEnd"/>
      <w:r w:rsidRPr="006967DA">
        <w:rPr>
          <w:rFonts w:cs="Arial"/>
          <w:szCs w:val="22"/>
        </w:rPr>
        <w:t xml:space="preserve"> majetku </w:t>
      </w:r>
      <w:r w:rsidR="00173CF0" w:rsidRPr="006967DA">
        <w:rPr>
          <w:rFonts w:cs="Arial"/>
          <w:szCs w:val="22"/>
        </w:rPr>
        <w:t>(</w:t>
      </w:r>
      <w:r w:rsidRPr="006967DA">
        <w:rPr>
          <w:rFonts w:cs="Arial"/>
          <w:szCs w:val="22"/>
        </w:rPr>
        <w:t>za rok 2010 ve výši 1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448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tis.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Kč, za rok 2011 ve výši 1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345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tis.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Kč a</w:t>
      </w:r>
      <w:r w:rsidR="002C3B9E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za rok 2012 ve výši 1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899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tis.</w:t>
      </w:r>
      <w:r w:rsidR="000B722C" w:rsidRPr="006967DA">
        <w:rPr>
          <w:rFonts w:cs="Arial"/>
          <w:szCs w:val="22"/>
        </w:rPr>
        <w:t> </w:t>
      </w:r>
      <w:r w:rsidRPr="006967DA">
        <w:rPr>
          <w:rFonts w:cs="Arial"/>
          <w:szCs w:val="22"/>
        </w:rPr>
        <w:t>Kč</w:t>
      </w:r>
      <w:r w:rsidR="00173CF0" w:rsidRPr="006967DA">
        <w:rPr>
          <w:rFonts w:cs="Arial"/>
          <w:szCs w:val="22"/>
        </w:rPr>
        <w:t>)</w:t>
      </w:r>
      <w:r w:rsidR="006967DA">
        <w:rPr>
          <w:rFonts w:cs="Arial"/>
          <w:szCs w:val="22"/>
        </w:rPr>
        <w:t>.</w:t>
      </w:r>
    </w:p>
    <w:p w:rsidR="006967DA" w:rsidRDefault="006967DA" w:rsidP="00D86D6E">
      <w:pPr>
        <w:rPr>
          <w:rFonts w:cs="Arial"/>
          <w:szCs w:val="22"/>
          <w:lang w:val="cs-CZ" w:eastAsia="cs-CZ"/>
        </w:rPr>
      </w:pPr>
    </w:p>
    <w:p w:rsidR="00835D9C" w:rsidRPr="006967DA" w:rsidRDefault="006408E8" w:rsidP="00D86D6E">
      <w:pPr>
        <w:rPr>
          <w:rFonts w:cs="Arial"/>
          <w:szCs w:val="22"/>
          <w:lang w:val="cs-CZ"/>
        </w:rPr>
      </w:pPr>
      <w:r>
        <w:rPr>
          <w:rFonts w:cs="Arial"/>
          <w:szCs w:val="22"/>
          <w:lang w:val="cs-CZ" w:eastAsia="cs-CZ"/>
        </w:rPr>
        <w:t>V</w:t>
      </w:r>
      <w:r w:rsidR="00835D9C" w:rsidRPr="006967DA">
        <w:rPr>
          <w:rFonts w:cs="Arial"/>
          <w:szCs w:val="22"/>
          <w:lang w:val="cs-CZ" w:eastAsia="cs-CZ"/>
        </w:rPr>
        <w:t> případech popsaných v kontrolním závěru nepostupoval</w:t>
      </w:r>
      <w:r w:rsidR="00C0742B" w:rsidRPr="00C0742B">
        <w:rPr>
          <w:rFonts w:cs="Arial"/>
          <w:szCs w:val="22"/>
          <w:lang w:val="cs-CZ" w:eastAsia="cs-CZ"/>
        </w:rPr>
        <w:t xml:space="preserve"> </w:t>
      </w:r>
      <w:r w:rsidR="00C0742B" w:rsidRPr="006967DA">
        <w:rPr>
          <w:rFonts w:cs="Arial"/>
          <w:szCs w:val="22"/>
          <w:lang w:val="cs-CZ" w:eastAsia="cs-CZ"/>
        </w:rPr>
        <w:t>PKÚ</w:t>
      </w:r>
      <w:r w:rsidR="00835D9C" w:rsidRPr="006967DA">
        <w:rPr>
          <w:rFonts w:cs="Arial"/>
          <w:szCs w:val="22"/>
          <w:lang w:val="cs-CZ" w:eastAsia="cs-CZ"/>
        </w:rPr>
        <w:t xml:space="preserve"> </w:t>
      </w:r>
      <w:r w:rsidR="00835D9C" w:rsidRPr="006967DA">
        <w:rPr>
          <w:rFonts w:cs="Arial"/>
          <w:szCs w:val="22"/>
          <w:lang w:val="cs-CZ"/>
        </w:rPr>
        <w:t>v souladu se zákonem č. 563/1991 Sb.</w:t>
      </w:r>
      <w:r w:rsidR="00835D9C" w:rsidRPr="006967DA">
        <w:rPr>
          <w:rStyle w:val="Znakapoznpodarou"/>
          <w:rFonts w:cs="Arial"/>
          <w:szCs w:val="22"/>
          <w:lang w:val="cs-CZ"/>
        </w:rPr>
        <w:footnoteReference w:id="31"/>
      </w:r>
      <w:r w:rsidR="00C0742B">
        <w:rPr>
          <w:rFonts w:cs="Arial"/>
          <w:szCs w:val="22"/>
          <w:lang w:val="cs-CZ"/>
        </w:rPr>
        <w:t>,</w:t>
      </w:r>
      <w:r w:rsidR="00835D9C" w:rsidRPr="006967DA">
        <w:rPr>
          <w:rFonts w:cs="Arial"/>
          <w:szCs w:val="22"/>
          <w:lang w:val="cs-CZ"/>
        </w:rPr>
        <w:t xml:space="preserve"> v důsledku </w:t>
      </w:r>
      <w:r w:rsidR="00C0742B">
        <w:rPr>
          <w:rFonts w:cs="Arial"/>
          <w:szCs w:val="22"/>
          <w:lang w:val="cs-CZ"/>
        </w:rPr>
        <w:t>čehož</w:t>
      </w:r>
      <w:r w:rsidR="00835D9C" w:rsidRPr="006967DA">
        <w:rPr>
          <w:rFonts w:cs="Arial"/>
          <w:szCs w:val="22"/>
          <w:lang w:val="cs-CZ"/>
        </w:rPr>
        <w:t xml:space="preserve"> v letech 2010–2012</w:t>
      </w:r>
      <w:r w:rsidR="00433939" w:rsidRPr="006967DA">
        <w:rPr>
          <w:rFonts w:cs="Arial"/>
          <w:szCs w:val="22"/>
          <w:lang w:val="cs-CZ"/>
        </w:rPr>
        <w:t xml:space="preserve"> nevedl správné, úplné a </w:t>
      </w:r>
      <w:r w:rsidR="00835D9C" w:rsidRPr="006967DA">
        <w:rPr>
          <w:rFonts w:cs="Arial"/>
          <w:szCs w:val="22"/>
          <w:lang w:val="cs-CZ"/>
        </w:rPr>
        <w:t>průkazné účetnictví ve smyslu zákona č. 563/1991 Sb.</w:t>
      </w:r>
      <w:r w:rsidR="00835D9C" w:rsidRPr="006967DA">
        <w:rPr>
          <w:rStyle w:val="Znakapoznpodarou"/>
          <w:rFonts w:cs="Arial"/>
          <w:szCs w:val="22"/>
          <w:lang w:val="cs-CZ"/>
        </w:rPr>
        <w:footnoteReference w:id="32"/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A0158C" w:rsidRPr="006967DA" w:rsidRDefault="00D86D6E" w:rsidP="00D86D6E">
      <w:pPr>
        <w:rPr>
          <w:b/>
          <w:sz w:val="24"/>
          <w:lang w:val="cs-CZ"/>
        </w:rPr>
      </w:pPr>
      <w:r w:rsidRPr="006967DA">
        <w:rPr>
          <w:b/>
          <w:sz w:val="24"/>
          <w:lang w:val="cs-CZ"/>
        </w:rPr>
        <w:t xml:space="preserve">2.2 </w:t>
      </w:r>
      <w:r w:rsidR="00965E3A" w:rsidRPr="006967DA">
        <w:rPr>
          <w:b/>
          <w:sz w:val="24"/>
          <w:lang w:val="cs-CZ"/>
        </w:rPr>
        <w:t>Vnitřní systém řízení a kontroly</w:t>
      </w: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3142D9" w:rsidRDefault="00965E3A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/>
        </w:rPr>
        <w:t>PKÚ měl v kontrolovaném období vytvořen systém kontrolních mechanizmů, který stanovil podmínky a ukládal povinnosti při výkonu kontrolní činnosti</w:t>
      </w:r>
      <w:r w:rsidR="002435F9" w:rsidRPr="006967DA">
        <w:rPr>
          <w:rFonts w:cs="Arial"/>
          <w:szCs w:val="22"/>
          <w:lang w:val="cs-CZ"/>
        </w:rPr>
        <w:t>.</w:t>
      </w:r>
    </w:p>
    <w:p w:rsidR="006967DA" w:rsidRPr="006967DA" w:rsidRDefault="006967DA" w:rsidP="00D86D6E">
      <w:pPr>
        <w:rPr>
          <w:rFonts w:cs="Arial"/>
          <w:szCs w:val="22"/>
          <w:lang w:val="cs-CZ"/>
        </w:rPr>
      </w:pPr>
    </w:p>
    <w:p w:rsidR="00965E3A" w:rsidRPr="006967DA" w:rsidRDefault="00F35EBB" w:rsidP="00D86D6E">
      <w:pPr>
        <w:rPr>
          <w:rFonts w:cs="Arial"/>
          <w:szCs w:val="22"/>
          <w:lang w:val="cs-CZ" w:eastAsia="cs-CZ"/>
        </w:rPr>
      </w:pPr>
      <w:r w:rsidRPr="006967DA">
        <w:rPr>
          <w:rFonts w:cs="Arial"/>
          <w:szCs w:val="22"/>
          <w:lang w:val="cs-CZ" w:eastAsia="cs-CZ"/>
        </w:rPr>
        <w:t>PKÚ prostřednictvím v</w:t>
      </w:r>
      <w:r w:rsidR="00965E3A" w:rsidRPr="006967DA">
        <w:rPr>
          <w:rFonts w:cs="Arial"/>
          <w:szCs w:val="22"/>
          <w:lang w:val="cs-CZ" w:eastAsia="cs-CZ"/>
        </w:rPr>
        <w:t>nitřní</w:t>
      </w:r>
      <w:r w:rsidRPr="006967DA">
        <w:rPr>
          <w:rFonts w:cs="Arial"/>
          <w:szCs w:val="22"/>
          <w:lang w:val="cs-CZ" w:eastAsia="cs-CZ"/>
        </w:rPr>
        <w:t>ho</w:t>
      </w:r>
      <w:r w:rsidR="00965E3A" w:rsidRPr="006967DA">
        <w:rPr>
          <w:rFonts w:cs="Arial"/>
          <w:szCs w:val="22"/>
          <w:lang w:val="cs-CZ" w:eastAsia="cs-CZ"/>
        </w:rPr>
        <w:t xml:space="preserve"> kontrolní</w:t>
      </w:r>
      <w:r w:rsidRPr="006967DA">
        <w:rPr>
          <w:rFonts w:cs="Arial"/>
          <w:szCs w:val="22"/>
          <w:lang w:val="cs-CZ" w:eastAsia="cs-CZ"/>
        </w:rPr>
        <w:t>ho</w:t>
      </w:r>
      <w:r w:rsidR="00965E3A" w:rsidRPr="006967DA">
        <w:rPr>
          <w:rFonts w:cs="Arial"/>
          <w:szCs w:val="22"/>
          <w:lang w:val="cs-CZ" w:eastAsia="cs-CZ"/>
        </w:rPr>
        <w:t xml:space="preserve"> systém</w:t>
      </w:r>
      <w:r w:rsidRPr="006967DA">
        <w:rPr>
          <w:rFonts w:cs="Arial"/>
          <w:szCs w:val="22"/>
          <w:lang w:val="cs-CZ" w:eastAsia="cs-CZ"/>
        </w:rPr>
        <w:t>u</w:t>
      </w:r>
      <w:r w:rsidR="00965E3A" w:rsidRPr="006967DA">
        <w:rPr>
          <w:rFonts w:cs="Arial"/>
          <w:szCs w:val="22"/>
          <w:lang w:val="cs-CZ" w:eastAsia="cs-CZ"/>
        </w:rPr>
        <w:t xml:space="preserve"> nezjistil nedostatky v evidenci a</w:t>
      </w:r>
      <w:r w:rsidRPr="006967DA">
        <w:rPr>
          <w:rFonts w:cs="Arial"/>
          <w:szCs w:val="22"/>
          <w:lang w:val="cs-CZ" w:eastAsia="cs-CZ"/>
        </w:rPr>
        <w:t> </w:t>
      </w:r>
      <w:r w:rsidR="006A52C2" w:rsidRPr="006967DA">
        <w:rPr>
          <w:rFonts w:cs="Arial"/>
          <w:szCs w:val="22"/>
          <w:lang w:val="cs-CZ" w:eastAsia="cs-CZ"/>
        </w:rPr>
        <w:t>účetnictví</w:t>
      </w:r>
      <w:r w:rsidR="00DA09B1">
        <w:rPr>
          <w:rFonts w:cs="Arial"/>
          <w:szCs w:val="22"/>
          <w:lang w:val="cs-CZ" w:eastAsia="cs-CZ"/>
        </w:rPr>
        <w:t xml:space="preserve"> </w:t>
      </w:r>
      <w:r w:rsidR="00965E3A" w:rsidRPr="006967DA">
        <w:rPr>
          <w:rFonts w:cs="Arial"/>
          <w:szCs w:val="22"/>
          <w:lang w:val="cs-CZ" w:eastAsia="cs-CZ"/>
        </w:rPr>
        <w:t>dlouhodob</w:t>
      </w:r>
      <w:r w:rsidR="006A52C2" w:rsidRPr="006967DA">
        <w:rPr>
          <w:rFonts w:cs="Arial"/>
          <w:szCs w:val="22"/>
          <w:lang w:val="cs-CZ" w:eastAsia="cs-CZ"/>
        </w:rPr>
        <w:t>ého</w:t>
      </w:r>
      <w:r w:rsidR="00965E3A" w:rsidRPr="006967DA">
        <w:rPr>
          <w:rFonts w:cs="Arial"/>
          <w:szCs w:val="22"/>
          <w:lang w:val="cs-CZ" w:eastAsia="cs-CZ"/>
        </w:rPr>
        <w:t xml:space="preserve"> majetk</w:t>
      </w:r>
      <w:r w:rsidR="006A52C2" w:rsidRPr="006967DA">
        <w:rPr>
          <w:rFonts w:cs="Arial"/>
          <w:szCs w:val="22"/>
          <w:lang w:val="cs-CZ" w:eastAsia="cs-CZ"/>
        </w:rPr>
        <w:t>u</w:t>
      </w:r>
      <w:r w:rsidR="000C09A1" w:rsidRPr="006967DA">
        <w:rPr>
          <w:rFonts w:cs="Arial"/>
          <w:szCs w:val="22"/>
          <w:lang w:val="cs-CZ" w:eastAsia="cs-CZ"/>
        </w:rPr>
        <w:t>.</w:t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D86D6E" w:rsidRPr="006967DA" w:rsidRDefault="00D86D6E" w:rsidP="00D86D6E">
      <w:pPr>
        <w:rPr>
          <w:rFonts w:cs="Arial"/>
          <w:szCs w:val="22"/>
          <w:lang w:val="cs-CZ"/>
        </w:rPr>
      </w:pPr>
    </w:p>
    <w:p w:rsidR="009F5A4D" w:rsidRPr="006967DA" w:rsidRDefault="00D86D6E" w:rsidP="00D86D6E">
      <w:pPr>
        <w:jc w:val="center"/>
        <w:rPr>
          <w:b/>
          <w:sz w:val="24"/>
          <w:lang w:val="cs-CZ"/>
        </w:rPr>
      </w:pPr>
      <w:r w:rsidRPr="006967DA">
        <w:rPr>
          <w:b/>
          <w:sz w:val="24"/>
          <w:lang w:val="cs-CZ"/>
        </w:rPr>
        <w:t xml:space="preserve">III. </w:t>
      </w:r>
      <w:r w:rsidR="009F5A4D" w:rsidRPr="006967DA">
        <w:rPr>
          <w:b/>
          <w:sz w:val="24"/>
          <w:lang w:val="cs-CZ"/>
        </w:rPr>
        <w:t>Shrnutí</w:t>
      </w:r>
    </w:p>
    <w:p w:rsidR="00D86D6E" w:rsidRPr="006967DA" w:rsidRDefault="00D86D6E" w:rsidP="00D86D6E">
      <w:pPr>
        <w:rPr>
          <w:rFonts w:cs="Arial"/>
          <w:szCs w:val="22"/>
          <w:lang w:val="cs-CZ" w:eastAsia="cs-CZ"/>
        </w:rPr>
      </w:pPr>
    </w:p>
    <w:p w:rsidR="008844BA" w:rsidRPr="006967DA" w:rsidRDefault="009F5A4D" w:rsidP="00D86D6E">
      <w:pPr>
        <w:rPr>
          <w:rFonts w:cs="Arial"/>
          <w:szCs w:val="22"/>
          <w:lang w:val="cs-CZ"/>
        </w:rPr>
      </w:pPr>
      <w:r w:rsidRPr="006967DA">
        <w:rPr>
          <w:rFonts w:cs="Arial"/>
          <w:szCs w:val="22"/>
          <w:lang w:val="cs-CZ" w:eastAsia="cs-CZ"/>
        </w:rPr>
        <w:t xml:space="preserve">Kontrola NKÚ </w:t>
      </w:r>
      <w:r w:rsidRPr="006967DA">
        <w:rPr>
          <w:rFonts w:cs="Arial"/>
          <w:szCs w:val="22"/>
          <w:lang w:val="cs-CZ"/>
        </w:rPr>
        <w:t>prověřila u MPO plnění povinností vyplývajících z</w:t>
      </w:r>
      <w:r w:rsidR="00667196" w:rsidRPr="006967DA">
        <w:rPr>
          <w:rFonts w:cs="Arial"/>
          <w:szCs w:val="22"/>
          <w:lang w:val="cs-CZ"/>
        </w:rPr>
        <w:t xml:space="preserve">e </w:t>
      </w:r>
      <w:r w:rsidRPr="006967DA">
        <w:rPr>
          <w:rFonts w:cs="Arial"/>
          <w:szCs w:val="22"/>
          <w:lang w:val="cs-CZ"/>
        </w:rPr>
        <w:t>zákona č.</w:t>
      </w:r>
      <w:r w:rsidR="00751E74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77/1997 Sb. ve vztahu k</w:t>
      </w:r>
      <w:r w:rsidR="002435F9" w:rsidRPr="006967DA">
        <w:rPr>
          <w:rFonts w:cs="Arial"/>
          <w:szCs w:val="22"/>
          <w:lang w:val="cs-CZ"/>
        </w:rPr>
        <w:t> </w:t>
      </w:r>
      <w:r w:rsidRPr="006967DA">
        <w:rPr>
          <w:rFonts w:cs="Arial"/>
          <w:szCs w:val="22"/>
          <w:lang w:val="cs-CZ"/>
        </w:rPr>
        <w:t>PKÚ</w:t>
      </w:r>
      <w:r w:rsidR="00667196" w:rsidRPr="006967DA">
        <w:rPr>
          <w:rFonts w:cs="Arial"/>
          <w:szCs w:val="22"/>
          <w:lang w:val="cs-CZ"/>
        </w:rPr>
        <w:t>. U</w:t>
      </w:r>
      <w:r w:rsidRPr="006967DA">
        <w:rPr>
          <w:rFonts w:cs="Arial"/>
          <w:szCs w:val="22"/>
          <w:lang w:val="cs-CZ"/>
        </w:rPr>
        <w:t xml:space="preserve"> </w:t>
      </w:r>
      <w:r w:rsidR="000B764A">
        <w:rPr>
          <w:rFonts w:cs="Arial"/>
          <w:szCs w:val="22"/>
          <w:lang w:val="cs-CZ"/>
        </w:rPr>
        <w:t>Palivového kombinátu Ústí</w:t>
      </w:r>
      <w:r w:rsidR="006408E8">
        <w:rPr>
          <w:rFonts w:cs="Arial"/>
          <w:szCs w:val="22"/>
          <w:lang w:val="cs-CZ"/>
        </w:rPr>
        <w:t>, státní podnik,</w:t>
      </w:r>
      <w:r w:rsidRPr="006967DA">
        <w:rPr>
          <w:rFonts w:cs="Arial"/>
          <w:szCs w:val="22"/>
          <w:lang w:val="cs-CZ"/>
        </w:rPr>
        <w:t xml:space="preserve"> </w:t>
      </w:r>
      <w:r w:rsidR="00667196" w:rsidRPr="006967DA">
        <w:rPr>
          <w:rFonts w:cs="Arial"/>
          <w:szCs w:val="22"/>
          <w:lang w:val="cs-CZ"/>
        </w:rPr>
        <w:t xml:space="preserve">prověřila </w:t>
      </w:r>
      <w:r w:rsidR="006408E8">
        <w:rPr>
          <w:rFonts w:cs="Arial"/>
          <w:szCs w:val="22"/>
          <w:lang w:val="cs-CZ"/>
        </w:rPr>
        <w:t>hospodaření s </w:t>
      </w:r>
      <w:r w:rsidRPr="006967DA">
        <w:rPr>
          <w:rFonts w:cs="Arial"/>
          <w:szCs w:val="22"/>
          <w:lang w:val="cs-CZ"/>
        </w:rPr>
        <w:t>majetkem státu</w:t>
      </w:r>
      <w:r w:rsidR="00667196" w:rsidRPr="006967DA">
        <w:rPr>
          <w:rFonts w:cs="Arial"/>
          <w:szCs w:val="22"/>
          <w:lang w:val="cs-CZ"/>
        </w:rPr>
        <w:t xml:space="preserve"> </w:t>
      </w:r>
      <w:r w:rsidR="000B764A">
        <w:rPr>
          <w:rFonts w:cs="Arial"/>
          <w:szCs w:val="22"/>
          <w:lang w:val="cs-CZ"/>
        </w:rPr>
        <w:t>a </w:t>
      </w:r>
      <w:r w:rsidR="006408E8">
        <w:rPr>
          <w:rFonts w:cs="Arial"/>
          <w:szCs w:val="22"/>
          <w:lang w:val="cs-CZ"/>
        </w:rPr>
        <w:t>bylo např. zjištěno, že PKÚ</w:t>
      </w:r>
      <w:r w:rsidR="00667196" w:rsidRPr="006967DA">
        <w:rPr>
          <w:rFonts w:cs="Arial"/>
          <w:szCs w:val="22"/>
          <w:lang w:val="cs-CZ"/>
        </w:rPr>
        <w:t>:</w:t>
      </w:r>
      <w:r w:rsidR="00E74876" w:rsidRPr="006967DA">
        <w:rPr>
          <w:rFonts w:cs="Arial"/>
          <w:szCs w:val="22"/>
          <w:lang w:val="cs-CZ"/>
        </w:rPr>
        <w:t xml:space="preserve"> </w:t>
      </w:r>
    </w:p>
    <w:p w:rsidR="00445D08" w:rsidRPr="006967DA" w:rsidRDefault="00445D08" w:rsidP="00D86D6E">
      <w:pPr>
        <w:pStyle w:val="Odstavecseseznamem"/>
        <w:numPr>
          <w:ilvl w:val="0"/>
          <w:numId w:val="19"/>
        </w:numPr>
        <w:ind w:left="426"/>
        <w:contextualSpacing w:val="0"/>
        <w:rPr>
          <w:rFonts w:cs="Arial"/>
          <w:szCs w:val="22"/>
        </w:rPr>
      </w:pPr>
      <w:r w:rsidRPr="006967DA">
        <w:rPr>
          <w:rFonts w:cs="Arial"/>
          <w:szCs w:val="22"/>
        </w:rPr>
        <w:t>neohlásil změnu údajů v katastru nemovitostí týkajících se</w:t>
      </w:r>
      <w:r w:rsidR="00421490" w:rsidRPr="006967DA">
        <w:rPr>
          <w:rFonts w:cs="Arial"/>
          <w:szCs w:val="22"/>
        </w:rPr>
        <w:t xml:space="preserve"> majetku státu, </w:t>
      </w:r>
      <w:r w:rsidR="00667196" w:rsidRPr="006967DA">
        <w:rPr>
          <w:rFonts w:cs="Arial"/>
          <w:szCs w:val="22"/>
        </w:rPr>
        <w:t>s nímž</w:t>
      </w:r>
      <w:r w:rsidR="00421490" w:rsidRPr="006967DA">
        <w:rPr>
          <w:rFonts w:cs="Arial"/>
          <w:szCs w:val="22"/>
        </w:rPr>
        <w:t xml:space="preserve"> má PKÚ právo hospodařit</w:t>
      </w:r>
      <w:r w:rsidR="00C73E1C">
        <w:rPr>
          <w:rFonts w:cs="Arial"/>
          <w:szCs w:val="22"/>
        </w:rPr>
        <w:t>;</w:t>
      </w:r>
    </w:p>
    <w:p w:rsidR="002C3B9E" w:rsidRPr="006967DA" w:rsidRDefault="00C73E1C" w:rsidP="00D86D6E">
      <w:pPr>
        <w:pStyle w:val="Odstavecseseznamem"/>
        <w:numPr>
          <w:ilvl w:val="0"/>
          <w:numId w:val="21"/>
        </w:numPr>
        <w:ind w:left="426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2C3B9E" w:rsidRPr="006967DA">
        <w:rPr>
          <w:rFonts w:cs="Arial"/>
          <w:szCs w:val="22"/>
        </w:rPr>
        <w:t>eúčtoval o některých přírůstcích a úbytcích majetku do období, s nímž časově a</w:t>
      </w:r>
      <w:r w:rsidR="00154412">
        <w:rPr>
          <w:rFonts w:cs="Arial"/>
          <w:szCs w:val="22"/>
        </w:rPr>
        <w:t> </w:t>
      </w:r>
      <w:r w:rsidR="002C3B9E" w:rsidRPr="006967DA">
        <w:rPr>
          <w:rFonts w:cs="Arial"/>
          <w:szCs w:val="22"/>
        </w:rPr>
        <w:t>věcně souvisely</w:t>
      </w:r>
      <w:r>
        <w:rPr>
          <w:rFonts w:cs="Arial"/>
          <w:szCs w:val="22"/>
        </w:rPr>
        <w:t>,</w:t>
      </w:r>
      <w:r w:rsidR="002C3B9E" w:rsidRPr="006967DA">
        <w:rPr>
          <w:rFonts w:cs="Arial"/>
          <w:szCs w:val="22"/>
        </w:rPr>
        <w:t xml:space="preserve"> a </w:t>
      </w:r>
      <w:r w:rsidR="00154412">
        <w:rPr>
          <w:rFonts w:cs="Arial"/>
          <w:szCs w:val="22"/>
        </w:rPr>
        <w:t xml:space="preserve">neúčtoval ani </w:t>
      </w:r>
      <w:r w:rsidR="002C3B9E" w:rsidRPr="006967DA">
        <w:rPr>
          <w:rFonts w:cs="Arial"/>
          <w:szCs w:val="22"/>
        </w:rPr>
        <w:t>na správné účty</w:t>
      </w:r>
      <w:r>
        <w:rPr>
          <w:rFonts w:cs="Arial"/>
          <w:szCs w:val="22"/>
        </w:rPr>
        <w:t>;</w:t>
      </w:r>
    </w:p>
    <w:p w:rsidR="001171B4" w:rsidRPr="006967DA" w:rsidRDefault="00C73E1C" w:rsidP="00D86D6E">
      <w:pPr>
        <w:pStyle w:val="Odstavecseseznamem"/>
        <w:numPr>
          <w:ilvl w:val="0"/>
          <w:numId w:val="21"/>
        </w:numPr>
        <w:ind w:left="426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1171B4" w:rsidRPr="006967DA">
        <w:rPr>
          <w:rFonts w:cs="Arial"/>
          <w:szCs w:val="22"/>
        </w:rPr>
        <w:t xml:space="preserve">nventarizací v letech 2010 a 2011 nezjistil </w:t>
      </w:r>
      <w:r>
        <w:rPr>
          <w:rFonts w:cs="Arial"/>
          <w:szCs w:val="22"/>
        </w:rPr>
        <w:t>s</w:t>
      </w:r>
      <w:r w:rsidR="001171B4" w:rsidRPr="006967DA">
        <w:rPr>
          <w:rFonts w:cs="Arial"/>
          <w:szCs w:val="22"/>
        </w:rPr>
        <w:t>kutečný stav veškerého majetku a nezaúčtoval inventarizační rozdíly za rok 2011 do příslušného účetního období</w:t>
      </w:r>
      <w:r>
        <w:rPr>
          <w:rFonts w:cs="Arial"/>
          <w:szCs w:val="22"/>
        </w:rPr>
        <w:t>;</w:t>
      </w:r>
    </w:p>
    <w:p w:rsidR="003B37BE" w:rsidRPr="006967DA" w:rsidRDefault="00C73E1C" w:rsidP="00D86D6E">
      <w:pPr>
        <w:pStyle w:val="Odstavecseseznamem"/>
        <w:numPr>
          <w:ilvl w:val="0"/>
          <w:numId w:val="21"/>
        </w:numPr>
        <w:ind w:left="426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751E74" w:rsidRPr="006967DA">
        <w:rPr>
          <w:rFonts w:cs="Arial"/>
          <w:szCs w:val="22"/>
        </w:rPr>
        <w:t xml:space="preserve"> </w:t>
      </w:r>
      <w:r w:rsidR="00154412">
        <w:rPr>
          <w:rFonts w:cs="Arial"/>
          <w:szCs w:val="22"/>
        </w:rPr>
        <w:t>p</w:t>
      </w:r>
      <w:r w:rsidR="00620587" w:rsidRPr="006967DA">
        <w:rPr>
          <w:rFonts w:cs="Arial"/>
          <w:szCs w:val="22"/>
        </w:rPr>
        <w:t>řílohách k</w:t>
      </w:r>
      <w:r w:rsidR="007724D5" w:rsidRPr="006967DA">
        <w:rPr>
          <w:rFonts w:cs="Arial"/>
          <w:szCs w:val="22"/>
        </w:rPr>
        <w:t xml:space="preserve"> </w:t>
      </w:r>
      <w:r w:rsidR="00620587" w:rsidRPr="006967DA">
        <w:rPr>
          <w:rFonts w:cs="Arial"/>
          <w:szCs w:val="22"/>
        </w:rPr>
        <w:t>účetním závěrkám</w:t>
      </w:r>
      <w:r w:rsidR="00154412">
        <w:rPr>
          <w:rFonts w:cs="Arial"/>
          <w:szCs w:val="22"/>
        </w:rPr>
        <w:t xml:space="preserve"> za roky 2010 až 2012</w:t>
      </w:r>
      <w:r w:rsidR="00620587" w:rsidRPr="006967DA">
        <w:rPr>
          <w:rFonts w:cs="Arial"/>
          <w:szCs w:val="22"/>
        </w:rPr>
        <w:t xml:space="preserve"> ne</w:t>
      </w:r>
      <w:r w:rsidR="006A52C2" w:rsidRPr="006967DA">
        <w:rPr>
          <w:rFonts w:cs="Arial"/>
          <w:szCs w:val="22"/>
        </w:rPr>
        <w:t xml:space="preserve">uvedl </w:t>
      </w:r>
      <w:r>
        <w:rPr>
          <w:rFonts w:cs="Arial"/>
          <w:szCs w:val="22"/>
        </w:rPr>
        <w:t>v</w:t>
      </w:r>
      <w:r w:rsidR="006A52C2" w:rsidRPr="006967DA">
        <w:rPr>
          <w:rFonts w:cs="Arial"/>
          <w:szCs w:val="22"/>
        </w:rPr>
        <w:t>eškeré povinné informac</w:t>
      </w:r>
      <w:r w:rsidR="006A52C2" w:rsidRPr="006967DA">
        <w:rPr>
          <w:rFonts w:cs="Arial"/>
        </w:rPr>
        <w:t>e</w:t>
      </w:r>
      <w:r w:rsidR="003B37BE" w:rsidRPr="006967DA">
        <w:rPr>
          <w:rFonts w:cs="Arial"/>
          <w:szCs w:val="22"/>
        </w:rPr>
        <w:t>.</w:t>
      </w:r>
    </w:p>
    <w:sectPr w:rsidR="003B37BE" w:rsidRPr="006967DA" w:rsidSect="00617B06"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4A" w:rsidRDefault="000B764A" w:rsidP="00EB5EA9">
      <w:r>
        <w:separator/>
      </w:r>
    </w:p>
  </w:endnote>
  <w:endnote w:type="continuationSeparator" w:id="0">
    <w:p w:rsidR="000B764A" w:rsidRDefault="000B764A" w:rsidP="00EB5EA9">
      <w:r>
        <w:continuationSeparator/>
      </w:r>
    </w:p>
  </w:endnote>
  <w:endnote w:type="continuationNotice" w:id="1">
    <w:p w:rsidR="00F2405B" w:rsidRDefault="00F24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487069"/>
      <w:docPartObj>
        <w:docPartGallery w:val="Page Numbers (Bottom of Page)"/>
        <w:docPartUnique/>
      </w:docPartObj>
    </w:sdtPr>
    <w:sdtEndPr/>
    <w:sdtContent>
      <w:p w:rsidR="000B764A" w:rsidRDefault="000B764A" w:rsidP="000D40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88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4A" w:rsidRDefault="000B764A" w:rsidP="00EB5EA9">
      <w:r>
        <w:separator/>
      </w:r>
    </w:p>
  </w:footnote>
  <w:footnote w:type="continuationSeparator" w:id="0">
    <w:p w:rsidR="000B764A" w:rsidRDefault="000B764A" w:rsidP="00EB5EA9">
      <w:r>
        <w:continuationSeparator/>
      </w:r>
    </w:p>
  </w:footnote>
  <w:footnote w:type="continuationNotice" w:id="1">
    <w:p w:rsidR="00F2405B" w:rsidRDefault="00F2405B"/>
  </w:footnote>
  <w:footnote w:id="2">
    <w:p w:rsidR="000B764A" w:rsidRPr="00CF2EF1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S účinností ode dne 8</w:t>
      </w:r>
      <w:r w:rsidRPr="00CF2EF1">
        <w:rPr>
          <w:rFonts w:ascii="Arial" w:hAnsi="Arial" w:cs="Arial"/>
          <w:sz w:val="18"/>
          <w:szCs w:val="18"/>
        </w:rPr>
        <w:t>. </w:t>
      </w:r>
      <w:r>
        <w:rPr>
          <w:rFonts w:ascii="Arial" w:hAnsi="Arial" w:cs="Arial"/>
          <w:sz w:val="18"/>
          <w:szCs w:val="18"/>
        </w:rPr>
        <w:t>srpna</w:t>
      </w:r>
      <w:r w:rsidRPr="00CF2EF1">
        <w:rPr>
          <w:rFonts w:ascii="Arial" w:hAnsi="Arial" w:cs="Arial"/>
          <w:sz w:val="18"/>
          <w:szCs w:val="18"/>
        </w:rPr>
        <w:t> 2013 došlo k administrativní změně sídla na Hrbovická 2, 403 39 Chlumec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0B764A" w:rsidRPr="00470C4A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470C4A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470C4A">
        <w:rPr>
          <w:rFonts w:ascii="Arial" w:hAnsi="Arial" w:cs="Arial"/>
          <w:sz w:val="18"/>
          <w:szCs w:val="18"/>
        </w:rPr>
        <w:t>Zákon č. 77/1997 Sb., o státním podniku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0B764A" w:rsidRPr="000D4019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Zákon č. 61/1988 Sb., o hornické činnosti, výbušninách a o státní báňské správě.</w:t>
      </w:r>
    </w:p>
  </w:footnote>
  <w:footnote w:id="5">
    <w:p w:rsidR="000B764A" w:rsidRPr="000D4019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Rozhodnutí č. 142/1990 ministra hospodářství ČSFR ze dne 17. prosince 1990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čj. 1640/401.</w:t>
      </w:r>
    </w:p>
  </w:footnote>
  <w:footnote w:id="6">
    <w:p w:rsidR="000B764A" w:rsidRPr="000D4019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Rozhodnutí č. 144/1990 ministra hospodářství ČSFR ze dne 17. prosince 1990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čj. 1642/401.</w:t>
      </w:r>
    </w:p>
  </w:footnote>
  <w:footnote w:id="7">
    <w:p w:rsidR="000B764A" w:rsidRPr="000D4019" w:rsidRDefault="000B764A" w:rsidP="000D4019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Usnesení vlády ČR ze dne 23. dubna 2003 č. 395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</w:t>
      </w:r>
      <w:r w:rsidRPr="00A258F2">
        <w:rPr>
          <w:rFonts w:ascii="Arial" w:hAnsi="Arial" w:cs="Arial"/>
          <w:i/>
          <w:sz w:val="18"/>
          <w:szCs w:val="18"/>
        </w:rPr>
        <w:t>k Návrhu spoluúčasti státu na dokončení restrukturalizace uhelného průmyslu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a usnesení vlády ČR ze dne 12. listopadu</w:t>
      </w:r>
      <w:r>
        <w:rPr>
          <w:rFonts w:ascii="Arial" w:hAnsi="Arial" w:cs="Arial"/>
          <w:sz w:val="18"/>
          <w:szCs w:val="18"/>
        </w:rPr>
        <w:t xml:space="preserve"> </w:t>
      </w:r>
      <w:r w:rsidRPr="000D4019">
        <w:rPr>
          <w:rFonts w:ascii="Arial" w:hAnsi="Arial" w:cs="Arial"/>
          <w:sz w:val="18"/>
          <w:szCs w:val="18"/>
        </w:rPr>
        <w:t>2003 č.</w:t>
      </w:r>
      <w:r>
        <w:rPr>
          <w:rFonts w:ascii="Arial" w:hAnsi="Arial" w:cs="Arial"/>
          <w:sz w:val="18"/>
          <w:szCs w:val="18"/>
        </w:rPr>
        <w:t> </w:t>
      </w:r>
      <w:r w:rsidRPr="000D4019">
        <w:rPr>
          <w:rFonts w:ascii="Arial" w:hAnsi="Arial" w:cs="Arial"/>
          <w:sz w:val="18"/>
          <w:szCs w:val="18"/>
        </w:rPr>
        <w:t>1128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</w:t>
      </w:r>
      <w:r w:rsidRPr="00A258F2">
        <w:rPr>
          <w:rFonts w:ascii="Arial" w:hAnsi="Arial" w:cs="Arial"/>
          <w:i/>
          <w:sz w:val="18"/>
          <w:szCs w:val="18"/>
        </w:rPr>
        <w:t>o Programu dokončení restrukturalizace uhelného hornictví</w:t>
      </w:r>
      <w:r w:rsidRPr="000D4019">
        <w:rPr>
          <w:rFonts w:ascii="Arial" w:hAnsi="Arial" w:cs="Arial"/>
          <w:sz w:val="18"/>
          <w:szCs w:val="18"/>
        </w:rPr>
        <w:t>.</w:t>
      </w:r>
    </w:p>
  </w:footnote>
  <w:footnote w:id="8">
    <w:p w:rsidR="000B764A" w:rsidRPr="000D4019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Rozhodnutí ministra průmyslu a obchodu č. 150/2004 ze dne 1. listopadu 2004.</w:t>
      </w:r>
    </w:p>
  </w:footnote>
  <w:footnote w:id="9">
    <w:p w:rsidR="000B764A" w:rsidRPr="000D4019" w:rsidRDefault="000B764A" w:rsidP="000D4019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Usnesení vlády ČR ze dne 27. června</w:t>
      </w:r>
      <w:r>
        <w:rPr>
          <w:rFonts w:ascii="Arial" w:hAnsi="Arial" w:cs="Arial"/>
          <w:sz w:val="18"/>
          <w:szCs w:val="18"/>
        </w:rPr>
        <w:t xml:space="preserve"> </w:t>
      </w:r>
      <w:r w:rsidRPr="000D4019">
        <w:rPr>
          <w:rFonts w:ascii="Arial" w:hAnsi="Arial" w:cs="Arial"/>
          <w:sz w:val="18"/>
          <w:szCs w:val="18"/>
        </w:rPr>
        <w:t>2007 č. 713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</w:t>
      </w:r>
      <w:r w:rsidRPr="00A258F2">
        <w:rPr>
          <w:rFonts w:ascii="Arial" w:hAnsi="Arial" w:cs="Arial"/>
          <w:i/>
          <w:sz w:val="18"/>
          <w:szCs w:val="18"/>
        </w:rPr>
        <w:t xml:space="preserve">k Informaci o průběhu zahlazování následků hornické činnosti v roce 2006 podniků DIAMO, státní podnik a Palivový kombinát Ústí, státní podnik, včetně návrhu systémových změn a k návrhu na začlenění likvidace ekologických škod u </w:t>
      </w:r>
      <w:proofErr w:type="spellStart"/>
      <w:r w:rsidRPr="00A258F2">
        <w:rPr>
          <w:rFonts w:ascii="Arial" w:hAnsi="Arial" w:cs="Arial"/>
          <w:i/>
          <w:sz w:val="18"/>
          <w:szCs w:val="18"/>
        </w:rPr>
        <w:t>ropoplynových</w:t>
      </w:r>
      <w:proofErr w:type="spellEnd"/>
      <w:r w:rsidRPr="00A258F2">
        <w:rPr>
          <w:rFonts w:ascii="Arial" w:hAnsi="Arial" w:cs="Arial"/>
          <w:i/>
          <w:sz w:val="18"/>
          <w:szCs w:val="18"/>
        </w:rPr>
        <w:t xml:space="preserve"> vrtů do podniku Palivový kombinát Ústí, státní podnik</w:t>
      </w:r>
      <w:r>
        <w:rPr>
          <w:rFonts w:ascii="Arial" w:hAnsi="Arial" w:cs="Arial"/>
          <w:sz w:val="18"/>
          <w:szCs w:val="18"/>
        </w:rPr>
        <w:t>,</w:t>
      </w:r>
      <w:r w:rsidRPr="000D4019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r</w:t>
      </w:r>
      <w:r w:rsidRPr="000D4019">
        <w:rPr>
          <w:rFonts w:ascii="Arial" w:hAnsi="Arial" w:cs="Arial"/>
          <w:sz w:val="18"/>
          <w:szCs w:val="18"/>
        </w:rPr>
        <w:t>ozhodnutí ministra průmyslu a obchodu č</w:t>
      </w:r>
      <w:r>
        <w:rPr>
          <w:rFonts w:ascii="Arial" w:hAnsi="Arial" w:cs="Arial"/>
          <w:sz w:val="18"/>
          <w:szCs w:val="18"/>
        </w:rPr>
        <w:t xml:space="preserve">. 208/2007 ze dne 20. listopadu </w:t>
      </w:r>
      <w:r w:rsidRPr="000D4019">
        <w:rPr>
          <w:rFonts w:ascii="Arial" w:hAnsi="Arial" w:cs="Arial"/>
          <w:sz w:val="18"/>
          <w:szCs w:val="18"/>
        </w:rPr>
        <w:t>2007.</w:t>
      </w:r>
    </w:p>
  </w:footnote>
  <w:footnote w:id="10">
    <w:p w:rsidR="000B764A" w:rsidRPr="000D4019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0D401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D4019">
        <w:rPr>
          <w:rFonts w:ascii="Arial" w:hAnsi="Arial" w:cs="Arial"/>
          <w:sz w:val="18"/>
          <w:szCs w:val="18"/>
        </w:rPr>
        <w:t>Usne</w:t>
      </w:r>
      <w:r>
        <w:rPr>
          <w:rFonts w:ascii="Arial" w:hAnsi="Arial" w:cs="Arial"/>
          <w:sz w:val="18"/>
          <w:szCs w:val="18"/>
        </w:rPr>
        <w:t xml:space="preserve">sení vlády ČR ze dne 27. června </w:t>
      </w:r>
      <w:r w:rsidRPr="000D4019">
        <w:rPr>
          <w:rFonts w:ascii="Arial" w:hAnsi="Arial" w:cs="Arial"/>
          <w:sz w:val="18"/>
          <w:szCs w:val="18"/>
        </w:rPr>
        <w:t>2007 č. 713.</w:t>
      </w:r>
    </w:p>
  </w:footnote>
  <w:footnote w:id="11">
    <w:p w:rsidR="000B764A" w:rsidRPr="000D4019" w:rsidRDefault="000B764A" w:rsidP="000D4019">
      <w:pPr>
        <w:widowControl w:val="0"/>
        <w:autoSpaceDE w:val="0"/>
        <w:autoSpaceDN w:val="0"/>
        <w:adjustRightInd w:val="0"/>
        <w:ind w:left="284" w:hanging="284"/>
        <w:rPr>
          <w:rFonts w:cs="Arial"/>
          <w:sz w:val="18"/>
          <w:szCs w:val="18"/>
          <w:lang w:val="cs-CZ"/>
        </w:rPr>
      </w:pPr>
      <w:r w:rsidRPr="000D4019"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lang w:val="cs-CZ"/>
        </w:rPr>
        <w:tab/>
        <w:t>H</w:t>
      </w:r>
      <w:r w:rsidRPr="000D4019">
        <w:rPr>
          <w:rFonts w:cs="Arial"/>
          <w:sz w:val="18"/>
          <w:szCs w:val="18"/>
          <w:lang w:val="cs-CZ"/>
        </w:rPr>
        <w:t>lavní důlní dílo</w:t>
      </w:r>
      <w:r>
        <w:rPr>
          <w:rFonts w:cs="Arial"/>
          <w:sz w:val="18"/>
          <w:szCs w:val="18"/>
          <w:lang w:val="cs-CZ"/>
        </w:rPr>
        <w:t xml:space="preserve"> je</w:t>
      </w:r>
      <w:r w:rsidRPr="000D4019">
        <w:rPr>
          <w:rFonts w:cs="Arial"/>
          <w:sz w:val="18"/>
          <w:szCs w:val="18"/>
          <w:lang w:val="cs-CZ"/>
        </w:rPr>
        <w:t xml:space="preserve"> </w:t>
      </w:r>
      <w:r>
        <w:rPr>
          <w:rFonts w:cs="Arial"/>
          <w:sz w:val="18"/>
          <w:szCs w:val="18"/>
          <w:lang w:val="cs-CZ"/>
        </w:rPr>
        <w:t>d</w:t>
      </w:r>
      <w:r w:rsidRPr="000D4019">
        <w:rPr>
          <w:rFonts w:cs="Arial"/>
          <w:sz w:val="18"/>
          <w:szCs w:val="18"/>
          <w:lang w:val="cs-CZ"/>
        </w:rPr>
        <w:t xml:space="preserve">le ustanovení § 2 písm. d) </w:t>
      </w:r>
      <w:r>
        <w:rPr>
          <w:rFonts w:cs="Arial"/>
          <w:sz w:val="18"/>
          <w:szCs w:val="18"/>
          <w:lang w:val="cs-CZ"/>
        </w:rPr>
        <w:t>v</w:t>
      </w:r>
      <w:r w:rsidRPr="000D4019">
        <w:rPr>
          <w:rFonts w:cs="Arial"/>
          <w:sz w:val="18"/>
          <w:szCs w:val="18"/>
          <w:lang w:val="cs-CZ"/>
        </w:rPr>
        <w:t>yhlášky č. 52/1997 Sb. důlní dílo vyúsťující na povrch. Hlavními důlními díly jsou důlní díla průzkumná (šachtice, komíny), díla otvírková (jámy, štoly), větrací, odvodňovací, těžební a záchranné vrty. Hlavním důlním dílem nejsou vyhledávací a průzkumné vrty.</w:t>
      </w:r>
    </w:p>
  </w:footnote>
  <w:footnote w:id="12">
    <w:p w:rsidR="000B764A" w:rsidRPr="00CF2EF1" w:rsidRDefault="000B764A" w:rsidP="000D4019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V</w:t>
      </w:r>
      <w:r w:rsidRPr="00CF2EF1">
        <w:rPr>
          <w:rFonts w:ascii="Arial" w:hAnsi="Arial" w:cs="Arial"/>
          <w:sz w:val="18"/>
          <w:szCs w:val="18"/>
        </w:rPr>
        <w:t>yhláška č. 52/1997 Sb., kterou se stanoví požadavky k zajištění bezpečnos</w:t>
      </w:r>
      <w:r>
        <w:rPr>
          <w:rFonts w:ascii="Arial" w:hAnsi="Arial" w:cs="Arial"/>
          <w:sz w:val="18"/>
          <w:szCs w:val="18"/>
        </w:rPr>
        <w:t>ti a ochrany zdraví při práci a </w:t>
      </w:r>
      <w:r w:rsidRPr="00CF2EF1">
        <w:rPr>
          <w:rFonts w:ascii="Arial" w:hAnsi="Arial" w:cs="Arial"/>
          <w:sz w:val="18"/>
          <w:szCs w:val="18"/>
        </w:rPr>
        <w:t>bezpečnosti provozu při likvidaci hlavních důlních děl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:rsidR="000B764A" w:rsidRPr="00CF2EF1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z w:val="18"/>
          <w:szCs w:val="18"/>
        </w:rPr>
        <w:t>stanovení § 13 zákona č. 111/1990 Sb., o státním podniku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:rsidR="000B764A" w:rsidRPr="00CF2EF1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color w:val="000000"/>
          <w:sz w:val="18"/>
          <w:szCs w:val="18"/>
        </w:rPr>
        <w:t>s</w:t>
      </w:r>
      <w:r w:rsidRPr="00CF2EF1">
        <w:rPr>
          <w:rFonts w:ascii="Arial" w:hAnsi="Arial" w:cs="Arial"/>
          <w:sz w:val="18"/>
          <w:szCs w:val="18"/>
        </w:rPr>
        <w:t>tanovení</w:t>
      </w:r>
      <w:r w:rsidRPr="00CF2EF1">
        <w:rPr>
          <w:rFonts w:ascii="Arial" w:hAnsi="Arial" w:cs="Arial"/>
          <w:color w:val="000000"/>
          <w:sz w:val="18"/>
          <w:szCs w:val="18"/>
        </w:rPr>
        <w:t xml:space="preserve"> § 20 odst. 1 zákona č. 77/1997 Sb., o státním podniku</w:t>
      </w:r>
      <w:r>
        <w:rPr>
          <w:rFonts w:ascii="Arial" w:hAnsi="Arial" w:cs="Arial"/>
          <w:color w:val="000000"/>
          <w:sz w:val="18"/>
          <w:szCs w:val="18"/>
        </w:rPr>
        <w:t>.</w:t>
      </w:r>
    </w:p>
  </w:footnote>
  <w:footnote w:id="15">
    <w:p w:rsidR="000B764A" w:rsidRPr="00CF2EF1" w:rsidRDefault="000B764A" w:rsidP="000D401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pacing w:val="-4"/>
          <w:sz w:val="18"/>
          <w:szCs w:val="18"/>
        </w:rPr>
        <w:t>stanovení § 4 odst. 2 a § 4 odst. 3 písm. d), e), f) a h) zákona č. 77/1997 Sb., o státním podniku</w:t>
      </w:r>
      <w:r>
        <w:rPr>
          <w:rFonts w:ascii="Arial" w:hAnsi="Arial" w:cs="Arial"/>
          <w:spacing w:val="-4"/>
          <w:sz w:val="18"/>
          <w:szCs w:val="18"/>
        </w:rPr>
        <w:t>.</w:t>
      </w:r>
    </w:p>
  </w:footnote>
  <w:footnote w:id="16">
    <w:p w:rsidR="000B764A" w:rsidRPr="00CF2EF1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z w:val="18"/>
          <w:szCs w:val="18"/>
        </w:rPr>
        <w:t>stanovení § 15 písm. h) zákona č. 77/1997 Sb., o státním podniku</w:t>
      </w:r>
      <w:r>
        <w:rPr>
          <w:rFonts w:ascii="Arial" w:hAnsi="Arial" w:cs="Arial"/>
          <w:sz w:val="18"/>
          <w:szCs w:val="18"/>
        </w:rPr>
        <w:t>.</w:t>
      </w:r>
    </w:p>
  </w:footnote>
  <w:footnote w:id="17">
    <w:p w:rsidR="000B764A" w:rsidRPr="00CF2EF1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Z</w:t>
      </w:r>
      <w:r w:rsidRPr="00CF2EF1">
        <w:rPr>
          <w:rFonts w:ascii="Arial" w:hAnsi="Arial" w:cs="Arial"/>
          <w:sz w:val="18"/>
          <w:szCs w:val="18"/>
        </w:rPr>
        <w:t>ákon č. 154/2002 Sb., o přechodném financování některých sociálně zdravotních dávek horníků</w:t>
      </w:r>
      <w:r>
        <w:rPr>
          <w:rFonts w:ascii="Arial" w:hAnsi="Arial" w:cs="Arial"/>
          <w:sz w:val="18"/>
          <w:szCs w:val="18"/>
        </w:rPr>
        <w:t>.</w:t>
      </w:r>
    </w:p>
  </w:footnote>
  <w:footnote w:id="18">
    <w:p w:rsidR="000B764A" w:rsidRPr="00CF2EF1" w:rsidRDefault="000B764A" w:rsidP="00183E48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CF2EF1">
        <w:rPr>
          <w:rFonts w:ascii="Arial" w:hAnsi="Arial" w:cs="Arial"/>
          <w:sz w:val="18"/>
          <w:szCs w:val="18"/>
        </w:rPr>
        <w:t xml:space="preserve">Finanční prostředky z MF na základě </w:t>
      </w:r>
      <w:r>
        <w:rPr>
          <w:rFonts w:ascii="Arial" w:hAnsi="Arial" w:cs="Arial"/>
          <w:sz w:val="18"/>
          <w:szCs w:val="18"/>
        </w:rPr>
        <w:t>u</w:t>
      </w:r>
      <w:r w:rsidRPr="00CF2EF1">
        <w:rPr>
          <w:rFonts w:ascii="Arial" w:hAnsi="Arial" w:cs="Arial"/>
          <w:sz w:val="18"/>
          <w:szCs w:val="18"/>
        </w:rPr>
        <w:t>snesení vlády ČR ze dne 16. </w:t>
      </w:r>
      <w:r>
        <w:rPr>
          <w:rFonts w:ascii="Arial" w:hAnsi="Arial" w:cs="Arial"/>
          <w:sz w:val="18"/>
          <w:szCs w:val="18"/>
        </w:rPr>
        <w:t>ledna</w:t>
      </w:r>
      <w:r w:rsidRPr="00CF2EF1">
        <w:rPr>
          <w:rFonts w:ascii="Arial" w:hAnsi="Arial" w:cs="Arial"/>
          <w:sz w:val="18"/>
          <w:szCs w:val="18"/>
        </w:rPr>
        <w:t> 2002 č. 50, ze dne 4. </w:t>
      </w:r>
      <w:r>
        <w:rPr>
          <w:rFonts w:ascii="Arial" w:hAnsi="Arial" w:cs="Arial"/>
          <w:sz w:val="18"/>
          <w:szCs w:val="18"/>
        </w:rPr>
        <w:t>června 2003 č. </w:t>
      </w:r>
      <w:r w:rsidRPr="00CF2EF1">
        <w:rPr>
          <w:rFonts w:ascii="Arial" w:hAnsi="Arial" w:cs="Arial"/>
          <w:sz w:val="18"/>
          <w:szCs w:val="18"/>
        </w:rPr>
        <w:t>552, ze</w:t>
      </w:r>
      <w:r>
        <w:rPr>
          <w:rFonts w:ascii="Arial" w:hAnsi="Arial" w:cs="Arial"/>
          <w:sz w:val="18"/>
          <w:szCs w:val="18"/>
        </w:rPr>
        <w:t xml:space="preserve"> </w:t>
      </w:r>
      <w:r w:rsidRPr="00CF2EF1">
        <w:rPr>
          <w:rFonts w:ascii="Arial" w:hAnsi="Arial" w:cs="Arial"/>
          <w:sz w:val="18"/>
          <w:szCs w:val="18"/>
        </w:rPr>
        <w:t>dne 12. </w:t>
      </w:r>
      <w:r>
        <w:rPr>
          <w:rFonts w:ascii="Arial" w:hAnsi="Arial" w:cs="Arial"/>
          <w:sz w:val="18"/>
          <w:szCs w:val="18"/>
        </w:rPr>
        <w:t xml:space="preserve">června </w:t>
      </w:r>
      <w:r w:rsidRPr="00CF2EF1">
        <w:rPr>
          <w:rFonts w:ascii="Arial" w:hAnsi="Arial" w:cs="Arial"/>
          <w:sz w:val="18"/>
          <w:szCs w:val="18"/>
        </w:rPr>
        <w:t xml:space="preserve">2002 č. 592 (změněno </w:t>
      </w:r>
      <w:r>
        <w:rPr>
          <w:rFonts w:ascii="Arial" w:hAnsi="Arial" w:cs="Arial"/>
          <w:sz w:val="18"/>
          <w:szCs w:val="18"/>
        </w:rPr>
        <w:t>u</w:t>
      </w:r>
      <w:r w:rsidRPr="00CF2EF1">
        <w:rPr>
          <w:rFonts w:ascii="Arial" w:hAnsi="Arial" w:cs="Arial"/>
          <w:sz w:val="18"/>
          <w:szCs w:val="18"/>
        </w:rPr>
        <w:t>snesením vlády ze dne 26.</w:t>
      </w:r>
      <w:r>
        <w:rPr>
          <w:rFonts w:ascii="Arial" w:hAnsi="Arial" w:cs="Arial"/>
          <w:sz w:val="18"/>
          <w:szCs w:val="18"/>
        </w:rPr>
        <w:t xml:space="preserve"> ledna </w:t>
      </w:r>
      <w:r w:rsidRPr="00CF2EF1">
        <w:rPr>
          <w:rFonts w:ascii="Arial" w:hAnsi="Arial" w:cs="Arial"/>
          <w:sz w:val="18"/>
          <w:szCs w:val="18"/>
        </w:rPr>
        <w:t>2009 č. 119), nebyly realizovány přes PKÚ (nejsou vedeny v účetnictví PKÚ) a jsou hrazeny přímo z MF.</w:t>
      </w:r>
    </w:p>
  </w:footnote>
  <w:footnote w:id="19">
    <w:p w:rsidR="000B764A" w:rsidRPr="00CF2EF1" w:rsidRDefault="000B764A" w:rsidP="00183E48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Ú</w:t>
      </w:r>
      <w:r w:rsidRPr="00CF2EF1">
        <w:rPr>
          <w:rFonts w:ascii="Arial" w:eastAsiaTheme="minorHAnsi" w:hAnsi="Arial" w:cs="Arial"/>
          <w:sz w:val="18"/>
          <w:szCs w:val="18"/>
        </w:rPr>
        <w:t xml:space="preserve">čelové neinvestiční prostředky z MŽP k </w:t>
      </w:r>
      <w:r w:rsidRPr="00CF2EF1">
        <w:rPr>
          <w:rFonts w:ascii="Arial" w:hAnsi="Arial" w:cs="Arial"/>
          <w:sz w:val="18"/>
          <w:szCs w:val="18"/>
        </w:rPr>
        <w:t>provedení výplaty účelových neinvestičních finančních prostředků dle u</w:t>
      </w:r>
      <w:r w:rsidRPr="00CF2EF1">
        <w:rPr>
          <w:rFonts w:ascii="Arial" w:eastAsiaTheme="minorHAnsi" w:hAnsi="Arial" w:cs="Arial"/>
          <w:sz w:val="18"/>
          <w:szCs w:val="18"/>
        </w:rPr>
        <w:t>snesení vlády ČR ze dne 8. </w:t>
      </w:r>
      <w:r>
        <w:rPr>
          <w:rFonts w:ascii="Arial" w:eastAsiaTheme="minorHAnsi" w:hAnsi="Arial" w:cs="Arial"/>
          <w:sz w:val="18"/>
          <w:szCs w:val="18"/>
        </w:rPr>
        <w:t>září</w:t>
      </w:r>
      <w:r w:rsidRPr="00CF2EF1">
        <w:rPr>
          <w:rFonts w:ascii="Arial" w:eastAsiaTheme="minorHAnsi" w:hAnsi="Arial" w:cs="Arial"/>
          <w:sz w:val="18"/>
          <w:szCs w:val="18"/>
        </w:rPr>
        <w:t xml:space="preserve"> 1999 č. 913 pro bývalé zaměstnance </w:t>
      </w:r>
      <w:r>
        <w:rPr>
          <w:rFonts w:ascii="Arial" w:hAnsi="Arial" w:cs="Arial"/>
          <w:sz w:val="18"/>
          <w:szCs w:val="18"/>
        </w:rPr>
        <w:t>organizací uhelného, rudného a uranového hornictví.</w:t>
      </w:r>
    </w:p>
  </w:footnote>
  <w:footnote w:id="20">
    <w:p w:rsidR="000B764A" w:rsidRPr="00CF2EF1" w:rsidRDefault="000B764A" w:rsidP="00183E48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CF2EF1">
        <w:rPr>
          <w:rFonts w:ascii="Arial" w:hAnsi="Arial" w:cs="Arial"/>
          <w:sz w:val="18"/>
          <w:szCs w:val="18"/>
        </w:rPr>
        <w:t>Související finanční prostředky</w:t>
      </w:r>
      <w:r>
        <w:rPr>
          <w:rFonts w:ascii="Arial" w:hAnsi="Arial" w:cs="Arial"/>
          <w:sz w:val="18"/>
          <w:szCs w:val="18"/>
        </w:rPr>
        <w:t xml:space="preserve"> a náklady</w:t>
      </w:r>
      <w:r w:rsidRPr="00CF2EF1">
        <w:rPr>
          <w:rFonts w:ascii="Arial" w:hAnsi="Arial" w:cs="Arial"/>
          <w:sz w:val="18"/>
          <w:szCs w:val="18"/>
        </w:rPr>
        <w:t xml:space="preserve"> – příjmy z nájmu majetku 355</w:t>
      </w:r>
      <w:r>
        <w:rPr>
          <w:rFonts w:ascii="Arial" w:hAnsi="Arial" w:cs="Arial"/>
          <w:sz w:val="18"/>
          <w:szCs w:val="18"/>
        </w:rPr>
        <w:t> </w:t>
      </w:r>
      <w:r w:rsidRPr="00CF2EF1">
        <w:rPr>
          <w:rFonts w:ascii="Arial" w:hAnsi="Arial" w:cs="Arial"/>
          <w:sz w:val="18"/>
          <w:szCs w:val="18"/>
        </w:rPr>
        <w:t>952</w:t>
      </w:r>
      <w:r>
        <w:rPr>
          <w:rFonts w:ascii="Arial" w:hAnsi="Arial" w:cs="Arial"/>
          <w:sz w:val="18"/>
          <w:szCs w:val="18"/>
        </w:rPr>
        <w:t> </w:t>
      </w:r>
      <w:r w:rsidRPr="00CF2EF1">
        <w:rPr>
          <w:rFonts w:ascii="Arial" w:hAnsi="Arial" w:cs="Arial"/>
          <w:sz w:val="18"/>
          <w:szCs w:val="18"/>
        </w:rPr>
        <w:t>tis.</w:t>
      </w:r>
      <w:r>
        <w:rPr>
          <w:rFonts w:ascii="Arial" w:hAnsi="Arial" w:cs="Arial"/>
          <w:sz w:val="18"/>
          <w:szCs w:val="18"/>
        </w:rPr>
        <w:t> </w:t>
      </w:r>
      <w:r w:rsidRPr="00CF2EF1">
        <w:rPr>
          <w:rFonts w:ascii="Arial" w:hAnsi="Arial" w:cs="Arial"/>
          <w:sz w:val="18"/>
          <w:szCs w:val="18"/>
        </w:rPr>
        <w:t>Kč</w:t>
      </w:r>
      <w:r>
        <w:rPr>
          <w:rFonts w:ascii="Arial" w:hAnsi="Arial" w:cs="Arial"/>
          <w:sz w:val="18"/>
          <w:szCs w:val="18"/>
        </w:rPr>
        <w:t>, výdaje na opravy a </w:t>
      </w:r>
      <w:r w:rsidRPr="00CF2EF1">
        <w:rPr>
          <w:rFonts w:ascii="Arial" w:hAnsi="Arial" w:cs="Arial"/>
          <w:sz w:val="18"/>
          <w:szCs w:val="18"/>
        </w:rPr>
        <w:t>udržování majetku 4</w:t>
      </w:r>
      <w:r>
        <w:rPr>
          <w:rFonts w:ascii="Arial" w:hAnsi="Arial" w:cs="Arial"/>
          <w:sz w:val="18"/>
          <w:szCs w:val="18"/>
        </w:rPr>
        <w:t>2 582 tis. Kč, nájmy 4 284 tis. </w:t>
      </w:r>
      <w:r w:rsidRPr="00CF2EF1">
        <w:rPr>
          <w:rFonts w:ascii="Arial" w:hAnsi="Arial" w:cs="Arial"/>
          <w:sz w:val="18"/>
          <w:szCs w:val="18"/>
        </w:rPr>
        <w:t>Kč a odpisy majetku</w:t>
      </w:r>
      <w:r>
        <w:rPr>
          <w:rFonts w:ascii="Arial" w:hAnsi="Arial" w:cs="Arial"/>
          <w:sz w:val="18"/>
          <w:szCs w:val="18"/>
        </w:rPr>
        <w:t xml:space="preserve"> </w:t>
      </w:r>
      <w:r w:rsidRPr="00CF2EF1">
        <w:rPr>
          <w:rFonts w:ascii="Arial" w:hAnsi="Arial" w:cs="Arial"/>
          <w:sz w:val="18"/>
          <w:szCs w:val="18"/>
        </w:rPr>
        <w:t>87</w:t>
      </w:r>
      <w:r>
        <w:rPr>
          <w:rFonts w:ascii="Arial" w:hAnsi="Arial" w:cs="Arial"/>
          <w:sz w:val="18"/>
          <w:szCs w:val="18"/>
        </w:rPr>
        <w:t> </w:t>
      </w:r>
      <w:r w:rsidRPr="00CF2EF1">
        <w:rPr>
          <w:rFonts w:ascii="Arial" w:hAnsi="Arial" w:cs="Arial"/>
          <w:sz w:val="18"/>
          <w:szCs w:val="18"/>
        </w:rPr>
        <w:t>816</w:t>
      </w:r>
      <w:r>
        <w:rPr>
          <w:rFonts w:ascii="Arial" w:hAnsi="Arial" w:cs="Arial"/>
          <w:sz w:val="18"/>
          <w:szCs w:val="18"/>
        </w:rPr>
        <w:t> </w:t>
      </w:r>
      <w:r w:rsidRPr="00CF2EF1">
        <w:rPr>
          <w:rFonts w:ascii="Arial" w:hAnsi="Arial" w:cs="Arial"/>
          <w:sz w:val="18"/>
          <w:szCs w:val="18"/>
        </w:rPr>
        <w:t>tis.</w:t>
      </w:r>
      <w:r>
        <w:rPr>
          <w:rFonts w:ascii="Arial" w:hAnsi="Arial" w:cs="Arial"/>
          <w:sz w:val="18"/>
          <w:szCs w:val="18"/>
        </w:rPr>
        <w:t> </w:t>
      </w:r>
      <w:r w:rsidRPr="00CF2EF1">
        <w:rPr>
          <w:rFonts w:ascii="Arial" w:hAnsi="Arial" w:cs="Arial"/>
          <w:sz w:val="18"/>
          <w:szCs w:val="18"/>
        </w:rPr>
        <w:t>Kč.</w:t>
      </w:r>
    </w:p>
  </w:footnote>
  <w:footnote w:id="21">
    <w:p w:rsidR="000B764A" w:rsidRPr="00CF2EF1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z w:val="18"/>
          <w:szCs w:val="18"/>
        </w:rPr>
        <w:t>stanovení § 10 odst. 1 písm. d) zákona č. 344/1992 Sb., o katastru nemovitostí</w:t>
      </w:r>
      <w:r>
        <w:rPr>
          <w:rFonts w:ascii="Arial" w:hAnsi="Arial" w:cs="Arial"/>
          <w:sz w:val="18"/>
          <w:szCs w:val="18"/>
        </w:rPr>
        <w:t xml:space="preserve"> České republiky (katastrální zákon).</w:t>
      </w:r>
    </w:p>
  </w:footnote>
  <w:footnote w:id="22">
    <w:p w:rsidR="000B764A" w:rsidRPr="00CF2EF1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z w:val="18"/>
          <w:szCs w:val="18"/>
        </w:rPr>
        <w:t>stanovení § 3 odst. 1 zákona č. 563/1991 Sb., o účetnictví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:rsidR="000B764A" w:rsidRPr="00CF2EF1" w:rsidRDefault="000B764A" w:rsidP="00183E48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6408E8">
        <w:rPr>
          <w:rFonts w:ascii="Arial" w:hAnsi="Arial" w:cs="Arial"/>
          <w:i/>
          <w:sz w:val="18"/>
          <w:szCs w:val="18"/>
        </w:rPr>
        <w:t>Výklad MF ČR k účtování o zůstatkových cenách likvidovaného majetku v souladu s útlumovým programem těžby, schváleným příslušnými usneseními vlády ČR, v těžebních státních podnicích a v akciových společnostech se 100% majetkovou účastí státu</w:t>
      </w:r>
      <w:r w:rsidRPr="00CF2EF1">
        <w:rPr>
          <w:rFonts w:ascii="Arial" w:hAnsi="Arial" w:cs="Arial"/>
          <w:sz w:val="18"/>
          <w:szCs w:val="18"/>
        </w:rPr>
        <w:t>, č. j. 19/23987/93 ze dne 27. </w:t>
      </w:r>
      <w:r>
        <w:rPr>
          <w:rFonts w:ascii="Arial" w:hAnsi="Arial" w:cs="Arial"/>
          <w:sz w:val="18"/>
          <w:szCs w:val="18"/>
        </w:rPr>
        <w:t>dubna</w:t>
      </w:r>
      <w:r w:rsidRPr="00CF2EF1">
        <w:rPr>
          <w:rFonts w:ascii="Arial" w:hAnsi="Arial" w:cs="Arial"/>
          <w:sz w:val="18"/>
          <w:szCs w:val="18"/>
        </w:rPr>
        <w:t> 1993</w:t>
      </w:r>
      <w:r>
        <w:rPr>
          <w:rFonts w:ascii="Arial" w:hAnsi="Arial" w:cs="Arial"/>
          <w:sz w:val="18"/>
          <w:szCs w:val="18"/>
        </w:rPr>
        <w:t>.</w:t>
      </w:r>
    </w:p>
  </w:footnote>
  <w:footnote w:id="24">
    <w:p w:rsidR="000B764A" w:rsidRPr="00CF2EF1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z w:val="18"/>
          <w:szCs w:val="18"/>
        </w:rPr>
        <w:t>stanovení § 4 odst. 8 zákona č. 563/1991 Sb., o účetnictví</w:t>
      </w:r>
      <w:r>
        <w:rPr>
          <w:rFonts w:ascii="Arial" w:hAnsi="Arial" w:cs="Arial"/>
          <w:sz w:val="18"/>
          <w:szCs w:val="18"/>
        </w:rPr>
        <w:t>.</w:t>
      </w:r>
    </w:p>
  </w:footnote>
  <w:footnote w:id="25">
    <w:p w:rsidR="000B764A" w:rsidRPr="00CF2EF1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CF2EF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CF2EF1">
        <w:rPr>
          <w:rFonts w:ascii="Arial" w:hAnsi="Arial" w:cs="Arial"/>
          <w:sz w:val="18"/>
          <w:szCs w:val="18"/>
        </w:rPr>
        <w:t xml:space="preserve">stanovení § 17 odst. 2 zákona č. 77/1997 Sb., o </w:t>
      </w:r>
      <w:r>
        <w:rPr>
          <w:rFonts w:ascii="Arial" w:hAnsi="Arial" w:cs="Arial"/>
          <w:sz w:val="18"/>
          <w:szCs w:val="18"/>
        </w:rPr>
        <w:t>státním podniku.</w:t>
      </w:r>
    </w:p>
  </w:footnote>
  <w:footnote w:id="26">
    <w:p w:rsidR="000B764A" w:rsidRPr="002E3067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E306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2E3067">
        <w:rPr>
          <w:rFonts w:ascii="Arial" w:hAnsi="Arial" w:cs="Arial"/>
          <w:sz w:val="18"/>
          <w:szCs w:val="18"/>
        </w:rPr>
        <w:t>stanovení § 30 odst. 7 zákona č. 563/1991 Sb., o účetnictví</w:t>
      </w:r>
      <w:r>
        <w:rPr>
          <w:rFonts w:ascii="Arial" w:hAnsi="Arial" w:cs="Arial"/>
          <w:sz w:val="18"/>
          <w:szCs w:val="18"/>
        </w:rPr>
        <w:t>.</w:t>
      </w:r>
    </w:p>
  </w:footnote>
  <w:footnote w:id="27">
    <w:p w:rsidR="000B764A" w:rsidRPr="002E3067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E306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2E3067">
        <w:rPr>
          <w:rFonts w:ascii="Arial" w:hAnsi="Arial" w:cs="Arial"/>
          <w:sz w:val="18"/>
          <w:szCs w:val="18"/>
        </w:rPr>
        <w:t>stanovení § 29 odst. 1 zákona č. 563/1991 Sb., o účetnictví</w:t>
      </w:r>
      <w:r>
        <w:rPr>
          <w:rFonts w:ascii="Arial" w:hAnsi="Arial" w:cs="Arial"/>
          <w:sz w:val="18"/>
          <w:szCs w:val="18"/>
        </w:rPr>
        <w:t>.</w:t>
      </w:r>
    </w:p>
  </w:footnote>
  <w:footnote w:id="28">
    <w:p w:rsidR="000B764A" w:rsidRPr="002E3067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E306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2E3067">
        <w:rPr>
          <w:rFonts w:ascii="Arial" w:hAnsi="Arial" w:cs="Arial"/>
          <w:sz w:val="18"/>
          <w:szCs w:val="18"/>
        </w:rPr>
        <w:t>stanovení § 3 odst. 1 zákona č. 563/1991 Sb., o účetnictví</w:t>
      </w:r>
      <w:r>
        <w:rPr>
          <w:rFonts w:ascii="Arial" w:hAnsi="Arial" w:cs="Arial"/>
          <w:sz w:val="18"/>
          <w:szCs w:val="18"/>
        </w:rPr>
        <w:t>.</w:t>
      </w:r>
    </w:p>
  </w:footnote>
  <w:footnote w:id="29">
    <w:p w:rsidR="000B764A" w:rsidRPr="002E3067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E306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U</w:t>
      </w:r>
      <w:r w:rsidRPr="002E3067">
        <w:rPr>
          <w:rFonts w:ascii="Arial" w:hAnsi="Arial" w:cs="Arial"/>
          <w:sz w:val="18"/>
          <w:szCs w:val="18"/>
        </w:rPr>
        <w:t xml:space="preserve">stanovení bodu 6.7 ČÚS č. 013 </w:t>
      </w:r>
      <w:r>
        <w:rPr>
          <w:rFonts w:ascii="Arial" w:hAnsi="Arial" w:cs="Arial"/>
          <w:sz w:val="18"/>
          <w:szCs w:val="18"/>
        </w:rPr>
        <w:t xml:space="preserve">– </w:t>
      </w:r>
      <w:r w:rsidRPr="006408E8">
        <w:rPr>
          <w:rFonts w:ascii="Arial" w:hAnsi="Arial" w:cs="Arial"/>
          <w:i/>
          <w:sz w:val="18"/>
          <w:szCs w:val="18"/>
        </w:rPr>
        <w:t>Dlouhodobý nehmotný a hmotný majetek</w:t>
      </w:r>
      <w:r>
        <w:rPr>
          <w:rFonts w:ascii="Arial" w:hAnsi="Arial" w:cs="Arial"/>
          <w:sz w:val="18"/>
          <w:szCs w:val="18"/>
        </w:rPr>
        <w:t>.</w:t>
      </w:r>
    </w:p>
  </w:footnote>
  <w:footnote w:id="30">
    <w:p w:rsidR="000B764A" w:rsidRPr="00183E48" w:rsidRDefault="000B764A" w:rsidP="00183E48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183E48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183E48">
        <w:rPr>
          <w:rFonts w:ascii="Arial" w:hAnsi="Arial" w:cs="Arial"/>
          <w:sz w:val="18"/>
          <w:szCs w:val="18"/>
        </w:rPr>
        <w:t>Ustanovení § 39 vyhlášky č. 500/2002 Sb., kterou se provádějí některá ustanovení zákona č. 563/1991 Sb., o účetnictví, ve znění pozdějších předpisů, pro účetní jednotky, které jsou podnikateli účtujícími v soustavě podvojného účetnictví.</w:t>
      </w:r>
    </w:p>
  </w:footnote>
  <w:footnote w:id="31">
    <w:p w:rsidR="000B764A" w:rsidRPr="00183E48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183E48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183E48">
        <w:rPr>
          <w:rFonts w:ascii="Arial" w:hAnsi="Arial" w:cs="Arial"/>
          <w:sz w:val="18"/>
          <w:szCs w:val="18"/>
        </w:rPr>
        <w:t>Ustanovení § 8 odst. 1 zákona č. 563/1991 Sb., o účetnictví.</w:t>
      </w:r>
    </w:p>
  </w:footnote>
  <w:footnote w:id="32">
    <w:p w:rsidR="000B764A" w:rsidRPr="00183E48" w:rsidRDefault="000B764A" w:rsidP="00183E48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183E48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183E48">
        <w:rPr>
          <w:rFonts w:ascii="Arial" w:hAnsi="Arial" w:cs="Arial"/>
          <w:sz w:val="18"/>
          <w:szCs w:val="18"/>
        </w:rPr>
        <w:t>Ustanovení § 8 odst. 2, 3 a 4 zákona č. 563/1991 Sb., o účetnictví.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C02"/>
    <w:multiLevelType w:val="hybridMultilevel"/>
    <w:tmpl w:val="036A7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E7FC9"/>
    <w:multiLevelType w:val="hybridMultilevel"/>
    <w:tmpl w:val="3E3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D5610"/>
    <w:multiLevelType w:val="hybridMultilevel"/>
    <w:tmpl w:val="E582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14E60"/>
    <w:multiLevelType w:val="hybridMultilevel"/>
    <w:tmpl w:val="2F2271F0"/>
    <w:lvl w:ilvl="0" w:tplc="2D3CB6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F7869"/>
    <w:multiLevelType w:val="hybridMultilevel"/>
    <w:tmpl w:val="FB06CBAC"/>
    <w:lvl w:ilvl="0" w:tplc="C1AA5268">
      <w:start w:val="1"/>
      <w:numFmt w:val="upperRoman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80212"/>
    <w:multiLevelType w:val="hybridMultilevel"/>
    <w:tmpl w:val="2448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60F88"/>
    <w:multiLevelType w:val="hybridMultilevel"/>
    <w:tmpl w:val="01F22226"/>
    <w:lvl w:ilvl="0" w:tplc="04050001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52FE9"/>
    <w:multiLevelType w:val="hybridMultilevel"/>
    <w:tmpl w:val="9648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D4645"/>
    <w:multiLevelType w:val="hybridMultilevel"/>
    <w:tmpl w:val="CF92C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F684F"/>
    <w:multiLevelType w:val="hybridMultilevel"/>
    <w:tmpl w:val="B3624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D2B12"/>
    <w:multiLevelType w:val="hybridMultilevel"/>
    <w:tmpl w:val="20A24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133A8"/>
    <w:multiLevelType w:val="multilevel"/>
    <w:tmpl w:val="3B06D88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0070FFB"/>
    <w:multiLevelType w:val="hybridMultilevel"/>
    <w:tmpl w:val="9CE0EAA2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527E63"/>
    <w:multiLevelType w:val="hybridMultilevel"/>
    <w:tmpl w:val="C72A3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73FF6"/>
    <w:multiLevelType w:val="hybridMultilevel"/>
    <w:tmpl w:val="C128C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26B2A"/>
    <w:multiLevelType w:val="hybridMultilevel"/>
    <w:tmpl w:val="14289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117F9"/>
    <w:multiLevelType w:val="hybridMultilevel"/>
    <w:tmpl w:val="ABEAD2A2"/>
    <w:lvl w:ilvl="0" w:tplc="8CC04A96">
      <w:start w:val="1"/>
      <w:numFmt w:val="decimal"/>
      <w:pStyle w:val="Ploha1"/>
      <w:lvlText w:val="Příloha č.  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A2020"/>
    <w:multiLevelType w:val="hybridMultilevel"/>
    <w:tmpl w:val="2CB2FEE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672E27A3"/>
    <w:multiLevelType w:val="hybridMultilevel"/>
    <w:tmpl w:val="C44661BC"/>
    <w:lvl w:ilvl="0" w:tplc="6EB23E7E">
      <w:start w:val="1"/>
      <w:numFmt w:val="decimal"/>
      <w:pStyle w:val="doklad1"/>
      <w:lvlText w:val="Doklad č.  %1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C0CDF"/>
    <w:multiLevelType w:val="hybridMultilevel"/>
    <w:tmpl w:val="2DA2E8B8"/>
    <w:lvl w:ilvl="0" w:tplc="0EB8244E">
      <w:start w:val="1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74F30"/>
    <w:multiLevelType w:val="hybridMultilevel"/>
    <w:tmpl w:val="AFD88DF2"/>
    <w:lvl w:ilvl="0" w:tplc="04050001">
      <w:start w:val="1"/>
      <w:numFmt w:val="decimal"/>
      <w:pStyle w:val="ploha10"/>
      <w:lvlText w:val="Příloha č.  %1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ED4B63"/>
    <w:multiLevelType w:val="hybridMultilevel"/>
    <w:tmpl w:val="AD1ECD06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2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4"/>
    <w:lvlOverride w:ilvl="0">
      <w:startOverride w:val="1"/>
    </w:lvlOverride>
  </w:num>
  <w:num w:numId="9">
    <w:abstractNumId w:val="13"/>
  </w:num>
  <w:num w:numId="10">
    <w:abstractNumId w:val="19"/>
  </w:num>
  <w:num w:numId="11">
    <w:abstractNumId w:val="10"/>
  </w:num>
  <w:num w:numId="12">
    <w:abstractNumId w:val="15"/>
  </w:num>
  <w:num w:numId="13">
    <w:abstractNumId w:val="5"/>
  </w:num>
  <w:num w:numId="14">
    <w:abstractNumId w:val="7"/>
  </w:num>
  <w:num w:numId="15">
    <w:abstractNumId w:val="8"/>
  </w:num>
  <w:num w:numId="16">
    <w:abstractNumId w:val="4"/>
  </w:num>
  <w:num w:numId="17">
    <w:abstractNumId w:val="21"/>
  </w:num>
  <w:num w:numId="18">
    <w:abstractNumId w:val="14"/>
  </w:num>
  <w:num w:numId="19">
    <w:abstractNumId w:val="1"/>
  </w:num>
  <w:num w:numId="20">
    <w:abstractNumId w:val="2"/>
  </w:num>
  <w:num w:numId="21">
    <w:abstractNumId w:val="17"/>
  </w:num>
  <w:num w:numId="22">
    <w:abstractNumId w:val="11"/>
  </w:num>
  <w:num w:numId="23">
    <w:abstractNumId w:val="11"/>
  </w:num>
  <w:num w:numId="24">
    <w:abstractNumId w:val="9"/>
  </w:num>
  <w:num w:numId="25">
    <w:abstractNumId w:val="12"/>
  </w:num>
  <w:num w:numId="2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65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A7"/>
    <w:rsid w:val="00001775"/>
    <w:rsid w:val="00004074"/>
    <w:rsid w:val="0001740F"/>
    <w:rsid w:val="00020973"/>
    <w:rsid w:val="00020D86"/>
    <w:rsid w:val="00023CB4"/>
    <w:rsid w:val="0002448F"/>
    <w:rsid w:val="000415EF"/>
    <w:rsid w:val="000460BD"/>
    <w:rsid w:val="000462F6"/>
    <w:rsid w:val="000465C5"/>
    <w:rsid w:val="00055AFC"/>
    <w:rsid w:val="00056D89"/>
    <w:rsid w:val="000620C2"/>
    <w:rsid w:val="000655AA"/>
    <w:rsid w:val="00081396"/>
    <w:rsid w:val="00082607"/>
    <w:rsid w:val="0008786D"/>
    <w:rsid w:val="00087F42"/>
    <w:rsid w:val="0009057A"/>
    <w:rsid w:val="00095478"/>
    <w:rsid w:val="000B2F62"/>
    <w:rsid w:val="000B42BC"/>
    <w:rsid w:val="000B58E2"/>
    <w:rsid w:val="000B722C"/>
    <w:rsid w:val="000B764A"/>
    <w:rsid w:val="000C09A1"/>
    <w:rsid w:val="000C3DDA"/>
    <w:rsid w:val="000D4019"/>
    <w:rsid w:val="000D7CEF"/>
    <w:rsid w:val="000E07C7"/>
    <w:rsid w:val="000E331C"/>
    <w:rsid w:val="000E5F94"/>
    <w:rsid w:val="000E7CC0"/>
    <w:rsid w:val="000F166C"/>
    <w:rsid w:val="000F48CE"/>
    <w:rsid w:val="00100224"/>
    <w:rsid w:val="00101FC0"/>
    <w:rsid w:val="001022A0"/>
    <w:rsid w:val="001069A4"/>
    <w:rsid w:val="00111822"/>
    <w:rsid w:val="00114111"/>
    <w:rsid w:val="001171B4"/>
    <w:rsid w:val="0012460E"/>
    <w:rsid w:val="00132F06"/>
    <w:rsid w:val="00141CA7"/>
    <w:rsid w:val="001432F3"/>
    <w:rsid w:val="001433CE"/>
    <w:rsid w:val="00154412"/>
    <w:rsid w:val="00154A95"/>
    <w:rsid w:val="0015730A"/>
    <w:rsid w:val="00166CE6"/>
    <w:rsid w:val="00170B2A"/>
    <w:rsid w:val="00173CF0"/>
    <w:rsid w:val="001756E1"/>
    <w:rsid w:val="00175969"/>
    <w:rsid w:val="00180DA3"/>
    <w:rsid w:val="00183E48"/>
    <w:rsid w:val="00192AE4"/>
    <w:rsid w:val="00195355"/>
    <w:rsid w:val="00195BC6"/>
    <w:rsid w:val="0019647F"/>
    <w:rsid w:val="001A0D9E"/>
    <w:rsid w:val="001A0ED9"/>
    <w:rsid w:val="001A1065"/>
    <w:rsid w:val="001A2150"/>
    <w:rsid w:val="001B14A0"/>
    <w:rsid w:val="001B24D1"/>
    <w:rsid w:val="001B29E3"/>
    <w:rsid w:val="001B4CE1"/>
    <w:rsid w:val="001B5235"/>
    <w:rsid w:val="001B74D0"/>
    <w:rsid w:val="001C1BD1"/>
    <w:rsid w:val="001C5204"/>
    <w:rsid w:val="001C6DDF"/>
    <w:rsid w:val="001D0834"/>
    <w:rsid w:val="001D2303"/>
    <w:rsid w:val="001E3CEB"/>
    <w:rsid w:val="001E4764"/>
    <w:rsid w:val="001E4E9E"/>
    <w:rsid w:val="001E767A"/>
    <w:rsid w:val="001F18DC"/>
    <w:rsid w:val="001F28DD"/>
    <w:rsid w:val="001F6351"/>
    <w:rsid w:val="001F7CDF"/>
    <w:rsid w:val="00201452"/>
    <w:rsid w:val="00205D32"/>
    <w:rsid w:val="0021127A"/>
    <w:rsid w:val="002122D4"/>
    <w:rsid w:val="0021616D"/>
    <w:rsid w:val="00216D55"/>
    <w:rsid w:val="00222772"/>
    <w:rsid w:val="002269D2"/>
    <w:rsid w:val="00227308"/>
    <w:rsid w:val="00231420"/>
    <w:rsid w:val="002355CD"/>
    <w:rsid w:val="00237702"/>
    <w:rsid w:val="00242264"/>
    <w:rsid w:val="002435F9"/>
    <w:rsid w:val="00243C46"/>
    <w:rsid w:val="00255157"/>
    <w:rsid w:val="0025664A"/>
    <w:rsid w:val="002566B3"/>
    <w:rsid w:val="002639DE"/>
    <w:rsid w:val="00270696"/>
    <w:rsid w:val="00271FC3"/>
    <w:rsid w:val="002744E6"/>
    <w:rsid w:val="002821C0"/>
    <w:rsid w:val="002828E5"/>
    <w:rsid w:val="00284E78"/>
    <w:rsid w:val="00285AC8"/>
    <w:rsid w:val="00285BCA"/>
    <w:rsid w:val="00286AB9"/>
    <w:rsid w:val="002870E8"/>
    <w:rsid w:val="00292511"/>
    <w:rsid w:val="00294ACF"/>
    <w:rsid w:val="00294D24"/>
    <w:rsid w:val="002A0A0A"/>
    <w:rsid w:val="002A37BD"/>
    <w:rsid w:val="002A42F8"/>
    <w:rsid w:val="002A7D9E"/>
    <w:rsid w:val="002B05A7"/>
    <w:rsid w:val="002B088D"/>
    <w:rsid w:val="002B56A5"/>
    <w:rsid w:val="002B6537"/>
    <w:rsid w:val="002B7F02"/>
    <w:rsid w:val="002C00A0"/>
    <w:rsid w:val="002C3B9E"/>
    <w:rsid w:val="002D2FF6"/>
    <w:rsid w:val="002E3067"/>
    <w:rsid w:val="002F20E1"/>
    <w:rsid w:val="002F6E71"/>
    <w:rsid w:val="00300845"/>
    <w:rsid w:val="0030224D"/>
    <w:rsid w:val="00302459"/>
    <w:rsid w:val="003142D9"/>
    <w:rsid w:val="00315B06"/>
    <w:rsid w:val="00323653"/>
    <w:rsid w:val="00330D7C"/>
    <w:rsid w:val="0033449F"/>
    <w:rsid w:val="00334BA6"/>
    <w:rsid w:val="00355E4E"/>
    <w:rsid w:val="003570BD"/>
    <w:rsid w:val="00371839"/>
    <w:rsid w:val="00371D08"/>
    <w:rsid w:val="00376AF0"/>
    <w:rsid w:val="003869D7"/>
    <w:rsid w:val="00390F91"/>
    <w:rsid w:val="003952F3"/>
    <w:rsid w:val="00395920"/>
    <w:rsid w:val="003A34C1"/>
    <w:rsid w:val="003A37EA"/>
    <w:rsid w:val="003A46A5"/>
    <w:rsid w:val="003B1765"/>
    <w:rsid w:val="003B37BE"/>
    <w:rsid w:val="003B448E"/>
    <w:rsid w:val="003B49A9"/>
    <w:rsid w:val="003B5DEA"/>
    <w:rsid w:val="003C28FA"/>
    <w:rsid w:val="003C2FD7"/>
    <w:rsid w:val="003C4873"/>
    <w:rsid w:val="003C7D49"/>
    <w:rsid w:val="003D0840"/>
    <w:rsid w:val="003D25B3"/>
    <w:rsid w:val="003D33FA"/>
    <w:rsid w:val="003E15A1"/>
    <w:rsid w:val="003E2B70"/>
    <w:rsid w:val="003E6390"/>
    <w:rsid w:val="00400425"/>
    <w:rsid w:val="00410599"/>
    <w:rsid w:val="00411049"/>
    <w:rsid w:val="00411590"/>
    <w:rsid w:val="00421490"/>
    <w:rsid w:val="00423D4D"/>
    <w:rsid w:val="00424D4F"/>
    <w:rsid w:val="0042613E"/>
    <w:rsid w:val="0042798A"/>
    <w:rsid w:val="00431FC8"/>
    <w:rsid w:val="0043262A"/>
    <w:rsid w:val="00433939"/>
    <w:rsid w:val="0043505F"/>
    <w:rsid w:val="00443E7E"/>
    <w:rsid w:val="00445BC5"/>
    <w:rsid w:val="00445D08"/>
    <w:rsid w:val="004552BA"/>
    <w:rsid w:val="00456F11"/>
    <w:rsid w:val="00462CEC"/>
    <w:rsid w:val="00464C56"/>
    <w:rsid w:val="00470C4A"/>
    <w:rsid w:val="0047211F"/>
    <w:rsid w:val="004727FE"/>
    <w:rsid w:val="00474991"/>
    <w:rsid w:val="004858E1"/>
    <w:rsid w:val="004917E6"/>
    <w:rsid w:val="00494327"/>
    <w:rsid w:val="004A5514"/>
    <w:rsid w:val="004B5E21"/>
    <w:rsid w:val="004B7C01"/>
    <w:rsid w:val="004C25C6"/>
    <w:rsid w:val="004C3850"/>
    <w:rsid w:val="004C598D"/>
    <w:rsid w:val="004D2D84"/>
    <w:rsid w:val="004D3B3B"/>
    <w:rsid w:val="004D6BAA"/>
    <w:rsid w:val="004D7271"/>
    <w:rsid w:val="004D7B6C"/>
    <w:rsid w:val="004E559D"/>
    <w:rsid w:val="004F6287"/>
    <w:rsid w:val="005020D7"/>
    <w:rsid w:val="005024D0"/>
    <w:rsid w:val="00502E5A"/>
    <w:rsid w:val="005030B3"/>
    <w:rsid w:val="00505442"/>
    <w:rsid w:val="00511C81"/>
    <w:rsid w:val="005138A8"/>
    <w:rsid w:val="00514AC5"/>
    <w:rsid w:val="00517358"/>
    <w:rsid w:val="005301CA"/>
    <w:rsid w:val="005304D5"/>
    <w:rsid w:val="005335B5"/>
    <w:rsid w:val="00541400"/>
    <w:rsid w:val="00545160"/>
    <w:rsid w:val="0055593E"/>
    <w:rsid w:val="00557971"/>
    <w:rsid w:val="00560594"/>
    <w:rsid w:val="005617EF"/>
    <w:rsid w:val="00563745"/>
    <w:rsid w:val="00563B76"/>
    <w:rsid w:val="00567793"/>
    <w:rsid w:val="005679DC"/>
    <w:rsid w:val="005706E2"/>
    <w:rsid w:val="005808B6"/>
    <w:rsid w:val="005832D6"/>
    <w:rsid w:val="00591234"/>
    <w:rsid w:val="00592AE2"/>
    <w:rsid w:val="00593136"/>
    <w:rsid w:val="0059773D"/>
    <w:rsid w:val="005A1484"/>
    <w:rsid w:val="005B346B"/>
    <w:rsid w:val="005B3A91"/>
    <w:rsid w:val="005B6FB1"/>
    <w:rsid w:val="005B7222"/>
    <w:rsid w:val="005B7689"/>
    <w:rsid w:val="005C1F36"/>
    <w:rsid w:val="005C5D17"/>
    <w:rsid w:val="005D1ABA"/>
    <w:rsid w:val="005D6EDC"/>
    <w:rsid w:val="005E310E"/>
    <w:rsid w:val="005E7FA5"/>
    <w:rsid w:val="005F1A03"/>
    <w:rsid w:val="005F57DD"/>
    <w:rsid w:val="00604EBF"/>
    <w:rsid w:val="00610920"/>
    <w:rsid w:val="0061157C"/>
    <w:rsid w:val="00612BE2"/>
    <w:rsid w:val="006140AE"/>
    <w:rsid w:val="00617B06"/>
    <w:rsid w:val="00620587"/>
    <w:rsid w:val="0062092D"/>
    <w:rsid w:val="00624E72"/>
    <w:rsid w:val="006408E8"/>
    <w:rsid w:val="006448B2"/>
    <w:rsid w:val="006469AA"/>
    <w:rsid w:val="00653AA4"/>
    <w:rsid w:val="00656F80"/>
    <w:rsid w:val="00657ABA"/>
    <w:rsid w:val="0066396D"/>
    <w:rsid w:val="00667196"/>
    <w:rsid w:val="00675764"/>
    <w:rsid w:val="00677A45"/>
    <w:rsid w:val="00681DA2"/>
    <w:rsid w:val="00690B43"/>
    <w:rsid w:val="0069405C"/>
    <w:rsid w:val="006967DA"/>
    <w:rsid w:val="006A02B3"/>
    <w:rsid w:val="006A50BB"/>
    <w:rsid w:val="006A52C2"/>
    <w:rsid w:val="006A7CD5"/>
    <w:rsid w:val="006B3FED"/>
    <w:rsid w:val="006B7C25"/>
    <w:rsid w:val="006C05FF"/>
    <w:rsid w:val="006C397A"/>
    <w:rsid w:val="006D15E1"/>
    <w:rsid w:val="006D1966"/>
    <w:rsid w:val="006D5C4C"/>
    <w:rsid w:val="006D6457"/>
    <w:rsid w:val="006E1891"/>
    <w:rsid w:val="006E200B"/>
    <w:rsid w:val="006E250C"/>
    <w:rsid w:val="006E3A82"/>
    <w:rsid w:val="006E6648"/>
    <w:rsid w:val="006E7A80"/>
    <w:rsid w:val="006F3642"/>
    <w:rsid w:val="006F54D2"/>
    <w:rsid w:val="006F5C97"/>
    <w:rsid w:val="00700031"/>
    <w:rsid w:val="00701802"/>
    <w:rsid w:val="0070192A"/>
    <w:rsid w:val="007064D1"/>
    <w:rsid w:val="00706A64"/>
    <w:rsid w:val="0071168F"/>
    <w:rsid w:val="00725D8A"/>
    <w:rsid w:val="007261C1"/>
    <w:rsid w:val="00726ABF"/>
    <w:rsid w:val="00727CD4"/>
    <w:rsid w:val="00731953"/>
    <w:rsid w:val="00736027"/>
    <w:rsid w:val="00736612"/>
    <w:rsid w:val="00736ABD"/>
    <w:rsid w:val="00742FE7"/>
    <w:rsid w:val="0074473F"/>
    <w:rsid w:val="0074526D"/>
    <w:rsid w:val="00745F82"/>
    <w:rsid w:val="00747CCD"/>
    <w:rsid w:val="007519C5"/>
    <w:rsid w:val="00751E74"/>
    <w:rsid w:val="007624AC"/>
    <w:rsid w:val="007654A9"/>
    <w:rsid w:val="00770012"/>
    <w:rsid w:val="007724D5"/>
    <w:rsid w:val="00786DFF"/>
    <w:rsid w:val="00791349"/>
    <w:rsid w:val="007934E4"/>
    <w:rsid w:val="00793694"/>
    <w:rsid w:val="00794EA8"/>
    <w:rsid w:val="00796407"/>
    <w:rsid w:val="007A176F"/>
    <w:rsid w:val="007A371C"/>
    <w:rsid w:val="007A74CE"/>
    <w:rsid w:val="007B2F58"/>
    <w:rsid w:val="007B51AA"/>
    <w:rsid w:val="007B713F"/>
    <w:rsid w:val="007C29D9"/>
    <w:rsid w:val="007C36BF"/>
    <w:rsid w:val="007C6222"/>
    <w:rsid w:val="007C7B45"/>
    <w:rsid w:val="007D1D07"/>
    <w:rsid w:val="007D71D1"/>
    <w:rsid w:val="007E11ED"/>
    <w:rsid w:val="007E25F7"/>
    <w:rsid w:val="007E4ECD"/>
    <w:rsid w:val="007F1306"/>
    <w:rsid w:val="007F41E8"/>
    <w:rsid w:val="007F7C03"/>
    <w:rsid w:val="0080288F"/>
    <w:rsid w:val="0080342C"/>
    <w:rsid w:val="00804F72"/>
    <w:rsid w:val="008064AC"/>
    <w:rsid w:val="008071C6"/>
    <w:rsid w:val="00812FA1"/>
    <w:rsid w:val="00827ABF"/>
    <w:rsid w:val="00833A69"/>
    <w:rsid w:val="00834511"/>
    <w:rsid w:val="0083453B"/>
    <w:rsid w:val="00835D9C"/>
    <w:rsid w:val="0084138F"/>
    <w:rsid w:val="00846377"/>
    <w:rsid w:val="00846D06"/>
    <w:rsid w:val="00850D1B"/>
    <w:rsid w:val="008513A9"/>
    <w:rsid w:val="00856A3D"/>
    <w:rsid w:val="00860400"/>
    <w:rsid w:val="0086424A"/>
    <w:rsid w:val="008654CF"/>
    <w:rsid w:val="00865A71"/>
    <w:rsid w:val="00874BC7"/>
    <w:rsid w:val="008763D6"/>
    <w:rsid w:val="008844BA"/>
    <w:rsid w:val="00887DFB"/>
    <w:rsid w:val="0089071E"/>
    <w:rsid w:val="0089247A"/>
    <w:rsid w:val="00896C54"/>
    <w:rsid w:val="008A2421"/>
    <w:rsid w:val="008A6B8B"/>
    <w:rsid w:val="008A70FD"/>
    <w:rsid w:val="008B02C7"/>
    <w:rsid w:val="008C21B9"/>
    <w:rsid w:val="008C3350"/>
    <w:rsid w:val="008C4226"/>
    <w:rsid w:val="008C7348"/>
    <w:rsid w:val="008D0BF3"/>
    <w:rsid w:val="008D6F97"/>
    <w:rsid w:val="008E6A43"/>
    <w:rsid w:val="008F0332"/>
    <w:rsid w:val="008F1FC7"/>
    <w:rsid w:val="008F3877"/>
    <w:rsid w:val="00903263"/>
    <w:rsid w:val="00903644"/>
    <w:rsid w:val="00906098"/>
    <w:rsid w:val="00915875"/>
    <w:rsid w:val="00916C19"/>
    <w:rsid w:val="00920AD4"/>
    <w:rsid w:val="00924E4F"/>
    <w:rsid w:val="00924ED6"/>
    <w:rsid w:val="009307F7"/>
    <w:rsid w:val="0093145E"/>
    <w:rsid w:val="0093246B"/>
    <w:rsid w:val="009344A1"/>
    <w:rsid w:val="009354C1"/>
    <w:rsid w:val="00945F2F"/>
    <w:rsid w:val="009461E0"/>
    <w:rsid w:val="0095000E"/>
    <w:rsid w:val="009507FD"/>
    <w:rsid w:val="00952A42"/>
    <w:rsid w:val="00953CE7"/>
    <w:rsid w:val="00964727"/>
    <w:rsid w:val="00965E3A"/>
    <w:rsid w:val="00977D8A"/>
    <w:rsid w:val="00980743"/>
    <w:rsid w:val="00983D0A"/>
    <w:rsid w:val="0098534C"/>
    <w:rsid w:val="00986842"/>
    <w:rsid w:val="009922AD"/>
    <w:rsid w:val="009A3898"/>
    <w:rsid w:val="009A40FF"/>
    <w:rsid w:val="009A4D00"/>
    <w:rsid w:val="009B6682"/>
    <w:rsid w:val="009B7D00"/>
    <w:rsid w:val="009C7449"/>
    <w:rsid w:val="009E02D0"/>
    <w:rsid w:val="009E2EDC"/>
    <w:rsid w:val="009F1097"/>
    <w:rsid w:val="009F5A4D"/>
    <w:rsid w:val="009F6133"/>
    <w:rsid w:val="00A00149"/>
    <w:rsid w:val="00A001CA"/>
    <w:rsid w:val="00A0158C"/>
    <w:rsid w:val="00A21321"/>
    <w:rsid w:val="00A21F4F"/>
    <w:rsid w:val="00A24D45"/>
    <w:rsid w:val="00A258F2"/>
    <w:rsid w:val="00A31045"/>
    <w:rsid w:val="00A32C26"/>
    <w:rsid w:val="00A429BD"/>
    <w:rsid w:val="00A60031"/>
    <w:rsid w:val="00A63DAF"/>
    <w:rsid w:val="00A63FBD"/>
    <w:rsid w:val="00A66C2F"/>
    <w:rsid w:val="00A72732"/>
    <w:rsid w:val="00A76A24"/>
    <w:rsid w:val="00A76D88"/>
    <w:rsid w:val="00A7716D"/>
    <w:rsid w:val="00A81E59"/>
    <w:rsid w:val="00A85EAB"/>
    <w:rsid w:val="00A86A3B"/>
    <w:rsid w:val="00AA73FD"/>
    <w:rsid w:val="00AB0342"/>
    <w:rsid w:val="00AB0DF9"/>
    <w:rsid w:val="00AB30E2"/>
    <w:rsid w:val="00AB32A0"/>
    <w:rsid w:val="00AD24CF"/>
    <w:rsid w:val="00AD2730"/>
    <w:rsid w:val="00AD3DD8"/>
    <w:rsid w:val="00AE61DE"/>
    <w:rsid w:val="00AF0852"/>
    <w:rsid w:val="00AF0F4D"/>
    <w:rsid w:val="00AF646A"/>
    <w:rsid w:val="00B010B2"/>
    <w:rsid w:val="00B015B0"/>
    <w:rsid w:val="00B052D3"/>
    <w:rsid w:val="00B11479"/>
    <w:rsid w:val="00B1300D"/>
    <w:rsid w:val="00B17C33"/>
    <w:rsid w:val="00B35B4A"/>
    <w:rsid w:val="00B415B1"/>
    <w:rsid w:val="00B41AEA"/>
    <w:rsid w:val="00B42A81"/>
    <w:rsid w:val="00B42DF5"/>
    <w:rsid w:val="00B4769B"/>
    <w:rsid w:val="00B517A6"/>
    <w:rsid w:val="00B51BCA"/>
    <w:rsid w:val="00B53DA7"/>
    <w:rsid w:val="00B60041"/>
    <w:rsid w:val="00B727BC"/>
    <w:rsid w:val="00B730D3"/>
    <w:rsid w:val="00B81720"/>
    <w:rsid w:val="00B86BAE"/>
    <w:rsid w:val="00B93EA8"/>
    <w:rsid w:val="00B96989"/>
    <w:rsid w:val="00BA1E6E"/>
    <w:rsid w:val="00BA2790"/>
    <w:rsid w:val="00BB16AF"/>
    <w:rsid w:val="00BC6F00"/>
    <w:rsid w:val="00BD0C5C"/>
    <w:rsid w:val="00BD44A8"/>
    <w:rsid w:val="00BD7A18"/>
    <w:rsid w:val="00BE382A"/>
    <w:rsid w:val="00BE64D3"/>
    <w:rsid w:val="00BF0B5C"/>
    <w:rsid w:val="00BF1F0B"/>
    <w:rsid w:val="00BF6169"/>
    <w:rsid w:val="00BF7F18"/>
    <w:rsid w:val="00C01E28"/>
    <w:rsid w:val="00C0742B"/>
    <w:rsid w:val="00C12F9C"/>
    <w:rsid w:val="00C16170"/>
    <w:rsid w:val="00C16FB5"/>
    <w:rsid w:val="00C3111C"/>
    <w:rsid w:val="00C36862"/>
    <w:rsid w:val="00C416F8"/>
    <w:rsid w:val="00C504B8"/>
    <w:rsid w:val="00C52710"/>
    <w:rsid w:val="00C557EF"/>
    <w:rsid w:val="00C62D96"/>
    <w:rsid w:val="00C65166"/>
    <w:rsid w:val="00C66282"/>
    <w:rsid w:val="00C677FD"/>
    <w:rsid w:val="00C706E9"/>
    <w:rsid w:val="00C70C8F"/>
    <w:rsid w:val="00C73E1C"/>
    <w:rsid w:val="00C828E8"/>
    <w:rsid w:val="00C8370F"/>
    <w:rsid w:val="00C846EF"/>
    <w:rsid w:val="00C87203"/>
    <w:rsid w:val="00C87C2E"/>
    <w:rsid w:val="00C91F9D"/>
    <w:rsid w:val="00C91FCC"/>
    <w:rsid w:val="00C9276A"/>
    <w:rsid w:val="00C93787"/>
    <w:rsid w:val="00C972D3"/>
    <w:rsid w:val="00CA4DB9"/>
    <w:rsid w:val="00CA50E1"/>
    <w:rsid w:val="00CA588D"/>
    <w:rsid w:val="00CC3D74"/>
    <w:rsid w:val="00CC4DCE"/>
    <w:rsid w:val="00CC7FAD"/>
    <w:rsid w:val="00CD0087"/>
    <w:rsid w:val="00CD15CD"/>
    <w:rsid w:val="00CD2A26"/>
    <w:rsid w:val="00CD7168"/>
    <w:rsid w:val="00CE32C1"/>
    <w:rsid w:val="00CE4CEB"/>
    <w:rsid w:val="00CF2C95"/>
    <w:rsid w:val="00CF2EF1"/>
    <w:rsid w:val="00CF56FE"/>
    <w:rsid w:val="00D005C9"/>
    <w:rsid w:val="00D01E28"/>
    <w:rsid w:val="00D038B9"/>
    <w:rsid w:val="00D0756E"/>
    <w:rsid w:val="00D11E14"/>
    <w:rsid w:val="00D155B0"/>
    <w:rsid w:val="00D2500D"/>
    <w:rsid w:val="00D4277D"/>
    <w:rsid w:val="00D47A9D"/>
    <w:rsid w:val="00D47DDF"/>
    <w:rsid w:val="00D51FB1"/>
    <w:rsid w:val="00D52F2D"/>
    <w:rsid w:val="00D53D5E"/>
    <w:rsid w:val="00D60C71"/>
    <w:rsid w:val="00D648AE"/>
    <w:rsid w:val="00D76B53"/>
    <w:rsid w:val="00D77EB3"/>
    <w:rsid w:val="00D81E36"/>
    <w:rsid w:val="00D86D6E"/>
    <w:rsid w:val="00D87492"/>
    <w:rsid w:val="00DA09B1"/>
    <w:rsid w:val="00DB3983"/>
    <w:rsid w:val="00DB5411"/>
    <w:rsid w:val="00DB6B58"/>
    <w:rsid w:val="00DC2041"/>
    <w:rsid w:val="00DC5FCA"/>
    <w:rsid w:val="00DD4211"/>
    <w:rsid w:val="00DD4FF1"/>
    <w:rsid w:val="00DD7E4F"/>
    <w:rsid w:val="00DE31B0"/>
    <w:rsid w:val="00DE6BD3"/>
    <w:rsid w:val="00DF197A"/>
    <w:rsid w:val="00DF7303"/>
    <w:rsid w:val="00DF7DC3"/>
    <w:rsid w:val="00E04914"/>
    <w:rsid w:val="00E13247"/>
    <w:rsid w:val="00E13727"/>
    <w:rsid w:val="00E152DE"/>
    <w:rsid w:val="00E23134"/>
    <w:rsid w:val="00E23C1B"/>
    <w:rsid w:val="00E25DDC"/>
    <w:rsid w:val="00E32132"/>
    <w:rsid w:val="00E32675"/>
    <w:rsid w:val="00E441CC"/>
    <w:rsid w:val="00E4786F"/>
    <w:rsid w:val="00E47A8C"/>
    <w:rsid w:val="00E51A3D"/>
    <w:rsid w:val="00E52784"/>
    <w:rsid w:val="00E6288F"/>
    <w:rsid w:val="00E6513C"/>
    <w:rsid w:val="00E66EB4"/>
    <w:rsid w:val="00E66F9F"/>
    <w:rsid w:val="00E679A0"/>
    <w:rsid w:val="00E67A36"/>
    <w:rsid w:val="00E74876"/>
    <w:rsid w:val="00E80A0A"/>
    <w:rsid w:val="00E91C95"/>
    <w:rsid w:val="00E97054"/>
    <w:rsid w:val="00EA04C1"/>
    <w:rsid w:val="00EA17DB"/>
    <w:rsid w:val="00EA33AA"/>
    <w:rsid w:val="00EA446E"/>
    <w:rsid w:val="00EA49A7"/>
    <w:rsid w:val="00EA67AD"/>
    <w:rsid w:val="00EB094D"/>
    <w:rsid w:val="00EB371B"/>
    <w:rsid w:val="00EB4AF2"/>
    <w:rsid w:val="00EB5EA9"/>
    <w:rsid w:val="00EB61C2"/>
    <w:rsid w:val="00EC131D"/>
    <w:rsid w:val="00EC319B"/>
    <w:rsid w:val="00EC3C7F"/>
    <w:rsid w:val="00EC6B38"/>
    <w:rsid w:val="00ED0466"/>
    <w:rsid w:val="00ED6728"/>
    <w:rsid w:val="00EE0A35"/>
    <w:rsid w:val="00EE33D0"/>
    <w:rsid w:val="00EE7024"/>
    <w:rsid w:val="00EE7D23"/>
    <w:rsid w:val="00EF6379"/>
    <w:rsid w:val="00F0250E"/>
    <w:rsid w:val="00F037FC"/>
    <w:rsid w:val="00F044C9"/>
    <w:rsid w:val="00F2387F"/>
    <w:rsid w:val="00F2405B"/>
    <w:rsid w:val="00F2414B"/>
    <w:rsid w:val="00F274C4"/>
    <w:rsid w:val="00F320B2"/>
    <w:rsid w:val="00F35EBB"/>
    <w:rsid w:val="00F373CE"/>
    <w:rsid w:val="00F4397C"/>
    <w:rsid w:val="00F445FB"/>
    <w:rsid w:val="00F51149"/>
    <w:rsid w:val="00F52C85"/>
    <w:rsid w:val="00F5379C"/>
    <w:rsid w:val="00F55592"/>
    <w:rsid w:val="00F558C9"/>
    <w:rsid w:val="00F56299"/>
    <w:rsid w:val="00F56CB2"/>
    <w:rsid w:val="00F579B4"/>
    <w:rsid w:val="00F57E96"/>
    <w:rsid w:val="00F6154C"/>
    <w:rsid w:val="00F621B2"/>
    <w:rsid w:val="00F65E05"/>
    <w:rsid w:val="00F71CA9"/>
    <w:rsid w:val="00F84191"/>
    <w:rsid w:val="00F90040"/>
    <w:rsid w:val="00F9114C"/>
    <w:rsid w:val="00F9299B"/>
    <w:rsid w:val="00F957D6"/>
    <w:rsid w:val="00F95F05"/>
    <w:rsid w:val="00F96756"/>
    <w:rsid w:val="00F97C71"/>
    <w:rsid w:val="00FA3F95"/>
    <w:rsid w:val="00FA50B4"/>
    <w:rsid w:val="00FB7956"/>
    <w:rsid w:val="00FC0345"/>
    <w:rsid w:val="00FC21EF"/>
    <w:rsid w:val="00FC7260"/>
    <w:rsid w:val="00FD0473"/>
    <w:rsid w:val="00FD6815"/>
    <w:rsid w:val="00FE1898"/>
    <w:rsid w:val="00FE1C4D"/>
    <w:rsid w:val="00FE4427"/>
    <w:rsid w:val="00FF4E8C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62A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205D32"/>
    <w:pPr>
      <w:keepNext/>
      <w:numPr>
        <w:numId w:val="1"/>
      </w:numPr>
      <w:spacing w:before="240" w:after="60"/>
      <w:outlineLvl w:val="0"/>
    </w:pPr>
    <w:rPr>
      <w:rFonts w:eastAsia="Calibri" w:cs="Arial"/>
      <w:b/>
      <w:bCs/>
      <w:kern w:val="32"/>
      <w:sz w:val="24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EB5EA9"/>
    <w:pPr>
      <w:keepNext/>
      <w:numPr>
        <w:ilvl w:val="1"/>
        <w:numId w:val="1"/>
      </w:numPr>
      <w:spacing w:before="240" w:after="60"/>
      <w:outlineLvl w:val="1"/>
    </w:pPr>
    <w:rPr>
      <w:rFonts w:eastAsia="Calibri" w:cs="Arial"/>
      <w:b/>
      <w:bCs/>
      <w:iCs/>
      <w:szCs w:val="28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00EB5EA9"/>
    <w:pPr>
      <w:keepNext/>
      <w:numPr>
        <w:ilvl w:val="2"/>
        <w:numId w:val="1"/>
      </w:numPr>
      <w:spacing w:before="240" w:after="60"/>
      <w:outlineLvl w:val="2"/>
    </w:pPr>
    <w:rPr>
      <w:rFonts w:eastAsia="Calibri" w:cs="Arial"/>
      <w:b/>
      <w:bCs/>
      <w:szCs w:val="26"/>
      <w:lang w:val="cs-CZ" w:eastAsia="cs-CZ"/>
    </w:rPr>
  </w:style>
  <w:style w:type="paragraph" w:styleId="Nadpis4">
    <w:name w:val="heading 4"/>
    <w:basedOn w:val="Normln"/>
    <w:next w:val="Normln"/>
    <w:link w:val="Nadpis4Char"/>
    <w:uiPriority w:val="1"/>
    <w:qFormat/>
    <w:rsid w:val="00EB5EA9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Cs w:val="28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EB5E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5D32"/>
    <w:rPr>
      <w:rFonts w:ascii="Arial" w:eastAsia="Calibri" w:hAnsi="Arial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B5EA9"/>
    <w:rPr>
      <w:rFonts w:ascii="Arial" w:eastAsia="Calibri" w:hAnsi="Arial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1"/>
    <w:rsid w:val="00EB5EA9"/>
    <w:rPr>
      <w:rFonts w:ascii="Arial" w:eastAsia="Calibri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1"/>
    <w:rsid w:val="00EB5EA9"/>
    <w:rPr>
      <w:rFonts w:ascii="Arial" w:eastAsia="Calibri" w:hAnsi="Arial" w:cs="Times New Roman"/>
      <w:b/>
      <w:bCs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5EA9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customStyle="1" w:styleId="normlnmezera">
    <w:name w:val="normální mezera"/>
    <w:basedOn w:val="Normln"/>
    <w:qFormat/>
    <w:rsid w:val="00141CA7"/>
    <w:pPr>
      <w:spacing w:before="120"/>
    </w:pPr>
  </w:style>
  <w:style w:type="paragraph" w:styleId="Zhlav">
    <w:name w:val="header"/>
    <w:basedOn w:val="Normln"/>
    <w:link w:val="ZhlavChar"/>
    <w:uiPriority w:val="99"/>
    <w:unhideWhenUsed/>
    <w:rsid w:val="00141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CA7"/>
    <w:rPr>
      <w:rFonts w:ascii="Arial" w:eastAsia="Times New Roman" w:hAnsi="Arial" w:cs="Times New Roman"/>
      <w:szCs w:val="24"/>
      <w:lang w:val="en-US"/>
    </w:rPr>
  </w:style>
  <w:style w:type="paragraph" w:styleId="Zkladntext">
    <w:name w:val="Body Text"/>
    <w:basedOn w:val="Normln"/>
    <w:link w:val="ZkladntextChar"/>
    <w:semiHidden/>
    <w:rsid w:val="00141CA7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141CA7"/>
    <w:rPr>
      <w:rFonts w:ascii="Arial" w:eastAsia="Times New Roman" w:hAnsi="Arial" w:cs="Times New Roman"/>
      <w:szCs w:val="24"/>
      <w:lang w:val="en-US"/>
    </w:rPr>
  </w:style>
  <w:style w:type="paragraph" w:customStyle="1" w:styleId="Doklad10">
    <w:name w:val="Doklad 1"/>
    <w:basedOn w:val="Normln"/>
    <w:uiPriority w:val="99"/>
    <w:rsid w:val="00EB5EA9"/>
    <w:rPr>
      <w:rFonts w:eastAsia="Calibri"/>
      <w:szCs w:val="20"/>
      <w:lang w:val="cs-CZ"/>
    </w:rPr>
  </w:style>
  <w:style w:type="paragraph" w:customStyle="1" w:styleId="odsazen">
    <w:name w:val="odsazený"/>
    <w:basedOn w:val="Normln"/>
    <w:qFormat/>
    <w:rsid w:val="00EB5EA9"/>
    <w:pPr>
      <w:spacing w:before="240"/>
      <w:ind w:firstLine="567"/>
    </w:pPr>
    <w:rPr>
      <w:rFonts w:eastAsia="Calibri"/>
      <w:szCs w:val="20"/>
      <w:lang w:val="cs-CZ"/>
    </w:rPr>
  </w:style>
  <w:style w:type="paragraph" w:customStyle="1" w:styleId="doklad1">
    <w:name w:val="doklad_1"/>
    <w:basedOn w:val="Normln"/>
    <w:uiPriority w:val="2"/>
    <w:qFormat/>
    <w:rsid w:val="00EB5EA9"/>
    <w:pPr>
      <w:numPr>
        <w:numId w:val="2"/>
      </w:numPr>
      <w:spacing w:after="120"/>
    </w:pPr>
    <w:rPr>
      <w:rFonts w:eastAsia="Calibri"/>
      <w:szCs w:val="20"/>
      <w:lang w:val="cs-CZ" w:eastAsia="cs-CZ"/>
    </w:rPr>
  </w:style>
  <w:style w:type="paragraph" w:customStyle="1" w:styleId="Ploha1">
    <w:name w:val="Příloha 1"/>
    <w:basedOn w:val="Doklad10"/>
    <w:link w:val="Ploha1Char"/>
    <w:uiPriority w:val="1"/>
    <w:qFormat/>
    <w:rsid w:val="00EB5EA9"/>
    <w:pPr>
      <w:numPr>
        <w:numId w:val="3"/>
      </w:numPr>
      <w:spacing w:before="120"/>
    </w:pPr>
  </w:style>
  <w:style w:type="character" w:customStyle="1" w:styleId="Ploha1Char">
    <w:name w:val="Příloha 1 Char"/>
    <w:basedOn w:val="Standardnpsmoodstavce"/>
    <w:link w:val="Ploha1"/>
    <w:uiPriority w:val="1"/>
    <w:rsid w:val="00EB5EA9"/>
    <w:rPr>
      <w:rFonts w:ascii="Arial" w:eastAsia="Calibri" w:hAnsi="Arial" w:cs="Times New Roman"/>
      <w:szCs w:val="20"/>
    </w:rPr>
  </w:style>
  <w:style w:type="paragraph" w:customStyle="1" w:styleId="pklad">
    <w:name w:val="příklad"/>
    <w:basedOn w:val="normlnmezera"/>
    <w:uiPriority w:val="1"/>
    <w:qFormat/>
    <w:rsid w:val="00EB5EA9"/>
    <w:pPr>
      <w:ind w:left="567"/>
    </w:pPr>
    <w:rPr>
      <w:rFonts w:eastAsia="Calibri"/>
      <w:iCs/>
      <w:szCs w:val="20"/>
      <w:lang w:val="cs-CZ"/>
    </w:rPr>
  </w:style>
  <w:style w:type="paragraph" w:customStyle="1" w:styleId="zvr">
    <w:name w:val="závěr"/>
    <w:basedOn w:val="odsazen"/>
    <w:uiPriority w:val="99"/>
    <w:rsid w:val="00EB5EA9"/>
    <w:rPr>
      <w:b/>
    </w:rPr>
  </w:style>
  <w:style w:type="paragraph" w:customStyle="1" w:styleId="kriteria">
    <w:name w:val="kriteria"/>
    <w:basedOn w:val="Normln"/>
    <w:uiPriority w:val="2"/>
    <w:qFormat/>
    <w:rsid w:val="00EB5EA9"/>
    <w:pPr>
      <w:spacing w:before="120"/>
      <w:ind w:left="567" w:right="567"/>
    </w:pPr>
    <w:rPr>
      <w:rFonts w:eastAsia="Calibri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B5EA9"/>
    <w:pPr>
      <w:tabs>
        <w:tab w:val="center" w:pos="4536"/>
        <w:tab w:val="right" w:pos="9072"/>
      </w:tabs>
    </w:pPr>
    <w:rPr>
      <w:rFonts w:eastAsia="Calibri"/>
      <w:szCs w:val="20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EB5EA9"/>
    <w:rPr>
      <w:rFonts w:ascii="Arial" w:eastAsia="Calibri" w:hAnsi="Arial" w:cs="Times New Roman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EA9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EA9"/>
    <w:rPr>
      <w:rFonts w:ascii="Tahoma" w:eastAsia="Calibri" w:hAnsi="Tahoma" w:cs="Tahoma"/>
      <w:sz w:val="16"/>
      <w:szCs w:val="16"/>
      <w:lang w:val="cs-CZ"/>
    </w:rPr>
  </w:style>
  <w:style w:type="paragraph" w:styleId="Odstavecseseznamem">
    <w:name w:val="List Paragraph"/>
    <w:aliases w:val="odrážky"/>
    <w:basedOn w:val="Normln"/>
    <w:uiPriority w:val="34"/>
    <w:qFormat/>
    <w:rsid w:val="00EB5EA9"/>
    <w:pPr>
      <w:ind w:left="720"/>
      <w:contextualSpacing/>
    </w:pPr>
    <w:rPr>
      <w:rFonts w:eastAsia="Calibri"/>
      <w:szCs w:val="20"/>
      <w:lang w:val="cs-CZ"/>
    </w:rPr>
  </w:style>
  <w:style w:type="paragraph" w:customStyle="1" w:styleId="ploha10">
    <w:name w:val="příloha_1"/>
    <w:basedOn w:val="Normln"/>
    <w:rsid w:val="00EB5EA9"/>
    <w:pPr>
      <w:numPr>
        <w:numId w:val="4"/>
      </w:numPr>
    </w:pPr>
    <w:rPr>
      <w:lang w:val="cs-CZ" w:eastAsia="cs-CZ"/>
    </w:rPr>
  </w:style>
  <w:style w:type="paragraph" w:customStyle="1" w:styleId="normlnblok">
    <w:name w:val="normální blok"/>
    <w:basedOn w:val="Normln"/>
    <w:rsid w:val="00EB5EA9"/>
    <w:pPr>
      <w:spacing w:before="120"/>
    </w:pPr>
    <w:rPr>
      <w:lang w:val="cs-CZ" w:eastAsia="cs-CZ"/>
    </w:rPr>
  </w:style>
  <w:style w:type="paragraph" w:customStyle="1" w:styleId="plohy">
    <w:name w:val="přílohy"/>
    <w:basedOn w:val="Normln"/>
    <w:rsid w:val="00EB5EA9"/>
    <w:pPr>
      <w:jc w:val="left"/>
    </w:pPr>
    <w:rPr>
      <w:rFonts w:ascii="Times New Roman" w:hAnsi="Times New Roman"/>
      <w:sz w:val="24"/>
      <w:lang w:val="cs-CZ" w:eastAsia="cs-CZ"/>
    </w:rPr>
  </w:style>
  <w:style w:type="character" w:styleId="Znakapoznpodarou">
    <w:name w:val="footnote reference"/>
    <w:semiHidden/>
    <w:rsid w:val="00EB5EA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EB5EA9"/>
    <w:pPr>
      <w:jc w:val="left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5E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5EA9"/>
    <w:rPr>
      <w:rFonts w:ascii="Arial" w:eastAsia="Times New Roman" w:hAnsi="Arial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5EA9"/>
    <w:rPr>
      <w:sz w:val="20"/>
      <w:szCs w:val="20"/>
      <w:lang w:val="cs-CZ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B5EA9"/>
    <w:pPr>
      <w:tabs>
        <w:tab w:val="left" w:pos="880"/>
        <w:tab w:val="right" w:leader="dot" w:pos="9062"/>
      </w:tabs>
      <w:ind w:left="901" w:hanging="680"/>
    </w:pPr>
    <w:rPr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B5EA9"/>
    <w:pPr>
      <w:tabs>
        <w:tab w:val="left" w:pos="440"/>
        <w:tab w:val="right" w:leader="dot" w:pos="9062"/>
      </w:tabs>
      <w:ind w:left="442" w:hanging="442"/>
    </w:pPr>
    <w:rPr>
      <w:lang w:val="cs-CZ"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B5EA9"/>
    <w:pPr>
      <w:tabs>
        <w:tab w:val="left" w:pos="1320"/>
        <w:tab w:val="right" w:leader="dot" w:pos="9060"/>
      </w:tabs>
      <w:ind w:left="952" w:hanging="510"/>
    </w:pPr>
    <w:rPr>
      <w:lang w:val="cs-CZ" w:eastAsia="cs-CZ"/>
    </w:rPr>
  </w:style>
  <w:style w:type="character" w:styleId="Hypertextovodkaz">
    <w:name w:val="Hyperlink"/>
    <w:uiPriority w:val="99"/>
    <w:unhideWhenUsed/>
    <w:rsid w:val="00EB5EA9"/>
    <w:rPr>
      <w:color w:val="0000FF"/>
      <w:u w:val="single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E52784"/>
    <w:pPr>
      <w:keepNext/>
      <w:spacing w:before="120"/>
      <w:ind w:left="1559" w:hanging="1559"/>
    </w:pPr>
    <w:rPr>
      <w:b/>
      <w:bCs/>
      <w:szCs w:val="22"/>
      <w:lang w:val="cs-CZ" w:eastAsia="cs-CZ"/>
    </w:rPr>
  </w:style>
  <w:style w:type="paragraph" w:customStyle="1" w:styleId="Zpravodaj2">
    <w:name w:val="Zpravodaj2"/>
    <w:basedOn w:val="Nadpis1"/>
    <w:next w:val="Zkladntext"/>
    <w:rsid w:val="00EB5EA9"/>
    <w:pPr>
      <w:tabs>
        <w:tab w:val="clear" w:pos="567"/>
        <w:tab w:val="num" w:pos="720"/>
      </w:tabs>
      <w:spacing w:before="0" w:after="0"/>
      <w:ind w:left="720" w:hanging="360"/>
    </w:pPr>
    <w:rPr>
      <w:rFonts w:ascii="Palatino Linotype" w:eastAsia="Times New Roman" w:hAnsi="Palatino Linotype" w:cs="Times New Roman"/>
      <w:kern w:val="0"/>
      <w:sz w:val="28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B5EA9"/>
    <w:pPr>
      <w:spacing w:after="120" w:line="480" w:lineRule="auto"/>
    </w:pPr>
    <w:rPr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B5EA9"/>
    <w:rPr>
      <w:rFonts w:ascii="Arial" w:eastAsia="Times New Roman" w:hAnsi="Arial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B5EA9"/>
    <w:pPr>
      <w:spacing w:after="120" w:line="276" w:lineRule="auto"/>
      <w:ind w:left="283"/>
      <w:jc w:val="left"/>
    </w:pPr>
    <w:rPr>
      <w:rFonts w:ascii="Calibri" w:eastAsia="Calibri" w:hAnsi="Calibri"/>
      <w:szCs w:val="22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B5EA9"/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EB5EA9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EB5E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Zkladntexttabulkov">
    <w:name w:val="Základní text tabulkový"/>
    <w:basedOn w:val="Zkladntext"/>
    <w:rsid w:val="00EB5EA9"/>
    <w:pPr>
      <w:spacing w:before="60" w:after="60"/>
      <w:ind w:left="57"/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body">
    <w:name w:val="body"/>
    <w:basedOn w:val="Normln"/>
    <w:rsid w:val="00EB5EA9"/>
    <w:pPr>
      <w:numPr>
        <w:numId w:val="5"/>
      </w:numPr>
      <w:jc w:val="left"/>
    </w:pPr>
    <w:rPr>
      <w:rFonts w:ascii="Times New Roman" w:hAnsi="Times New Roman"/>
      <w:sz w:val="24"/>
    </w:rPr>
  </w:style>
  <w:style w:type="paragraph" w:customStyle="1" w:styleId="NadpisKZ">
    <w:name w:val="Nadpis KZ"/>
    <w:basedOn w:val="Zkladntext2"/>
    <w:rsid w:val="00EB5EA9"/>
    <w:pPr>
      <w:spacing w:before="120" w:after="360" w:line="240" w:lineRule="auto"/>
      <w:jc w:val="left"/>
    </w:pPr>
    <w:rPr>
      <w:rFonts w:ascii="Times New Roman" w:hAnsi="Times New Roman"/>
      <w:b/>
      <w:bCs/>
      <w:sz w:val="32"/>
    </w:rPr>
  </w:style>
  <w:style w:type="paragraph" w:customStyle="1" w:styleId="Nadpis5">
    <w:name w:val="Nadpis  5"/>
    <w:basedOn w:val="Nadpis4"/>
    <w:qFormat/>
    <w:rsid w:val="00EB5EA9"/>
    <w:pPr>
      <w:numPr>
        <w:ilvl w:val="0"/>
        <w:numId w:val="0"/>
      </w:numPr>
      <w:tabs>
        <w:tab w:val="num" w:pos="964"/>
      </w:tabs>
      <w:ind w:left="964" w:hanging="964"/>
    </w:pPr>
    <w:rPr>
      <w:rFonts w:eastAsia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91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91FCC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Citace1">
    <w:name w:val="Citace1"/>
    <w:basedOn w:val="Normln"/>
    <w:next w:val="Normln"/>
    <w:link w:val="QuoteChar"/>
    <w:uiPriority w:val="29"/>
    <w:qFormat/>
    <w:rsid w:val="007E11ED"/>
    <w:pPr>
      <w:spacing w:before="120" w:after="120"/>
      <w:ind w:firstLine="539"/>
    </w:pPr>
    <w:rPr>
      <w:i/>
      <w:iCs/>
      <w:lang w:val="cs-CZ"/>
    </w:rPr>
  </w:style>
  <w:style w:type="character" w:customStyle="1" w:styleId="QuoteChar">
    <w:name w:val="Quote Char"/>
    <w:link w:val="Citace1"/>
    <w:uiPriority w:val="29"/>
    <w:locked/>
    <w:rsid w:val="007E11ED"/>
    <w:rPr>
      <w:rFonts w:ascii="Arial" w:eastAsia="Times New Roman" w:hAnsi="Arial" w:cs="Times New Roman"/>
      <w:i/>
      <w:iCs/>
      <w:szCs w:val="24"/>
    </w:rPr>
  </w:style>
  <w:style w:type="character" w:customStyle="1" w:styleId="TextpoznpodarouChar1">
    <w:name w:val="Text pozn. pod čarou Char1"/>
    <w:uiPriority w:val="99"/>
    <w:semiHidden/>
    <w:rsid w:val="00B17C33"/>
    <w:rPr>
      <w:lang w:val="en-US" w:eastAsia="en-US"/>
    </w:rPr>
  </w:style>
  <w:style w:type="table" w:styleId="Mkatabulky">
    <w:name w:val="Table Grid"/>
    <w:basedOn w:val="Normlntabulka"/>
    <w:uiPriority w:val="59"/>
    <w:rsid w:val="000209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rsid w:val="006E3A82"/>
    <w:rPr>
      <w:rFonts w:ascii="Times New Roman" w:eastAsia="Calibri" w:hAnsi="Times New Roman"/>
      <w:sz w:val="24"/>
      <w:szCs w:val="20"/>
      <w:lang w:val="cs-CZ"/>
    </w:rPr>
  </w:style>
  <w:style w:type="paragraph" w:customStyle="1" w:styleId="description">
    <w:name w:val="description"/>
    <w:basedOn w:val="Normln"/>
    <w:rsid w:val="006E3A82"/>
    <w:pPr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sloKZ">
    <w:name w:val="Číslo KZ"/>
    <w:basedOn w:val="Normln"/>
    <w:rsid w:val="00334BA6"/>
    <w:pPr>
      <w:jc w:val="left"/>
    </w:pPr>
    <w:rPr>
      <w:rFonts w:ascii="Times New Roman" w:hAnsi="Times New Roman"/>
      <w:b/>
      <w:bCs/>
      <w:sz w:val="32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7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024"/>
    <w:rPr>
      <w:rFonts w:ascii="Arial" w:eastAsia="Times New Roman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024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62A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205D32"/>
    <w:pPr>
      <w:keepNext/>
      <w:numPr>
        <w:numId w:val="1"/>
      </w:numPr>
      <w:spacing w:before="240" w:after="60"/>
      <w:outlineLvl w:val="0"/>
    </w:pPr>
    <w:rPr>
      <w:rFonts w:eastAsia="Calibri" w:cs="Arial"/>
      <w:b/>
      <w:bCs/>
      <w:kern w:val="32"/>
      <w:sz w:val="24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EB5EA9"/>
    <w:pPr>
      <w:keepNext/>
      <w:numPr>
        <w:ilvl w:val="1"/>
        <w:numId w:val="1"/>
      </w:numPr>
      <w:spacing w:before="240" w:after="60"/>
      <w:outlineLvl w:val="1"/>
    </w:pPr>
    <w:rPr>
      <w:rFonts w:eastAsia="Calibri" w:cs="Arial"/>
      <w:b/>
      <w:bCs/>
      <w:iCs/>
      <w:szCs w:val="28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00EB5EA9"/>
    <w:pPr>
      <w:keepNext/>
      <w:numPr>
        <w:ilvl w:val="2"/>
        <w:numId w:val="1"/>
      </w:numPr>
      <w:spacing w:before="240" w:after="60"/>
      <w:outlineLvl w:val="2"/>
    </w:pPr>
    <w:rPr>
      <w:rFonts w:eastAsia="Calibri" w:cs="Arial"/>
      <w:b/>
      <w:bCs/>
      <w:szCs w:val="26"/>
      <w:lang w:val="cs-CZ" w:eastAsia="cs-CZ"/>
    </w:rPr>
  </w:style>
  <w:style w:type="paragraph" w:styleId="Nadpis4">
    <w:name w:val="heading 4"/>
    <w:basedOn w:val="Normln"/>
    <w:next w:val="Normln"/>
    <w:link w:val="Nadpis4Char"/>
    <w:uiPriority w:val="1"/>
    <w:qFormat/>
    <w:rsid w:val="00EB5EA9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Cs w:val="28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EB5E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5D32"/>
    <w:rPr>
      <w:rFonts w:ascii="Arial" w:eastAsia="Calibri" w:hAnsi="Arial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B5EA9"/>
    <w:rPr>
      <w:rFonts w:ascii="Arial" w:eastAsia="Calibri" w:hAnsi="Arial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1"/>
    <w:rsid w:val="00EB5EA9"/>
    <w:rPr>
      <w:rFonts w:ascii="Arial" w:eastAsia="Calibri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1"/>
    <w:rsid w:val="00EB5EA9"/>
    <w:rPr>
      <w:rFonts w:ascii="Arial" w:eastAsia="Calibri" w:hAnsi="Arial" w:cs="Times New Roman"/>
      <w:b/>
      <w:bCs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5EA9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customStyle="1" w:styleId="normlnmezera">
    <w:name w:val="normální mezera"/>
    <w:basedOn w:val="Normln"/>
    <w:qFormat/>
    <w:rsid w:val="00141CA7"/>
    <w:pPr>
      <w:spacing w:before="120"/>
    </w:pPr>
  </w:style>
  <w:style w:type="paragraph" w:styleId="Zhlav">
    <w:name w:val="header"/>
    <w:basedOn w:val="Normln"/>
    <w:link w:val="ZhlavChar"/>
    <w:uiPriority w:val="99"/>
    <w:unhideWhenUsed/>
    <w:rsid w:val="00141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CA7"/>
    <w:rPr>
      <w:rFonts w:ascii="Arial" w:eastAsia="Times New Roman" w:hAnsi="Arial" w:cs="Times New Roman"/>
      <w:szCs w:val="24"/>
      <w:lang w:val="en-US"/>
    </w:rPr>
  </w:style>
  <w:style w:type="paragraph" w:styleId="Zkladntext">
    <w:name w:val="Body Text"/>
    <w:basedOn w:val="Normln"/>
    <w:link w:val="ZkladntextChar"/>
    <w:semiHidden/>
    <w:rsid w:val="00141CA7"/>
    <w:pPr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141CA7"/>
    <w:rPr>
      <w:rFonts w:ascii="Arial" w:eastAsia="Times New Roman" w:hAnsi="Arial" w:cs="Times New Roman"/>
      <w:szCs w:val="24"/>
      <w:lang w:val="en-US"/>
    </w:rPr>
  </w:style>
  <w:style w:type="paragraph" w:customStyle="1" w:styleId="Doklad10">
    <w:name w:val="Doklad 1"/>
    <w:basedOn w:val="Normln"/>
    <w:uiPriority w:val="99"/>
    <w:rsid w:val="00EB5EA9"/>
    <w:rPr>
      <w:rFonts w:eastAsia="Calibri"/>
      <w:szCs w:val="20"/>
      <w:lang w:val="cs-CZ"/>
    </w:rPr>
  </w:style>
  <w:style w:type="paragraph" w:customStyle="1" w:styleId="odsazen">
    <w:name w:val="odsazený"/>
    <w:basedOn w:val="Normln"/>
    <w:qFormat/>
    <w:rsid w:val="00EB5EA9"/>
    <w:pPr>
      <w:spacing w:before="240"/>
      <w:ind w:firstLine="567"/>
    </w:pPr>
    <w:rPr>
      <w:rFonts w:eastAsia="Calibri"/>
      <w:szCs w:val="20"/>
      <w:lang w:val="cs-CZ"/>
    </w:rPr>
  </w:style>
  <w:style w:type="paragraph" w:customStyle="1" w:styleId="doklad1">
    <w:name w:val="doklad_1"/>
    <w:basedOn w:val="Normln"/>
    <w:uiPriority w:val="2"/>
    <w:qFormat/>
    <w:rsid w:val="00EB5EA9"/>
    <w:pPr>
      <w:numPr>
        <w:numId w:val="2"/>
      </w:numPr>
      <w:spacing w:after="120"/>
    </w:pPr>
    <w:rPr>
      <w:rFonts w:eastAsia="Calibri"/>
      <w:szCs w:val="20"/>
      <w:lang w:val="cs-CZ" w:eastAsia="cs-CZ"/>
    </w:rPr>
  </w:style>
  <w:style w:type="paragraph" w:customStyle="1" w:styleId="Ploha1">
    <w:name w:val="Příloha 1"/>
    <w:basedOn w:val="Doklad10"/>
    <w:link w:val="Ploha1Char"/>
    <w:uiPriority w:val="1"/>
    <w:qFormat/>
    <w:rsid w:val="00EB5EA9"/>
    <w:pPr>
      <w:numPr>
        <w:numId w:val="3"/>
      </w:numPr>
      <w:spacing w:before="120"/>
    </w:pPr>
  </w:style>
  <w:style w:type="character" w:customStyle="1" w:styleId="Ploha1Char">
    <w:name w:val="Příloha 1 Char"/>
    <w:basedOn w:val="Standardnpsmoodstavce"/>
    <w:link w:val="Ploha1"/>
    <w:uiPriority w:val="1"/>
    <w:rsid w:val="00EB5EA9"/>
    <w:rPr>
      <w:rFonts w:ascii="Arial" w:eastAsia="Calibri" w:hAnsi="Arial" w:cs="Times New Roman"/>
      <w:szCs w:val="20"/>
    </w:rPr>
  </w:style>
  <w:style w:type="paragraph" w:customStyle="1" w:styleId="pklad">
    <w:name w:val="příklad"/>
    <w:basedOn w:val="normlnmezera"/>
    <w:uiPriority w:val="1"/>
    <w:qFormat/>
    <w:rsid w:val="00EB5EA9"/>
    <w:pPr>
      <w:ind w:left="567"/>
    </w:pPr>
    <w:rPr>
      <w:rFonts w:eastAsia="Calibri"/>
      <w:iCs/>
      <w:szCs w:val="20"/>
      <w:lang w:val="cs-CZ"/>
    </w:rPr>
  </w:style>
  <w:style w:type="paragraph" w:customStyle="1" w:styleId="zvr">
    <w:name w:val="závěr"/>
    <w:basedOn w:val="odsazen"/>
    <w:uiPriority w:val="99"/>
    <w:rsid w:val="00EB5EA9"/>
    <w:rPr>
      <w:b/>
    </w:rPr>
  </w:style>
  <w:style w:type="paragraph" w:customStyle="1" w:styleId="kriteria">
    <w:name w:val="kriteria"/>
    <w:basedOn w:val="Normln"/>
    <w:uiPriority w:val="2"/>
    <w:qFormat/>
    <w:rsid w:val="00EB5EA9"/>
    <w:pPr>
      <w:spacing w:before="120"/>
      <w:ind w:left="567" w:right="567"/>
    </w:pPr>
    <w:rPr>
      <w:rFonts w:eastAsia="Calibri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B5EA9"/>
    <w:pPr>
      <w:tabs>
        <w:tab w:val="center" w:pos="4536"/>
        <w:tab w:val="right" w:pos="9072"/>
      </w:tabs>
    </w:pPr>
    <w:rPr>
      <w:rFonts w:eastAsia="Calibri"/>
      <w:szCs w:val="20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EB5EA9"/>
    <w:rPr>
      <w:rFonts w:ascii="Arial" w:eastAsia="Calibri" w:hAnsi="Arial" w:cs="Times New Roman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EA9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EA9"/>
    <w:rPr>
      <w:rFonts w:ascii="Tahoma" w:eastAsia="Calibri" w:hAnsi="Tahoma" w:cs="Tahoma"/>
      <w:sz w:val="16"/>
      <w:szCs w:val="16"/>
      <w:lang w:val="cs-CZ"/>
    </w:rPr>
  </w:style>
  <w:style w:type="paragraph" w:styleId="Odstavecseseznamem">
    <w:name w:val="List Paragraph"/>
    <w:aliases w:val="odrážky"/>
    <w:basedOn w:val="Normln"/>
    <w:uiPriority w:val="34"/>
    <w:qFormat/>
    <w:rsid w:val="00EB5EA9"/>
    <w:pPr>
      <w:ind w:left="720"/>
      <w:contextualSpacing/>
    </w:pPr>
    <w:rPr>
      <w:rFonts w:eastAsia="Calibri"/>
      <w:szCs w:val="20"/>
      <w:lang w:val="cs-CZ"/>
    </w:rPr>
  </w:style>
  <w:style w:type="paragraph" w:customStyle="1" w:styleId="ploha10">
    <w:name w:val="příloha_1"/>
    <w:basedOn w:val="Normln"/>
    <w:rsid w:val="00EB5EA9"/>
    <w:pPr>
      <w:numPr>
        <w:numId w:val="4"/>
      </w:numPr>
    </w:pPr>
    <w:rPr>
      <w:lang w:val="cs-CZ" w:eastAsia="cs-CZ"/>
    </w:rPr>
  </w:style>
  <w:style w:type="paragraph" w:customStyle="1" w:styleId="normlnblok">
    <w:name w:val="normální blok"/>
    <w:basedOn w:val="Normln"/>
    <w:rsid w:val="00EB5EA9"/>
    <w:pPr>
      <w:spacing w:before="120"/>
    </w:pPr>
    <w:rPr>
      <w:lang w:val="cs-CZ" w:eastAsia="cs-CZ"/>
    </w:rPr>
  </w:style>
  <w:style w:type="paragraph" w:customStyle="1" w:styleId="plohy">
    <w:name w:val="přílohy"/>
    <w:basedOn w:val="Normln"/>
    <w:rsid w:val="00EB5EA9"/>
    <w:pPr>
      <w:jc w:val="left"/>
    </w:pPr>
    <w:rPr>
      <w:rFonts w:ascii="Times New Roman" w:hAnsi="Times New Roman"/>
      <w:sz w:val="24"/>
      <w:lang w:val="cs-CZ" w:eastAsia="cs-CZ"/>
    </w:rPr>
  </w:style>
  <w:style w:type="character" w:styleId="Znakapoznpodarou">
    <w:name w:val="footnote reference"/>
    <w:semiHidden/>
    <w:rsid w:val="00EB5EA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EB5EA9"/>
    <w:pPr>
      <w:jc w:val="left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5E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5EA9"/>
    <w:rPr>
      <w:rFonts w:ascii="Arial" w:eastAsia="Times New Roman" w:hAnsi="Arial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5EA9"/>
    <w:rPr>
      <w:sz w:val="20"/>
      <w:szCs w:val="20"/>
      <w:lang w:val="cs-CZ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B5EA9"/>
    <w:pPr>
      <w:tabs>
        <w:tab w:val="left" w:pos="880"/>
        <w:tab w:val="right" w:leader="dot" w:pos="9062"/>
      </w:tabs>
      <w:ind w:left="901" w:hanging="680"/>
    </w:pPr>
    <w:rPr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B5EA9"/>
    <w:pPr>
      <w:tabs>
        <w:tab w:val="left" w:pos="440"/>
        <w:tab w:val="right" w:leader="dot" w:pos="9062"/>
      </w:tabs>
      <w:ind w:left="442" w:hanging="442"/>
    </w:pPr>
    <w:rPr>
      <w:lang w:val="cs-CZ"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B5EA9"/>
    <w:pPr>
      <w:tabs>
        <w:tab w:val="left" w:pos="1320"/>
        <w:tab w:val="right" w:leader="dot" w:pos="9060"/>
      </w:tabs>
      <w:ind w:left="952" w:hanging="510"/>
    </w:pPr>
    <w:rPr>
      <w:lang w:val="cs-CZ" w:eastAsia="cs-CZ"/>
    </w:rPr>
  </w:style>
  <w:style w:type="character" w:styleId="Hypertextovodkaz">
    <w:name w:val="Hyperlink"/>
    <w:uiPriority w:val="99"/>
    <w:unhideWhenUsed/>
    <w:rsid w:val="00EB5EA9"/>
    <w:rPr>
      <w:color w:val="0000FF"/>
      <w:u w:val="single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E52784"/>
    <w:pPr>
      <w:keepNext/>
      <w:spacing w:before="120"/>
      <w:ind w:left="1559" w:hanging="1559"/>
    </w:pPr>
    <w:rPr>
      <w:b/>
      <w:bCs/>
      <w:szCs w:val="22"/>
      <w:lang w:val="cs-CZ" w:eastAsia="cs-CZ"/>
    </w:rPr>
  </w:style>
  <w:style w:type="paragraph" w:customStyle="1" w:styleId="Zpravodaj2">
    <w:name w:val="Zpravodaj2"/>
    <w:basedOn w:val="Nadpis1"/>
    <w:next w:val="Zkladntext"/>
    <w:rsid w:val="00EB5EA9"/>
    <w:pPr>
      <w:tabs>
        <w:tab w:val="clear" w:pos="567"/>
        <w:tab w:val="num" w:pos="720"/>
      </w:tabs>
      <w:spacing w:before="0" w:after="0"/>
      <w:ind w:left="720" w:hanging="360"/>
    </w:pPr>
    <w:rPr>
      <w:rFonts w:ascii="Palatino Linotype" w:eastAsia="Times New Roman" w:hAnsi="Palatino Linotype" w:cs="Times New Roman"/>
      <w:kern w:val="0"/>
      <w:sz w:val="28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B5EA9"/>
    <w:pPr>
      <w:spacing w:after="120" w:line="480" w:lineRule="auto"/>
    </w:pPr>
    <w:rPr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B5EA9"/>
    <w:rPr>
      <w:rFonts w:ascii="Arial" w:eastAsia="Times New Roman" w:hAnsi="Arial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B5EA9"/>
    <w:pPr>
      <w:spacing w:after="120" w:line="276" w:lineRule="auto"/>
      <w:ind w:left="283"/>
      <w:jc w:val="left"/>
    </w:pPr>
    <w:rPr>
      <w:rFonts w:ascii="Calibri" w:eastAsia="Calibri" w:hAnsi="Calibri"/>
      <w:szCs w:val="22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B5EA9"/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EB5EA9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EB5E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Zkladntexttabulkov">
    <w:name w:val="Základní text tabulkový"/>
    <w:basedOn w:val="Zkladntext"/>
    <w:rsid w:val="00EB5EA9"/>
    <w:pPr>
      <w:spacing w:before="60" w:after="60"/>
      <w:ind w:left="57"/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body">
    <w:name w:val="body"/>
    <w:basedOn w:val="Normln"/>
    <w:rsid w:val="00EB5EA9"/>
    <w:pPr>
      <w:numPr>
        <w:numId w:val="5"/>
      </w:numPr>
      <w:jc w:val="left"/>
    </w:pPr>
    <w:rPr>
      <w:rFonts w:ascii="Times New Roman" w:hAnsi="Times New Roman"/>
      <w:sz w:val="24"/>
    </w:rPr>
  </w:style>
  <w:style w:type="paragraph" w:customStyle="1" w:styleId="NadpisKZ">
    <w:name w:val="Nadpis KZ"/>
    <w:basedOn w:val="Zkladntext2"/>
    <w:rsid w:val="00EB5EA9"/>
    <w:pPr>
      <w:spacing w:before="120" w:after="360" w:line="240" w:lineRule="auto"/>
      <w:jc w:val="left"/>
    </w:pPr>
    <w:rPr>
      <w:rFonts w:ascii="Times New Roman" w:hAnsi="Times New Roman"/>
      <w:b/>
      <w:bCs/>
      <w:sz w:val="32"/>
    </w:rPr>
  </w:style>
  <w:style w:type="paragraph" w:customStyle="1" w:styleId="Nadpis5">
    <w:name w:val="Nadpis  5"/>
    <w:basedOn w:val="Nadpis4"/>
    <w:qFormat/>
    <w:rsid w:val="00EB5EA9"/>
    <w:pPr>
      <w:numPr>
        <w:ilvl w:val="0"/>
        <w:numId w:val="0"/>
      </w:numPr>
      <w:tabs>
        <w:tab w:val="num" w:pos="964"/>
      </w:tabs>
      <w:ind w:left="964" w:hanging="964"/>
    </w:pPr>
    <w:rPr>
      <w:rFonts w:eastAsia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91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91FCC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Citace1">
    <w:name w:val="Citace1"/>
    <w:basedOn w:val="Normln"/>
    <w:next w:val="Normln"/>
    <w:link w:val="QuoteChar"/>
    <w:uiPriority w:val="29"/>
    <w:qFormat/>
    <w:rsid w:val="007E11ED"/>
    <w:pPr>
      <w:spacing w:before="120" w:after="120"/>
      <w:ind w:firstLine="539"/>
    </w:pPr>
    <w:rPr>
      <w:i/>
      <w:iCs/>
      <w:lang w:val="cs-CZ"/>
    </w:rPr>
  </w:style>
  <w:style w:type="character" w:customStyle="1" w:styleId="QuoteChar">
    <w:name w:val="Quote Char"/>
    <w:link w:val="Citace1"/>
    <w:uiPriority w:val="29"/>
    <w:locked/>
    <w:rsid w:val="007E11ED"/>
    <w:rPr>
      <w:rFonts w:ascii="Arial" w:eastAsia="Times New Roman" w:hAnsi="Arial" w:cs="Times New Roman"/>
      <w:i/>
      <w:iCs/>
      <w:szCs w:val="24"/>
    </w:rPr>
  </w:style>
  <w:style w:type="character" w:customStyle="1" w:styleId="TextpoznpodarouChar1">
    <w:name w:val="Text pozn. pod čarou Char1"/>
    <w:uiPriority w:val="99"/>
    <w:semiHidden/>
    <w:rsid w:val="00B17C33"/>
    <w:rPr>
      <w:lang w:val="en-US" w:eastAsia="en-US"/>
    </w:rPr>
  </w:style>
  <w:style w:type="table" w:styleId="Mkatabulky">
    <w:name w:val="Table Grid"/>
    <w:basedOn w:val="Normlntabulka"/>
    <w:uiPriority w:val="59"/>
    <w:rsid w:val="000209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rsid w:val="006E3A82"/>
    <w:rPr>
      <w:rFonts w:ascii="Times New Roman" w:eastAsia="Calibri" w:hAnsi="Times New Roman"/>
      <w:sz w:val="24"/>
      <w:szCs w:val="20"/>
      <w:lang w:val="cs-CZ"/>
    </w:rPr>
  </w:style>
  <w:style w:type="paragraph" w:customStyle="1" w:styleId="description">
    <w:name w:val="description"/>
    <w:basedOn w:val="Normln"/>
    <w:rsid w:val="006E3A82"/>
    <w:pPr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sloKZ">
    <w:name w:val="Číslo KZ"/>
    <w:basedOn w:val="Normln"/>
    <w:rsid w:val="00334BA6"/>
    <w:pPr>
      <w:jc w:val="left"/>
    </w:pPr>
    <w:rPr>
      <w:rFonts w:ascii="Times New Roman" w:hAnsi="Times New Roman"/>
      <w:b/>
      <w:bCs/>
      <w:sz w:val="32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7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024"/>
    <w:rPr>
      <w:rFonts w:ascii="Arial" w:eastAsia="Times New Roman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024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D9F2-41B9-4B1A-869A-695D0DD0FBB0}"/>
</file>

<file path=customXml/itemProps2.xml><?xml version="1.0" encoding="utf-8"?>
<ds:datastoreItem xmlns:ds="http://schemas.openxmlformats.org/officeDocument/2006/customXml" ds:itemID="{0E1A03C8-5FA8-416F-9D2A-E7DA46B6D5DD}"/>
</file>

<file path=customXml/itemProps3.xml><?xml version="1.0" encoding="utf-8"?>
<ds:datastoreItem xmlns:ds="http://schemas.openxmlformats.org/officeDocument/2006/customXml" ds:itemID="{A4993592-45F2-40F0-BA1D-02F02803980A}"/>
</file>

<file path=customXml/itemProps4.xml><?xml version="1.0" encoding="utf-8"?>
<ds:datastoreItem xmlns:ds="http://schemas.openxmlformats.org/officeDocument/2006/customXml" ds:itemID="{CE0076DD-3DDC-42C5-AD02-F9DB3715281A}"/>
</file>

<file path=customXml/itemProps5.xml><?xml version="1.0" encoding="utf-8"?>
<ds:datastoreItem xmlns:ds="http://schemas.openxmlformats.org/officeDocument/2006/customXml" ds:itemID="{2F41711D-1100-420A-A3CE-27033DFFA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2913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13/05</dc:title>
  <dc:creator>VRÁNOVÁ Dana;NĚMEČEK Rudolf</dc:creator>
  <cp:lastModifiedBy>BROŽA Jaroslav</cp:lastModifiedBy>
  <cp:revision>4</cp:revision>
  <cp:lastPrinted>2013-12-10T06:43:00Z</cp:lastPrinted>
  <dcterms:created xsi:type="dcterms:W3CDTF">2013-12-30T10:13:00Z</dcterms:created>
  <dcterms:modified xsi:type="dcterms:W3CDTF">2013-12-30T11:34:00Z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  <property fmtid="{D5CDD505-2E9C-101B-9397-08002B2CF9AE}" pid="3" name="CJ">
    <vt:lpwstr>13/05-NKU30/678/13</vt:lpwstr>
  </property>
  <property fmtid="{D5CDD505-2E9C-101B-9397-08002B2CF9AE}" pid="4" name="Contact_PostaOdes_All">
    <vt:lpwstr>ROZDĚLOVNÍK...</vt:lpwstr>
  </property>
  <property fmtid="{D5CDD505-2E9C-101B-9397-08002B2CF9AE}" pid="5" name="SZ_Spis_Pisemnost">
    <vt:lpwstr>13/05</vt:lpwstr>
  </property>
  <property fmtid="{D5CDD505-2E9C-101B-9397-08002B2CF9AE}" pid="6" name="DisplayName_SpisovyUzel_PoziceZodpo_Pisemnost">
    <vt:lpwstr>30</vt:lpwstr>
  </property>
  <property fmtid="{D5CDD505-2E9C-101B-9397-08002B2CF9AE}" pid="7" name="Zkratka_SpisovyUzel_PoziceZodpo_Pisemnost">
    <vt:lpwstr>30</vt:lpwstr>
  </property>
  <property fmtid="{D5CDD505-2E9C-101B-9397-08002B2CF9AE}" pid="8" name="Key_BarCode_Pisemnost">
    <vt:lpwstr>*B000192506*</vt:lpwstr>
  </property>
  <property fmtid="{D5CDD505-2E9C-101B-9397-08002B2CF9AE}" pid="9" name="EC_Pisemnost">
    <vt:lpwstr>13-16697</vt:lpwstr>
  </property>
  <property fmtid="{D5CDD505-2E9C-101B-9397-08002B2CF9AE}" pid="10" name="Odkaz">
    <vt:lpwstr>ODKAZ</vt:lpwstr>
  </property>
  <property fmtid="{D5CDD505-2E9C-101B-9397-08002B2CF9AE}" pid="11" name="SkartacniZnakLhuta_PisemnostZnak">
    <vt:lpwstr>/0</vt:lpwstr>
  </property>
  <property fmtid="{D5CDD505-2E9C-101B-9397-08002B2CF9AE}" pid="12" name="CJ_Spis_Pisemnost">
    <vt:lpwstr>CJ/SPIS/ROK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</vt:lpwstr>
  </property>
  <property fmtid="{D5CDD505-2E9C-101B-9397-08002B2CF9AE}" pid="18" name="Vec_Pisemnost">
    <vt:lpwstr>Návrh KZ 13/05 do připomínek</vt:lpwstr>
  </property>
  <property fmtid="{D5CDD505-2E9C-101B-9397-08002B2CF9AE}" pid="19" name="DatumPoriz_Pisemnost">
    <vt:lpwstr>30.10.2013</vt:lpwstr>
  </property>
  <property fmtid="{D5CDD505-2E9C-101B-9397-08002B2CF9AE}" pid="20" name="KRukam">
    <vt:lpwstr>{KRukam}</vt:lpwstr>
  </property>
  <property fmtid="{D5CDD505-2E9C-101B-9397-08002B2CF9AE}" pid="21" name="PocetListuDokumentu_Pisemnost">
    <vt:lpwstr>1</vt:lpwstr>
  </property>
  <property fmtid="{D5CDD505-2E9C-101B-9397-08002B2CF9AE}" pid="22" name="PocetPriloh_Pisemnost">
    <vt:lpwstr>POČET PŘÍLOH</vt:lpwstr>
  </property>
  <property fmtid="{D5CDD505-2E9C-101B-9397-08002B2CF9AE}" pid="23" name="TypPrilohy_Pisemnost">
    <vt:lpwstr>TYP PŘÍLOHY</vt:lpwstr>
  </property>
  <property fmtid="{D5CDD505-2E9C-101B-9397-08002B2CF9AE}" pid="24" name="DisplayName_UserPoriz_Pisemnost">
    <vt:lpwstr>Bc. Jana Pokorná</vt:lpwstr>
  </property>
  <property fmtid="{D5CDD505-2E9C-101B-9397-08002B2CF9AE}" pid="25" name="Podpis">
    <vt:lpwstr/>
  </property>
  <property fmtid="{D5CDD505-2E9C-101B-9397-08002B2CF9AE}" pid="26" name="SmlouvaCislo">
    <vt:lpwstr>ČÍSLO SMLOUVY</vt:lpwstr>
  </property>
  <property fmtid="{D5CDD505-2E9C-101B-9397-08002B2CF9AE}" pid="27" name="_DocHome">
    <vt:i4>1746831708</vt:i4>
  </property>
</Properties>
</file>